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7FCC9">
      <w:pPr>
        <w:spacing w:line="245" w:lineRule="auto"/>
        <w:ind w:firstLine="980" w:firstLineChars="200"/>
        <w:jc w:val="center"/>
        <w:rPr>
          <w:rFonts w:ascii="宋体" w:hAnsi="宋体" w:eastAsia="宋体" w:cs="宋体"/>
          <w:spacing w:val="50"/>
          <w:sz w:val="39"/>
          <w:szCs w:val="39"/>
          <w14:textOutline w14:w="7226" w14:cap="flat" w14:cmpd="sng" w14:algn="ctr">
            <w14:solidFill>
              <w14:srgbClr w14:val="000000"/>
            </w14:solidFill>
            <w14:prstDash w14:val="solid"/>
            <w14:miter w14:val="0"/>
          </w14:textOutline>
        </w:rPr>
      </w:pPr>
    </w:p>
    <w:p w14:paraId="195CABD3">
      <w:pPr>
        <w:spacing w:before="182" w:line="360" w:lineRule="auto"/>
        <w:jc w:val="center"/>
        <w:rPr>
          <w:rFonts w:ascii="宋体" w:hAnsi="宋体" w:eastAsia="宋体" w:cs="宋体"/>
          <w:spacing w:val="-2"/>
          <w:sz w:val="52"/>
          <w:szCs w:val="52"/>
          <w14:textOutline w14:w="10185" w14:cap="flat" w14:cmpd="sng" w14:algn="ctr">
            <w14:solidFill>
              <w14:srgbClr w14:val="000000"/>
            </w14:solidFill>
            <w14:prstDash w14:val="solid"/>
            <w14:miter w14:val="0"/>
          </w14:textOutline>
        </w:rPr>
      </w:pPr>
      <w:r>
        <w:rPr>
          <w:rFonts w:hint="eastAsia" w:ascii="宋体" w:hAnsi="宋体" w:eastAsia="宋体" w:cs="宋体"/>
          <w:b/>
          <w:bCs/>
          <w:kern w:val="2"/>
          <w:sz w:val="52"/>
          <w:szCs w:val="52"/>
        </w:rPr>
        <w:t>宕昌某部购买技术服务项目</w:t>
      </w:r>
      <w:r>
        <w:rPr>
          <w:rFonts w:ascii="宋体" w:hAnsi="宋体" w:eastAsia="宋体" w:cs="宋体"/>
          <w:b/>
          <w:bCs/>
          <w:kern w:val="2"/>
          <w:sz w:val="52"/>
          <w:szCs w:val="52"/>
        </w:rPr>
        <w:t xml:space="preserve">  </w:t>
      </w:r>
    </w:p>
    <w:p w14:paraId="0116BF3B">
      <w:pPr>
        <w:spacing w:before="182" w:line="220" w:lineRule="auto"/>
        <w:ind w:left="2238" w:firstLine="1112" w:firstLineChars="200"/>
        <w:rPr>
          <w:rFonts w:ascii="宋体" w:hAnsi="宋体" w:eastAsia="宋体" w:cs="宋体"/>
          <w:spacing w:val="-2"/>
          <w:sz w:val="56"/>
          <w:szCs w:val="56"/>
          <w14:textOutline w14:w="10185" w14:cap="flat" w14:cmpd="sng" w14:algn="ctr">
            <w14:solidFill>
              <w14:srgbClr w14:val="000000"/>
            </w14:solidFill>
            <w14:prstDash w14:val="solid"/>
            <w14:miter w14:val="0"/>
          </w14:textOutline>
        </w:rPr>
      </w:pPr>
    </w:p>
    <w:p w14:paraId="2BEBDA20">
      <w:pPr>
        <w:pStyle w:val="12"/>
        <w:ind w:firstLine="558"/>
        <w:rPr>
          <w:rFonts w:ascii="宋体" w:hAnsi="宋体" w:cs="宋体"/>
          <w:spacing w:val="-2"/>
          <w:sz w:val="56"/>
          <w:szCs w:val="56"/>
          <w14:textOutline w14:w="10185" w14:cap="flat" w14:cmpd="sng" w14:algn="ctr">
            <w14:solidFill>
              <w14:srgbClr w14:val="000000"/>
            </w14:solidFill>
            <w14:prstDash w14:val="solid"/>
            <w14:miter w14:val="0"/>
          </w14:textOutline>
        </w:rPr>
      </w:pPr>
    </w:p>
    <w:p w14:paraId="565A678A">
      <w:pPr>
        <w:pStyle w:val="13"/>
        <w:spacing w:before="120"/>
        <w:ind w:firstLine="488"/>
      </w:pPr>
    </w:p>
    <w:p w14:paraId="15001978">
      <w:pPr>
        <w:pStyle w:val="13"/>
        <w:spacing w:before="120"/>
        <w:ind w:firstLine="1112"/>
        <w:rPr>
          <w:rFonts w:ascii="宋体" w:hAnsi="宋体" w:eastAsia="宋体" w:cs="宋体"/>
          <w:spacing w:val="-2"/>
          <w:sz w:val="56"/>
          <w:szCs w:val="56"/>
          <w14:textOutline w14:w="10185" w14:cap="flat" w14:cmpd="sng" w14:algn="ctr">
            <w14:solidFill>
              <w14:srgbClr w14:val="000000"/>
            </w14:solidFill>
            <w14:prstDash w14:val="solid"/>
            <w14:miter w14:val="0"/>
          </w14:textOutline>
        </w:rPr>
      </w:pPr>
    </w:p>
    <w:p w14:paraId="45C9694E">
      <w:pPr>
        <w:adjustRightInd/>
        <w:snapToGrid/>
        <w:spacing w:before="100" w:beforeAutospacing="1" w:after="100" w:afterAutospacing="1" w:line="360" w:lineRule="auto"/>
        <w:ind w:firstLine="420"/>
        <w:jc w:val="center"/>
        <w:rPr>
          <w:rFonts w:ascii="宋体" w:hAnsi="宋体" w:eastAsia="宋体" w:cs="宋体"/>
          <w:b/>
          <w:bCs/>
          <w:kern w:val="2"/>
          <w:sz w:val="52"/>
          <w:szCs w:val="52"/>
        </w:rPr>
      </w:pPr>
      <w:bookmarkStart w:id="0" w:name="_Toc32241"/>
      <w:r>
        <w:rPr>
          <w:rFonts w:hint="eastAsia" w:ascii="宋体" w:hAnsi="宋体" w:eastAsia="宋体" w:cs="宋体"/>
          <w:b/>
          <w:bCs/>
          <w:kern w:val="2"/>
          <w:sz w:val="52"/>
          <w:szCs w:val="52"/>
        </w:rPr>
        <w:t>竞争性磋商文件</w:t>
      </w:r>
      <w:bookmarkEnd w:id="0"/>
    </w:p>
    <w:p w14:paraId="28A835DD">
      <w:pPr>
        <w:spacing w:before="182" w:line="220" w:lineRule="auto"/>
        <w:ind w:left="2238" w:firstLine="1116" w:firstLineChars="200"/>
        <w:rPr>
          <w:rFonts w:ascii="宋体" w:hAnsi="宋体" w:eastAsia="宋体" w:cs="宋体"/>
          <w:spacing w:val="-1"/>
          <w:sz w:val="56"/>
          <w:szCs w:val="56"/>
          <w14:textOutline w14:w="10185" w14:cap="flat" w14:cmpd="sng" w14:algn="ctr">
            <w14:solidFill>
              <w14:srgbClr w14:val="000000"/>
            </w14:solidFill>
            <w14:prstDash w14:val="solid"/>
            <w14:miter w14:val="0"/>
          </w14:textOutline>
        </w:rPr>
      </w:pPr>
    </w:p>
    <w:p w14:paraId="3C48C88C">
      <w:pPr>
        <w:pStyle w:val="13"/>
        <w:spacing w:before="120"/>
        <w:ind w:firstLine="488"/>
      </w:pPr>
    </w:p>
    <w:p w14:paraId="6DD5F4A0">
      <w:pPr>
        <w:spacing w:before="182" w:line="220" w:lineRule="auto"/>
        <w:jc w:val="center"/>
        <w:outlineLvl w:val="0"/>
        <w:rPr>
          <w:rFonts w:ascii="宋体" w:hAnsi="宋体" w:eastAsia="宋体" w:cs="宋体"/>
          <w:spacing w:val="-2"/>
          <w:sz w:val="32"/>
          <w:szCs w:val="32"/>
          <w14:textOutline w14:w="10185" w14:cap="flat" w14:cmpd="sng" w14:algn="ctr">
            <w14:solidFill>
              <w14:srgbClr w14:val="000000"/>
            </w14:solidFill>
            <w14:prstDash w14:val="solid"/>
            <w14:miter w14:val="0"/>
          </w14:textOutline>
        </w:rPr>
      </w:pPr>
    </w:p>
    <w:p w14:paraId="5B7743C4">
      <w:pPr>
        <w:adjustRightInd/>
        <w:snapToGrid/>
        <w:spacing w:before="100" w:beforeAutospacing="1" w:after="100" w:afterAutospacing="1"/>
        <w:ind w:firstLine="420"/>
        <w:jc w:val="both"/>
        <w:rPr>
          <w:rFonts w:ascii="宋体" w:hAnsi="宋体" w:eastAsia="宋体" w:cs="宋体"/>
          <w:b/>
          <w:bCs/>
          <w:spacing w:val="202"/>
          <w:sz w:val="32"/>
          <w:szCs w:val="32"/>
        </w:rPr>
      </w:pPr>
    </w:p>
    <w:p w14:paraId="74919B72">
      <w:pPr>
        <w:adjustRightInd/>
        <w:snapToGrid/>
        <w:spacing w:before="100" w:beforeAutospacing="1" w:after="100" w:afterAutospacing="1"/>
        <w:ind w:firstLine="420"/>
        <w:jc w:val="both"/>
        <w:rPr>
          <w:rFonts w:ascii="宋体" w:hAnsi="宋体" w:eastAsia="宋体" w:cs="宋体"/>
          <w:b/>
          <w:bCs/>
          <w:kern w:val="2"/>
          <w:sz w:val="32"/>
          <w:szCs w:val="32"/>
          <w:u w:val="single"/>
        </w:rPr>
      </w:pPr>
      <w:r>
        <w:rPr>
          <w:rFonts w:hint="eastAsia" w:ascii="宋体" w:hAnsi="宋体" w:eastAsia="宋体" w:cs="宋体"/>
          <w:b/>
          <w:bCs/>
          <w:spacing w:val="101"/>
          <w:kern w:val="0"/>
          <w:sz w:val="32"/>
          <w:szCs w:val="32"/>
          <w:fitText w:val="2408" w:id="475820604"/>
        </w:rPr>
        <w:t>招标编号</w:t>
      </w:r>
      <w:r>
        <w:rPr>
          <w:rFonts w:hint="eastAsia" w:ascii="宋体" w:hAnsi="宋体" w:eastAsia="宋体" w:cs="宋体"/>
          <w:b/>
          <w:bCs/>
          <w:spacing w:val="0"/>
          <w:kern w:val="0"/>
          <w:sz w:val="32"/>
          <w:szCs w:val="32"/>
          <w:fitText w:val="2408" w:id="475820604"/>
        </w:rPr>
        <w:t>：</w:t>
      </w:r>
      <w:r>
        <w:rPr>
          <w:rFonts w:hint="eastAsia" w:ascii="宋体" w:hAnsi="宋体" w:eastAsia="宋体" w:cs="宋体"/>
          <w:b/>
          <w:bCs/>
          <w:sz w:val="32"/>
          <w:szCs w:val="32"/>
          <w:u w:val="single"/>
        </w:rPr>
        <w:t>GS</w:t>
      </w:r>
      <w:r>
        <w:rPr>
          <w:rFonts w:hint="eastAsia" w:ascii="宋体" w:hAnsi="宋体" w:eastAsia="宋体" w:cs="宋体"/>
          <w:b/>
          <w:bCs/>
          <w:kern w:val="2"/>
          <w:sz w:val="32"/>
          <w:szCs w:val="32"/>
          <w:u w:val="single"/>
        </w:rPr>
        <w:t xml:space="preserve">XCD-2024--008           </w:t>
      </w:r>
    </w:p>
    <w:p w14:paraId="5186246F">
      <w:pPr>
        <w:adjustRightInd/>
        <w:snapToGrid/>
        <w:spacing w:before="100" w:beforeAutospacing="1" w:after="100" w:afterAutospacing="1"/>
        <w:ind w:firstLine="420"/>
        <w:jc w:val="both"/>
        <w:rPr>
          <w:rFonts w:ascii="宋体" w:hAnsi="宋体" w:eastAsia="宋体" w:cs="宋体"/>
          <w:b/>
          <w:bCs/>
          <w:kern w:val="2"/>
          <w:sz w:val="32"/>
          <w:szCs w:val="32"/>
          <w:u w:val="single"/>
        </w:rPr>
      </w:pPr>
      <w:r>
        <w:rPr>
          <w:rFonts w:hint="eastAsia" w:ascii="宋体" w:hAnsi="宋体" w:eastAsia="宋体" w:cs="宋体"/>
          <w:b/>
          <w:bCs/>
          <w:spacing w:val="188"/>
          <w:kern w:val="0"/>
          <w:sz w:val="32"/>
          <w:szCs w:val="32"/>
          <w:fitText w:val="2408" w:id="1111646040"/>
        </w:rPr>
        <w:t>招标人</w:t>
      </w:r>
      <w:r>
        <w:rPr>
          <w:rFonts w:hint="eastAsia" w:ascii="宋体" w:hAnsi="宋体" w:eastAsia="宋体" w:cs="宋体"/>
          <w:b/>
          <w:bCs/>
          <w:spacing w:val="0"/>
          <w:kern w:val="0"/>
          <w:sz w:val="32"/>
          <w:szCs w:val="32"/>
          <w:fitText w:val="2408" w:id="1111646040"/>
        </w:rPr>
        <w:t>：</w:t>
      </w:r>
      <w:r>
        <w:rPr>
          <w:rFonts w:hint="eastAsia" w:ascii="宋体" w:hAnsi="宋体" w:eastAsia="宋体" w:cs="宋体"/>
          <w:b/>
          <w:bCs/>
          <w:kern w:val="2"/>
          <w:sz w:val="32"/>
          <w:szCs w:val="32"/>
          <w:u w:val="single"/>
        </w:rPr>
        <w:t xml:space="preserve">宕昌县公安局              </w:t>
      </w:r>
    </w:p>
    <w:p w14:paraId="07666E5D">
      <w:pPr>
        <w:adjustRightInd/>
        <w:snapToGrid/>
        <w:spacing w:before="100" w:beforeAutospacing="1" w:after="100" w:afterAutospacing="1"/>
        <w:ind w:firstLine="420"/>
        <w:jc w:val="both"/>
        <w:rPr>
          <w:rFonts w:ascii="宋体" w:hAnsi="宋体" w:eastAsia="宋体" w:cs="宋体"/>
          <w:b/>
          <w:bCs/>
          <w:kern w:val="2"/>
          <w:sz w:val="28"/>
          <w:szCs w:val="28"/>
          <w:u w:val="single"/>
        </w:rPr>
      </w:pPr>
      <w:r>
        <w:rPr>
          <w:rFonts w:hint="eastAsia" w:ascii="宋体" w:hAnsi="宋体" w:eastAsia="宋体" w:cs="宋体"/>
          <w:b/>
          <w:bCs/>
          <w:spacing w:val="14"/>
          <w:kern w:val="0"/>
          <w:sz w:val="32"/>
          <w:szCs w:val="32"/>
          <w:fitText w:val="2408" w:id="1682441752"/>
        </w:rPr>
        <w:t>招标代理公司</w:t>
      </w:r>
      <w:r>
        <w:rPr>
          <w:rFonts w:hint="eastAsia" w:ascii="宋体" w:hAnsi="宋体" w:eastAsia="宋体" w:cs="宋体"/>
          <w:b/>
          <w:bCs/>
          <w:spacing w:val="0"/>
          <w:kern w:val="0"/>
          <w:sz w:val="32"/>
          <w:szCs w:val="32"/>
          <w:fitText w:val="2408" w:id="1682441752"/>
        </w:rPr>
        <w:t>：</w:t>
      </w:r>
      <w:r>
        <w:rPr>
          <w:rFonts w:hint="eastAsia" w:ascii="宋体" w:hAnsi="宋体" w:eastAsia="宋体" w:cs="宋体"/>
          <w:b/>
          <w:bCs/>
          <w:kern w:val="2"/>
          <w:sz w:val="32"/>
          <w:szCs w:val="32"/>
          <w:u w:val="single"/>
        </w:rPr>
        <w:t xml:space="preserve">甘肃鑫畅达工程咨询有限公司 </w:t>
      </w:r>
      <w:r>
        <w:rPr>
          <w:rFonts w:hint="eastAsia" w:ascii="宋体" w:hAnsi="宋体" w:eastAsia="宋体" w:cs="宋体"/>
          <w:b/>
          <w:bCs/>
          <w:kern w:val="2"/>
          <w:sz w:val="28"/>
          <w:szCs w:val="28"/>
          <w:u w:val="single"/>
        </w:rPr>
        <w:t xml:space="preserve"> </w:t>
      </w:r>
    </w:p>
    <w:p w14:paraId="654466F3">
      <w:pPr>
        <w:adjustRightInd/>
        <w:snapToGrid/>
        <w:spacing w:before="100" w:beforeAutospacing="1" w:after="100" w:afterAutospacing="1"/>
        <w:ind w:firstLine="420"/>
        <w:jc w:val="center"/>
        <w:rPr>
          <w:rFonts w:ascii="宋体" w:hAnsi="宋体" w:eastAsia="宋体" w:cs="宋体"/>
          <w:b/>
          <w:bCs/>
          <w:kern w:val="2"/>
          <w:sz w:val="32"/>
          <w:szCs w:val="32"/>
        </w:rPr>
      </w:pPr>
    </w:p>
    <w:p w14:paraId="066DFDB4">
      <w:pPr>
        <w:adjustRightInd/>
        <w:snapToGrid/>
        <w:spacing w:before="100" w:beforeAutospacing="1" w:after="100" w:afterAutospacing="1"/>
        <w:ind w:firstLine="420"/>
        <w:jc w:val="center"/>
        <w:rPr>
          <w:rFonts w:ascii="宋体" w:hAnsi="宋体" w:eastAsia="宋体" w:cs="宋体"/>
          <w:b/>
          <w:bCs/>
          <w:kern w:val="2"/>
          <w:sz w:val="32"/>
          <w:szCs w:val="32"/>
        </w:rPr>
      </w:pPr>
      <w:r>
        <w:rPr>
          <w:rFonts w:hint="eastAsia" w:ascii="宋体" w:hAnsi="宋体" w:eastAsia="宋体" w:cs="宋体"/>
          <w:b/>
          <w:bCs/>
          <w:kern w:val="2"/>
          <w:sz w:val="32"/>
          <w:szCs w:val="32"/>
        </w:rPr>
        <w:t>二0二四年十月</w:t>
      </w:r>
    </w:p>
    <w:p w14:paraId="2A753518">
      <w:pPr>
        <w:pStyle w:val="2"/>
        <w:ind w:firstLine="0" w:firstLineChars="0"/>
        <w:jc w:val="center"/>
        <w:rPr>
          <w:rFonts w:hAnsi="宋体" w:eastAsia="宋体" w:cs="宋体"/>
          <w:b/>
          <w:bCs/>
          <w:sz w:val="36"/>
          <w:lang w:eastAsia="zh-CN"/>
        </w:rPr>
      </w:pPr>
    </w:p>
    <w:p w14:paraId="0B8BE34F">
      <w:pPr>
        <w:pStyle w:val="18"/>
        <w:adjustRightInd w:val="0"/>
        <w:spacing w:line="480" w:lineRule="auto"/>
        <w:jc w:val="center"/>
        <w:rPr>
          <w:rFonts w:ascii="宋体" w:hAnsi="宋体" w:eastAsia="宋体"/>
          <w:bCs/>
          <w:sz w:val="40"/>
          <w:szCs w:val="40"/>
        </w:rPr>
      </w:pPr>
      <w:r>
        <w:rPr>
          <w:rFonts w:hint="eastAsia" w:hAnsi="宋体" w:eastAsia="宋体" w:cs="宋体"/>
          <w:bCs/>
          <w:sz w:val="40"/>
        </w:rPr>
        <w:t xml:space="preserve"> </w:t>
      </w:r>
      <w:r>
        <w:rPr>
          <w:rFonts w:ascii="宋体" w:hAnsi="宋体" w:eastAsia="宋体"/>
          <w:bCs/>
          <w:sz w:val="36"/>
          <w:szCs w:val="40"/>
        </w:rPr>
        <w:t>目</w:t>
      </w:r>
      <w:r>
        <w:rPr>
          <w:rFonts w:hint="eastAsia" w:ascii="宋体" w:hAnsi="宋体" w:eastAsia="宋体"/>
          <w:bCs/>
          <w:sz w:val="36"/>
          <w:szCs w:val="40"/>
        </w:rPr>
        <w:t xml:space="preserve"> </w:t>
      </w:r>
      <w:r>
        <w:rPr>
          <w:rFonts w:ascii="宋体" w:hAnsi="宋体" w:eastAsia="宋体"/>
          <w:bCs/>
          <w:sz w:val="36"/>
          <w:szCs w:val="40"/>
        </w:rPr>
        <w:t>录</w:t>
      </w:r>
    </w:p>
    <w:p w14:paraId="78BDB087">
      <w:pPr>
        <w:pStyle w:val="9"/>
        <w:tabs>
          <w:tab w:val="right" w:leader="dot" w:pos="9128"/>
        </w:tabs>
        <w:spacing w:after="0"/>
        <w:rPr>
          <w:rFonts w:ascii="宋体" w:hAnsi="宋体" w:eastAsia="宋体" w:cs="宋体"/>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fldChar w:fldCharType="begin"/>
      </w:r>
      <w:r>
        <w:instrText xml:space="preserve"> HYPERLINK \l "_Toc6389" </w:instrText>
      </w:r>
      <w:r>
        <w:fldChar w:fldCharType="separate"/>
      </w:r>
      <w:r>
        <w:rPr>
          <w:rFonts w:hint="eastAsia" w:ascii="宋体" w:hAnsi="宋体" w:eastAsia="宋体" w:cs="宋体"/>
          <w:bCs/>
          <w:kern w:val="44"/>
          <w:sz w:val="21"/>
          <w:szCs w:val="21"/>
        </w:rPr>
        <w:t>第一章</w:t>
      </w:r>
      <w:r>
        <w:rPr>
          <w:rFonts w:hint="eastAsia" w:ascii="宋体" w:hAnsi="宋体" w:eastAsia="宋体" w:cs="宋体"/>
          <w:bCs/>
          <w:kern w:val="2"/>
          <w:sz w:val="21"/>
          <w:szCs w:val="21"/>
        </w:rPr>
        <w:t>、</w:t>
      </w:r>
      <w:r>
        <w:rPr>
          <w:rFonts w:hint="eastAsia" w:ascii="宋体" w:hAnsi="宋体" w:eastAsia="宋体" w:cs="宋体"/>
          <w:bCs/>
          <w:sz w:val="21"/>
          <w:szCs w:val="21"/>
        </w:rPr>
        <w:t>竞争性磋商公告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_Toc6389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E5F377F">
      <w:pPr>
        <w:pStyle w:val="9"/>
        <w:tabs>
          <w:tab w:val="right" w:leader="dot" w:pos="9128"/>
        </w:tabs>
        <w:spacing w:after="0"/>
        <w:rPr>
          <w:rFonts w:ascii="宋体" w:hAnsi="宋体" w:eastAsia="宋体" w:cs="宋体"/>
          <w:sz w:val="21"/>
          <w:szCs w:val="21"/>
        </w:rPr>
      </w:pPr>
      <w:r>
        <w:fldChar w:fldCharType="begin"/>
      </w:r>
      <w:r>
        <w:instrText xml:space="preserve"> HYPERLINK \l "_Toc5936" </w:instrText>
      </w:r>
      <w:r>
        <w:fldChar w:fldCharType="separate"/>
      </w:r>
      <w:r>
        <w:rPr>
          <w:rFonts w:hint="eastAsia" w:ascii="宋体" w:hAnsi="宋体" w:eastAsia="宋体" w:cs="宋体"/>
          <w:bCs/>
          <w:kern w:val="44"/>
          <w:sz w:val="21"/>
          <w:szCs w:val="21"/>
        </w:rPr>
        <w:t>第二章、投标人须知前附表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_Toc5936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45D61DB">
      <w:pPr>
        <w:pStyle w:val="9"/>
        <w:tabs>
          <w:tab w:val="right" w:leader="dot" w:pos="9128"/>
        </w:tabs>
        <w:spacing w:after="0"/>
        <w:rPr>
          <w:rFonts w:ascii="宋体" w:hAnsi="宋体" w:eastAsia="宋体" w:cs="宋体"/>
          <w:sz w:val="21"/>
          <w:szCs w:val="21"/>
        </w:rPr>
      </w:pPr>
      <w:r>
        <w:fldChar w:fldCharType="begin"/>
      </w:r>
      <w:r>
        <w:instrText xml:space="preserve"> HYPERLINK \l "_Toc28716" </w:instrText>
      </w:r>
      <w:r>
        <w:fldChar w:fldCharType="separate"/>
      </w:r>
      <w:r>
        <w:rPr>
          <w:rFonts w:hint="eastAsia" w:ascii="宋体" w:hAnsi="宋体" w:eastAsia="宋体" w:cs="宋体"/>
          <w:bCs/>
          <w:kern w:val="44"/>
          <w:sz w:val="21"/>
          <w:szCs w:val="21"/>
        </w:rPr>
        <w:t>第三章、投标人须知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_Toc28716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C1B70AC">
      <w:pPr>
        <w:pStyle w:val="10"/>
        <w:tabs>
          <w:tab w:val="right" w:leader="dot" w:pos="9128"/>
        </w:tabs>
        <w:rPr>
          <w:sz w:val="21"/>
          <w:szCs w:val="21"/>
        </w:rPr>
      </w:pPr>
      <w:r>
        <w:fldChar w:fldCharType="begin"/>
      </w:r>
      <w:r>
        <w:instrText xml:space="preserve"> HYPERLINK \l "_Toc24799" </w:instrText>
      </w:r>
      <w:r>
        <w:fldChar w:fldCharType="separate"/>
      </w:r>
      <w:r>
        <w:rPr>
          <w:rFonts w:hint="eastAsia"/>
          <w:bCs/>
          <w:sz w:val="21"/>
          <w:szCs w:val="21"/>
        </w:rPr>
        <w:t>3.1 招标文件涉及术语的内涵及解释</w:t>
      </w:r>
      <w:r>
        <w:rPr>
          <w:rFonts w:hint="eastAsia"/>
          <w:sz w:val="21"/>
          <w:szCs w:val="21"/>
        </w:rPr>
        <w:tab/>
      </w:r>
      <w:r>
        <w:rPr>
          <w:rFonts w:hint="eastAsia"/>
          <w:sz w:val="21"/>
          <w:szCs w:val="21"/>
        </w:rPr>
        <w:fldChar w:fldCharType="begin"/>
      </w:r>
      <w:r>
        <w:rPr>
          <w:rFonts w:hint="eastAsia"/>
          <w:sz w:val="21"/>
          <w:szCs w:val="21"/>
        </w:rPr>
        <w:instrText xml:space="preserve"> PAGEREF _Toc24799 \h </w:instrText>
      </w:r>
      <w:r>
        <w:rPr>
          <w:rFonts w:hint="eastAsia"/>
          <w:sz w:val="21"/>
          <w:szCs w:val="21"/>
        </w:rPr>
        <w:fldChar w:fldCharType="separate"/>
      </w:r>
      <w:r>
        <w:rPr>
          <w:rFonts w:hint="eastAsia"/>
          <w:sz w:val="21"/>
          <w:szCs w:val="21"/>
        </w:rPr>
        <w:t>9</w:t>
      </w:r>
      <w:r>
        <w:rPr>
          <w:rFonts w:hint="eastAsia"/>
          <w:sz w:val="21"/>
          <w:szCs w:val="21"/>
        </w:rPr>
        <w:fldChar w:fldCharType="end"/>
      </w:r>
      <w:r>
        <w:rPr>
          <w:rFonts w:hint="eastAsia"/>
          <w:sz w:val="21"/>
          <w:szCs w:val="21"/>
        </w:rPr>
        <w:fldChar w:fldCharType="end"/>
      </w:r>
    </w:p>
    <w:p w14:paraId="1FC3F26A">
      <w:pPr>
        <w:pStyle w:val="10"/>
        <w:tabs>
          <w:tab w:val="right" w:leader="dot" w:pos="9128"/>
        </w:tabs>
        <w:rPr>
          <w:sz w:val="21"/>
          <w:szCs w:val="21"/>
        </w:rPr>
      </w:pPr>
      <w:r>
        <w:fldChar w:fldCharType="begin"/>
      </w:r>
      <w:r>
        <w:instrText xml:space="preserve"> HYPERLINK \l "_Toc30660" </w:instrText>
      </w:r>
      <w:r>
        <w:fldChar w:fldCharType="separate"/>
      </w:r>
      <w:r>
        <w:rPr>
          <w:rFonts w:hint="eastAsia"/>
          <w:bCs/>
          <w:sz w:val="21"/>
          <w:szCs w:val="21"/>
        </w:rPr>
        <w:t>3.2</w:t>
      </w:r>
      <w:r>
        <w:rPr>
          <w:rFonts w:hint="eastAsia"/>
          <w:bCs/>
          <w:sz w:val="21"/>
          <w:szCs w:val="21"/>
          <w:lang w:val="en-US"/>
        </w:rPr>
        <w:t xml:space="preserve"> </w:t>
      </w:r>
      <w:r>
        <w:rPr>
          <w:rFonts w:hint="eastAsia"/>
          <w:bCs/>
          <w:sz w:val="21"/>
          <w:szCs w:val="21"/>
        </w:rPr>
        <w:t>招标</w:t>
      </w:r>
      <w:r>
        <w:rPr>
          <w:rFonts w:hint="eastAsia"/>
          <w:sz w:val="21"/>
          <w:szCs w:val="21"/>
        </w:rPr>
        <w:tab/>
      </w:r>
      <w:r>
        <w:rPr>
          <w:rFonts w:hint="eastAsia"/>
          <w:sz w:val="21"/>
          <w:szCs w:val="21"/>
        </w:rPr>
        <w:fldChar w:fldCharType="begin"/>
      </w:r>
      <w:r>
        <w:rPr>
          <w:rFonts w:hint="eastAsia"/>
          <w:sz w:val="21"/>
          <w:szCs w:val="21"/>
        </w:rPr>
        <w:instrText xml:space="preserve"> PAGEREF _Toc30660 \h </w:instrText>
      </w:r>
      <w:r>
        <w:rPr>
          <w:rFonts w:hint="eastAsia"/>
          <w:sz w:val="21"/>
          <w:szCs w:val="21"/>
        </w:rPr>
        <w:fldChar w:fldCharType="separate"/>
      </w:r>
      <w:r>
        <w:rPr>
          <w:rFonts w:hint="eastAsia"/>
          <w:sz w:val="21"/>
          <w:szCs w:val="21"/>
        </w:rPr>
        <w:t>11</w:t>
      </w:r>
      <w:r>
        <w:rPr>
          <w:rFonts w:hint="eastAsia"/>
          <w:sz w:val="21"/>
          <w:szCs w:val="21"/>
        </w:rPr>
        <w:fldChar w:fldCharType="end"/>
      </w:r>
      <w:r>
        <w:rPr>
          <w:rFonts w:hint="eastAsia"/>
          <w:sz w:val="21"/>
          <w:szCs w:val="21"/>
        </w:rPr>
        <w:fldChar w:fldCharType="end"/>
      </w:r>
    </w:p>
    <w:p w14:paraId="5FDF4313">
      <w:pPr>
        <w:pStyle w:val="10"/>
        <w:tabs>
          <w:tab w:val="right" w:leader="dot" w:pos="9128"/>
        </w:tabs>
        <w:rPr>
          <w:sz w:val="21"/>
          <w:szCs w:val="21"/>
        </w:rPr>
      </w:pPr>
      <w:r>
        <w:fldChar w:fldCharType="begin"/>
      </w:r>
      <w:r>
        <w:instrText xml:space="preserve"> HYPERLINK \l "_Toc9292" </w:instrText>
      </w:r>
      <w:r>
        <w:fldChar w:fldCharType="separate"/>
      </w:r>
      <w:r>
        <w:rPr>
          <w:rFonts w:hint="eastAsia"/>
          <w:bCs/>
          <w:sz w:val="21"/>
          <w:szCs w:val="21"/>
        </w:rPr>
        <w:t>3.3</w:t>
      </w:r>
      <w:r>
        <w:rPr>
          <w:rFonts w:hint="eastAsia"/>
          <w:bCs/>
          <w:sz w:val="21"/>
          <w:szCs w:val="21"/>
          <w:lang w:val="en-US"/>
        </w:rPr>
        <w:t xml:space="preserve"> </w:t>
      </w:r>
      <w:r>
        <w:rPr>
          <w:rFonts w:hint="eastAsia"/>
          <w:bCs/>
          <w:sz w:val="21"/>
          <w:szCs w:val="21"/>
        </w:rPr>
        <w:t>投标</w:t>
      </w:r>
      <w:r>
        <w:rPr>
          <w:rFonts w:hint="eastAsia"/>
          <w:sz w:val="21"/>
          <w:szCs w:val="21"/>
        </w:rPr>
        <w:tab/>
      </w:r>
      <w:r>
        <w:rPr>
          <w:rFonts w:hint="eastAsia"/>
          <w:sz w:val="21"/>
          <w:szCs w:val="21"/>
        </w:rPr>
        <w:fldChar w:fldCharType="begin"/>
      </w:r>
      <w:r>
        <w:rPr>
          <w:rFonts w:hint="eastAsia"/>
          <w:sz w:val="21"/>
          <w:szCs w:val="21"/>
        </w:rPr>
        <w:instrText xml:space="preserve"> PAGEREF _Toc9292 \h </w:instrText>
      </w:r>
      <w:r>
        <w:rPr>
          <w:rFonts w:hint="eastAsia"/>
          <w:sz w:val="21"/>
          <w:szCs w:val="21"/>
        </w:rPr>
        <w:fldChar w:fldCharType="separate"/>
      </w:r>
      <w:r>
        <w:rPr>
          <w:rFonts w:hint="eastAsia"/>
          <w:sz w:val="21"/>
          <w:szCs w:val="21"/>
        </w:rPr>
        <w:t>12</w:t>
      </w:r>
      <w:r>
        <w:rPr>
          <w:rFonts w:hint="eastAsia"/>
          <w:sz w:val="21"/>
          <w:szCs w:val="21"/>
        </w:rPr>
        <w:fldChar w:fldCharType="end"/>
      </w:r>
      <w:r>
        <w:rPr>
          <w:rFonts w:hint="eastAsia"/>
          <w:sz w:val="21"/>
          <w:szCs w:val="21"/>
        </w:rPr>
        <w:fldChar w:fldCharType="end"/>
      </w:r>
    </w:p>
    <w:p w14:paraId="5568391B">
      <w:pPr>
        <w:pStyle w:val="10"/>
        <w:tabs>
          <w:tab w:val="right" w:leader="dot" w:pos="9128"/>
        </w:tabs>
        <w:rPr>
          <w:sz w:val="21"/>
          <w:szCs w:val="21"/>
        </w:rPr>
      </w:pPr>
      <w:r>
        <w:fldChar w:fldCharType="begin"/>
      </w:r>
      <w:r>
        <w:instrText xml:space="preserve"> HYPERLINK \l "_Toc1659" </w:instrText>
      </w:r>
      <w:r>
        <w:fldChar w:fldCharType="separate"/>
      </w:r>
      <w:r>
        <w:rPr>
          <w:rFonts w:hint="eastAsia"/>
          <w:kern w:val="2"/>
          <w:sz w:val="21"/>
          <w:szCs w:val="21"/>
        </w:rPr>
        <w:t>3.4</w:t>
      </w:r>
      <w:r>
        <w:rPr>
          <w:rFonts w:hint="eastAsia"/>
          <w:kern w:val="2"/>
          <w:sz w:val="21"/>
          <w:szCs w:val="21"/>
          <w:lang w:val="en-US"/>
        </w:rPr>
        <w:t xml:space="preserve"> </w:t>
      </w:r>
      <w:r>
        <w:rPr>
          <w:rFonts w:hint="eastAsia"/>
          <w:kern w:val="2"/>
          <w:sz w:val="21"/>
          <w:szCs w:val="21"/>
        </w:rPr>
        <w:t>开标</w:t>
      </w:r>
      <w:r>
        <w:rPr>
          <w:rFonts w:hint="eastAsia"/>
          <w:sz w:val="21"/>
          <w:szCs w:val="21"/>
        </w:rPr>
        <w:tab/>
      </w:r>
      <w:r>
        <w:rPr>
          <w:rFonts w:hint="eastAsia"/>
          <w:sz w:val="21"/>
          <w:szCs w:val="21"/>
        </w:rPr>
        <w:fldChar w:fldCharType="begin"/>
      </w:r>
      <w:r>
        <w:rPr>
          <w:rFonts w:hint="eastAsia"/>
          <w:sz w:val="21"/>
          <w:szCs w:val="21"/>
        </w:rPr>
        <w:instrText xml:space="preserve"> PAGEREF _Toc1659 \h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77B55720">
      <w:pPr>
        <w:pStyle w:val="10"/>
        <w:tabs>
          <w:tab w:val="right" w:leader="dot" w:pos="9128"/>
        </w:tabs>
        <w:rPr>
          <w:sz w:val="21"/>
          <w:szCs w:val="21"/>
        </w:rPr>
      </w:pPr>
      <w:r>
        <w:fldChar w:fldCharType="begin"/>
      </w:r>
      <w:r>
        <w:instrText xml:space="preserve"> HYPERLINK \l "_Toc13894" </w:instrText>
      </w:r>
      <w:r>
        <w:fldChar w:fldCharType="separate"/>
      </w:r>
      <w:r>
        <w:rPr>
          <w:rFonts w:hint="eastAsia"/>
          <w:kern w:val="2"/>
          <w:sz w:val="21"/>
          <w:szCs w:val="21"/>
        </w:rPr>
        <w:t>3.5</w:t>
      </w:r>
      <w:r>
        <w:rPr>
          <w:rFonts w:hint="eastAsia"/>
          <w:kern w:val="2"/>
          <w:sz w:val="21"/>
          <w:szCs w:val="21"/>
          <w:lang w:val="en-US"/>
        </w:rPr>
        <w:t xml:space="preserve"> </w:t>
      </w:r>
      <w:r>
        <w:rPr>
          <w:rFonts w:hint="eastAsia"/>
          <w:kern w:val="2"/>
          <w:sz w:val="21"/>
          <w:szCs w:val="21"/>
        </w:rPr>
        <w:t>评标</w:t>
      </w:r>
      <w:r>
        <w:rPr>
          <w:rFonts w:hint="eastAsia"/>
          <w:sz w:val="21"/>
          <w:szCs w:val="21"/>
        </w:rPr>
        <w:tab/>
      </w:r>
      <w:r>
        <w:rPr>
          <w:rFonts w:hint="eastAsia"/>
          <w:sz w:val="21"/>
          <w:szCs w:val="21"/>
        </w:rPr>
        <w:fldChar w:fldCharType="begin"/>
      </w:r>
      <w:r>
        <w:rPr>
          <w:rFonts w:hint="eastAsia"/>
          <w:sz w:val="21"/>
          <w:szCs w:val="21"/>
        </w:rPr>
        <w:instrText xml:space="preserve"> PAGEREF _Toc13894 \h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2B464E79">
      <w:pPr>
        <w:pStyle w:val="10"/>
        <w:tabs>
          <w:tab w:val="right" w:leader="dot" w:pos="9128"/>
        </w:tabs>
        <w:rPr>
          <w:sz w:val="21"/>
          <w:szCs w:val="21"/>
        </w:rPr>
      </w:pPr>
      <w:r>
        <w:fldChar w:fldCharType="begin"/>
      </w:r>
      <w:r>
        <w:instrText xml:space="preserve"> HYPERLINK \l "_Toc15051" </w:instrText>
      </w:r>
      <w:r>
        <w:fldChar w:fldCharType="separate"/>
      </w:r>
      <w:r>
        <w:rPr>
          <w:rFonts w:hint="eastAsia"/>
          <w:kern w:val="2"/>
          <w:sz w:val="21"/>
          <w:szCs w:val="21"/>
        </w:rPr>
        <w:t>3.6</w:t>
      </w:r>
      <w:r>
        <w:rPr>
          <w:rFonts w:hint="eastAsia"/>
          <w:kern w:val="2"/>
          <w:sz w:val="21"/>
          <w:szCs w:val="21"/>
          <w:lang w:val="en-US"/>
        </w:rPr>
        <w:t xml:space="preserve"> </w:t>
      </w:r>
      <w:r>
        <w:rPr>
          <w:rFonts w:hint="eastAsia"/>
          <w:kern w:val="2"/>
          <w:sz w:val="21"/>
          <w:szCs w:val="21"/>
        </w:rPr>
        <w:t>定标</w:t>
      </w:r>
      <w:r>
        <w:rPr>
          <w:rFonts w:hint="eastAsia"/>
          <w:sz w:val="21"/>
          <w:szCs w:val="21"/>
        </w:rPr>
        <w:tab/>
      </w:r>
      <w:r>
        <w:rPr>
          <w:rFonts w:hint="eastAsia"/>
          <w:sz w:val="21"/>
          <w:szCs w:val="21"/>
        </w:rPr>
        <w:fldChar w:fldCharType="begin"/>
      </w:r>
      <w:r>
        <w:rPr>
          <w:rFonts w:hint="eastAsia"/>
          <w:sz w:val="21"/>
          <w:szCs w:val="21"/>
        </w:rPr>
        <w:instrText xml:space="preserve"> PAGEREF _Toc15051 \h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440773FC">
      <w:pPr>
        <w:pStyle w:val="10"/>
        <w:tabs>
          <w:tab w:val="right" w:leader="dot" w:pos="9128"/>
        </w:tabs>
        <w:rPr>
          <w:sz w:val="21"/>
          <w:szCs w:val="21"/>
        </w:rPr>
      </w:pPr>
      <w:r>
        <w:fldChar w:fldCharType="begin"/>
      </w:r>
      <w:r>
        <w:instrText xml:space="preserve"> HYPERLINK \l "_Toc27837" </w:instrText>
      </w:r>
      <w:r>
        <w:fldChar w:fldCharType="separate"/>
      </w:r>
      <w:r>
        <w:rPr>
          <w:rFonts w:hint="eastAsia"/>
          <w:kern w:val="2"/>
          <w:sz w:val="21"/>
          <w:szCs w:val="21"/>
        </w:rPr>
        <w:t>3.7</w:t>
      </w:r>
      <w:r>
        <w:rPr>
          <w:rFonts w:hint="eastAsia"/>
          <w:kern w:val="2"/>
          <w:sz w:val="21"/>
          <w:szCs w:val="21"/>
          <w:lang w:val="en-US"/>
        </w:rPr>
        <w:t xml:space="preserve"> </w:t>
      </w:r>
      <w:r>
        <w:rPr>
          <w:rFonts w:hint="eastAsia"/>
          <w:kern w:val="2"/>
          <w:sz w:val="21"/>
          <w:szCs w:val="21"/>
        </w:rPr>
        <w:t>中标通知书</w:t>
      </w:r>
      <w:r>
        <w:rPr>
          <w:rFonts w:hint="eastAsia"/>
          <w:sz w:val="21"/>
          <w:szCs w:val="21"/>
        </w:rPr>
        <w:tab/>
      </w:r>
      <w:r>
        <w:rPr>
          <w:rFonts w:hint="eastAsia"/>
          <w:sz w:val="21"/>
          <w:szCs w:val="21"/>
        </w:rPr>
        <w:fldChar w:fldCharType="begin"/>
      </w:r>
      <w:r>
        <w:rPr>
          <w:rFonts w:hint="eastAsia"/>
          <w:sz w:val="21"/>
          <w:szCs w:val="21"/>
        </w:rPr>
        <w:instrText xml:space="preserve"> PAGEREF _Toc27837 \h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30BF71F">
      <w:pPr>
        <w:pStyle w:val="10"/>
        <w:tabs>
          <w:tab w:val="right" w:leader="dot" w:pos="9128"/>
        </w:tabs>
        <w:rPr>
          <w:sz w:val="21"/>
          <w:szCs w:val="21"/>
        </w:rPr>
      </w:pPr>
      <w:r>
        <w:fldChar w:fldCharType="begin"/>
      </w:r>
      <w:r>
        <w:instrText xml:space="preserve"> HYPERLINK \l "_Toc26324" </w:instrText>
      </w:r>
      <w:r>
        <w:fldChar w:fldCharType="separate"/>
      </w:r>
      <w:r>
        <w:rPr>
          <w:rFonts w:hint="eastAsia"/>
          <w:kern w:val="2"/>
          <w:sz w:val="21"/>
          <w:szCs w:val="21"/>
        </w:rPr>
        <w:t>3.8</w:t>
      </w:r>
      <w:r>
        <w:rPr>
          <w:rFonts w:hint="eastAsia"/>
          <w:kern w:val="2"/>
          <w:sz w:val="21"/>
          <w:szCs w:val="21"/>
          <w:lang w:val="en-US"/>
        </w:rPr>
        <w:t xml:space="preserve"> </w:t>
      </w:r>
      <w:r>
        <w:rPr>
          <w:rFonts w:hint="eastAsia"/>
          <w:kern w:val="2"/>
          <w:sz w:val="21"/>
          <w:szCs w:val="21"/>
        </w:rPr>
        <w:t>签订政府采购合同</w:t>
      </w:r>
      <w:r>
        <w:rPr>
          <w:rFonts w:hint="eastAsia"/>
          <w:sz w:val="21"/>
          <w:szCs w:val="21"/>
        </w:rPr>
        <w:tab/>
      </w:r>
      <w:r>
        <w:rPr>
          <w:rFonts w:hint="eastAsia"/>
          <w:sz w:val="21"/>
          <w:szCs w:val="21"/>
        </w:rPr>
        <w:fldChar w:fldCharType="begin"/>
      </w:r>
      <w:r>
        <w:rPr>
          <w:rFonts w:hint="eastAsia"/>
          <w:sz w:val="21"/>
          <w:szCs w:val="21"/>
        </w:rPr>
        <w:instrText xml:space="preserve"> PAGEREF _Toc26324 \h </w:instrText>
      </w:r>
      <w:r>
        <w:rPr>
          <w:rFonts w:hint="eastAsia"/>
          <w:sz w:val="21"/>
          <w:szCs w:val="21"/>
        </w:rPr>
        <w:fldChar w:fldCharType="separate"/>
      </w:r>
      <w:r>
        <w:rPr>
          <w:rFonts w:hint="eastAsia"/>
          <w:sz w:val="21"/>
          <w:szCs w:val="21"/>
        </w:rPr>
        <w:t>16</w:t>
      </w:r>
      <w:r>
        <w:rPr>
          <w:rFonts w:hint="eastAsia"/>
          <w:sz w:val="21"/>
          <w:szCs w:val="21"/>
        </w:rPr>
        <w:fldChar w:fldCharType="end"/>
      </w:r>
      <w:r>
        <w:rPr>
          <w:rFonts w:hint="eastAsia"/>
          <w:sz w:val="21"/>
          <w:szCs w:val="21"/>
        </w:rPr>
        <w:fldChar w:fldCharType="end"/>
      </w:r>
    </w:p>
    <w:p w14:paraId="73F5667B">
      <w:pPr>
        <w:pStyle w:val="10"/>
        <w:tabs>
          <w:tab w:val="right" w:leader="dot" w:pos="9128"/>
        </w:tabs>
        <w:rPr>
          <w:sz w:val="21"/>
          <w:szCs w:val="21"/>
        </w:rPr>
      </w:pPr>
      <w:r>
        <w:fldChar w:fldCharType="begin"/>
      </w:r>
      <w:r>
        <w:instrText xml:space="preserve"> HYPERLINK \l "_Toc7545" </w:instrText>
      </w:r>
      <w:r>
        <w:fldChar w:fldCharType="separate"/>
      </w:r>
      <w:r>
        <w:rPr>
          <w:rFonts w:hint="eastAsia"/>
          <w:kern w:val="2"/>
          <w:sz w:val="21"/>
          <w:szCs w:val="21"/>
        </w:rPr>
        <w:t>3.9</w:t>
      </w:r>
      <w:r>
        <w:rPr>
          <w:rFonts w:hint="eastAsia"/>
          <w:kern w:val="2"/>
          <w:sz w:val="21"/>
          <w:szCs w:val="21"/>
          <w:lang w:val="en-US"/>
        </w:rPr>
        <w:t xml:space="preserve"> </w:t>
      </w:r>
      <w:r>
        <w:rPr>
          <w:rFonts w:hint="eastAsia"/>
          <w:kern w:val="2"/>
          <w:sz w:val="21"/>
          <w:szCs w:val="21"/>
        </w:rPr>
        <w:t>其他</w:t>
      </w:r>
      <w:r>
        <w:rPr>
          <w:rFonts w:hint="eastAsia"/>
          <w:sz w:val="21"/>
          <w:szCs w:val="21"/>
        </w:rPr>
        <w:tab/>
      </w:r>
      <w:r>
        <w:rPr>
          <w:rFonts w:hint="eastAsia"/>
          <w:sz w:val="21"/>
          <w:szCs w:val="21"/>
        </w:rPr>
        <w:fldChar w:fldCharType="begin"/>
      </w:r>
      <w:r>
        <w:rPr>
          <w:rFonts w:hint="eastAsia"/>
          <w:sz w:val="21"/>
          <w:szCs w:val="21"/>
        </w:rPr>
        <w:instrText xml:space="preserve"> PAGEREF _Toc7545 \h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4280206A">
      <w:pPr>
        <w:pStyle w:val="10"/>
        <w:tabs>
          <w:tab w:val="right" w:leader="dot" w:pos="9128"/>
        </w:tabs>
        <w:rPr>
          <w:sz w:val="21"/>
          <w:szCs w:val="21"/>
        </w:rPr>
      </w:pPr>
      <w:r>
        <w:fldChar w:fldCharType="begin"/>
      </w:r>
      <w:r>
        <w:instrText xml:space="preserve"> HYPERLINK \l "_Toc19650" </w:instrText>
      </w:r>
      <w:r>
        <w:fldChar w:fldCharType="separate"/>
      </w:r>
      <w:r>
        <w:rPr>
          <w:rFonts w:hint="eastAsia"/>
          <w:kern w:val="2"/>
          <w:sz w:val="21"/>
          <w:szCs w:val="21"/>
        </w:rPr>
        <w:t>3.10</w:t>
      </w:r>
      <w:r>
        <w:rPr>
          <w:rFonts w:hint="eastAsia"/>
          <w:kern w:val="2"/>
          <w:sz w:val="21"/>
          <w:szCs w:val="21"/>
          <w:lang w:val="en-US"/>
        </w:rPr>
        <w:t xml:space="preserve"> </w:t>
      </w:r>
      <w:r>
        <w:rPr>
          <w:rFonts w:hint="eastAsia"/>
          <w:kern w:val="2"/>
          <w:sz w:val="21"/>
          <w:szCs w:val="21"/>
        </w:rPr>
        <w:t>澄清与质疑</w:t>
      </w:r>
      <w:r>
        <w:rPr>
          <w:rFonts w:hint="eastAsia"/>
          <w:sz w:val="21"/>
          <w:szCs w:val="21"/>
        </w:rPr>
        <w:tab/>
      </w:r>
      <w:r>
        <w:rPr>
          <w:rFonts w:hint="eastAsia"/>
          <w:sz w:val="21"/>
          <w:szCs w:val="21"/>
        </w:rPr>
        <w:fldChar w:fldCharType="begin"/>
      </w:r>
      <w:r>
        <w:rPr>
          <w:rFonts w:hint="eastAsia"/>
          <w:sz w:val="21"/>
          <w:szCs w:val="21"/>
        </w:rPr>
        <w:instrText xml:space="preserve"> PAGEREF _Toc19650 \h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75B76B73">
      <w:pPr>
        <w:pStyle w:val="9"/>
        <w:tabs>
          <w:tab w:val="right" w:leader="dot" w:pos="9128"/>
        </w:tabs>
        <w:spacing w:after="0"/>
        <w:rPr>
          <w:rFonts w:ascii="宋体" w:hAnsi="宋体" w:eastAsia="宋体" w:cs="宋体"/>
          <w:sz w:val="21"/>
          <w:szCs w:val="21"/>
        </w:rPr>
      </w:pPr>
      <w:r>
        <w:fldChar w:fldCharType="begin"/>
      </w:r>
      <w:r>
        <w:instrText xml:space="preserve"> HYPERLINK \l "_Toc16235" </w:instrText>
      </w:r>
      <w:r>
        <w:fldChar w:fldCharType="separate"/>
      </w:r>
      <w:r>
        <w:rPr>
          <w:rFonts w:hint="eastAsia" w:ascii="宋体" w:hAnsi="宋体" w:eastAsia="宋体" w:cs="宋体"/>
          <w:bCs/>
          <w:kern w:val="44"/>
          <w:sz w:val="21"/>
          <w:szCs w:val="21"/>
        </w:rPr>
        <w:t>第四章、采购需求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_Toc16235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6E32386">
      <w:pPr>
        <w:pStyle w:val="9"/>
        <w:tabs>
          <w:tab w:val="right" w:leader="dot" w:pos="9128"/>
        </w:tabs>
        <w:spacing w:after="0"/>
        <w:rPr>
          <w:rFonts w:ascii="宋体" w:hAnsi="宋体" w:eastAsia="宋体" w:cs="宋体"/>
          <w:sz w:val="21"/>
          <w:szCs w:val="21"/>
        </w:rPr>
      </w:pPr>
      <w:r>
        <w:fldChar w:fldCharType="begin"/>
      </w:r>
      <w:r>
        <w:instrText xml:space="preserve"> HYPERLINK \l "_Toc14161" </w:instrText>
      </w:r>
      <w:r>
        <w:fldChar w:fldCharType="separate"/>
      </w:r>
      <w:r>
        <w:rPr>
          <w:rFonts w:hint="eastAsia" w:ascii="宋体" w:hAnsi="宋体" w:eastAsia="宋体" w:cs="宋体"/>
          <w:bCs/>
          <w:kern w:val="44"/>
          <w:sz w:val="21"/>
          <w:szCs w:val="21"/>
        </w:rPr>
        <w:t>第五章、评标原则及办法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_Toc14161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A91DB9D">
      <w:pPr>
        <w:pStyle w:val="10"/>
        <w:tabs>
          <w:tab w:val="right" w:leader="dot" w:pos="9128"/>
        </w:tabs>
        <w:rPr>
          <w:sz w:val="21"/>
          <w:szCs w:val="21"/>
        </w:rPr>
      </w:pPr>
      <w:r>
        <w:fldChar w:fldCharType="begin"/>
      </w:r>
      <w:r>
        <w:instrText xml:space="preserve"> HYPERLINK \l "_Toc11184" </w:instrText>
      </w:r>
      <w:r>
        <w:fldChar w:fldCharType="separate"/>
      </w:r>
      <w:r>
        <w:rPr>
          <w:rFonts w:hint="eastAsia"/>
          <w:bCs/>
          <w:sz w:val="21"/>
          <w:szCs w:val="21"/>
        </w:rPr>
        <w:t>5.1 评标工作中的原则及组织</w:t>
      </w:r>
      <w:r>
        <w:rPr>
          <w:rFonts w:hint="eastAsia"/>
          <w:sz w:val="21"/>
          <w:szCs w:val="21"/>
        </w:rPr>
        <w:tab/>
      </w:r>
      <w:r>
        <w:rPr>
          <w:rFonts w:hint="eastAsia"/>
          <w:sz w:val="21"/>
          <w:szCs w:val="21"/>
        </w:rPr>
        <w:fldChar w:fldCharType="begin"/>
      </w:r>
      <w:r>
        <w:rPr>
          <w:rFonts w:hint="eastAsia"/>
          <w:sz w:val="21"/>
          <w:szCs w:val="21"/>
        </w:rPr>
        <w:instrText xml:space="preserve"> PAGEREF _Toc11184 \h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7B06CB89">
      <w:pPr>
        <w:pStyle w:val="10"/>
        <w:tabs>
          <w:tab w:val="right" w:leader="dot" w:pos="9128"/>
        </w:tabs>
        <w:rPr>
          <w:sz w:val="21"/>
          <w:szCs w:val="21"/>
        </w:rPr>
      </w:pPr>
      <w:r>
        <w:fldChar w:fldCharType="begin"/>
      </w:r>
      <w:r>
        <w:instrText xml:space="preserve"> HYPERLINK \l "_Toc5964" </w:instrText>
      </w:r>
      <w:r>
        <w:fldChar w:fldCharType="separate"/>
      </w:r>
      <w:r>
        <w:rPr>
          <w:rFonts w:hint="eastAsia"/>
          <w:bCs/>
          <w:sz w:val="21"/>
          <w:szCs w:val="21"/>
        </w:rPr>
        <w:t>5.2 评标内容及标准</w:t>
      </w:r>
      <w:r>
        <w:rPr>
          <w:rFonts w:hint="eastAsia"/>
          <w:sz w:val="21"/>
          <w:szCs w:val="21"/>
        </w:rPr>
        <w:tab/>
      </w:r>
      <w:r>
        <w:rPr>
          <w:rFonts w:hint="eastAsia"/>
          <w:sz w:val="21"/>
          <w:szCs w:val="21"/>
        </w:rPr>
        <w:fldChar w:fldCharType="begin"/>
      </w:r>
      <w:r>
        <w:rPr>
          <w:rFonts w:hint="eastAsia"/>
          <w:sz w:val="21"/>
          <w:szCs w:val="21"/>
        </w:rPr>
        <w:instrText xml:space="preserve"> PAGEREF _Toc5964 \h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21F387EF">
      <w:pPr>
        <w:pStyle w:val="10"/>
        <w:tabs>
          <w:tab w:val="right" w:leader="dot" w:pos="9128"/>
        </w:tabs>
        <w:rPr>
          <w:sz w:val="21"/>
          <w:szCs w:val="21"/>
        </w:rPr>
      </w:pPr>
      <w:r>
        <w:fldChar w:fldCharType="begin"/>
      </w:r>
      <w:r>
        <w:instrText xml:space="preserve"> HYPERLINK \l "_Toc9087" </w:instrText>
      </w:r>
      <w:r>
        <w:fldChar w:fldCharType="separate"/>
      </w:r>
      <w:r>
        <w:rPr>
          <w:rFonts w:hint="eastAsia"/>
          <w:bCs/>
          <w:sz w:val="21"/>
          <w:szCs w:val="21"/>
        </w:rPr>
        <w:t>5.3 评标的程序和方法</w:t>
      </w:r>
      <w:r>
        <w:rPr>
          <w:rFonts w:hint="eastAsia"/>
          <w:sz w:val="21"/>
          <w:szCs w:val="21"/>
        </w:rPr>
        <w:tab/>
      </w:r>
      <w:r>
        <w:rPr>
          <w:rFonts w:hint="eastAsia"/>
          <w:sz w:val="21"/>
          <w:szCs w:val="21"/>
        </w:rPr>
        <w:fldChar w:fldCharType="begin"/>
      </w:r>
      <w:r>
        <w:rPr>
          <w:rFonts w:hint="eastAsia"/>
          <w:sz w:val="21"/>
          <w:szCs w:val="21"/>
        </w:rPr>
        <w:instrText xml:space="preserve"> PAGEREF _Toc9087 \h </w:instrText>
      </w:r>
      <w:r>
        <w:rPr>
          <w:rFonts w:hint="eastAsia"/>
          <w:sz w:val="21"/>
          <w:szCs w:val="21"/>
        </w:rPr>
        <w:fldChar w:fldCharType="separate"/>
      </w:r>
      <w:r>
        <w:rPr>
          <w:rFonts w:hint="eastAsia"/>
          <w:sz w:val="21"/>
          <w:szCs w:val="21"/>
        </w:rPr>
        <w:t>23</w:t>
      </w:r>
      <w:r>
        <w:rPr>
          <w:rFonts w:hint="eastAsia"/>
          <w:sz w:val="21"/>
          <w:szCs w:val="21"/>
        </w:rPr>
        <w:fldChar w:fldCharType="end"/>
      </w:r>
      <w:r>
        <w:rPr>
          <w:rFonts w:hint="eastAsia"/>
          <w:sz w:val="21"/>
          <w:szCs w:val="21"/>
        </w:rPr>
        <w:fldChar w:fldCharType="end"/>
      </w:r>
    </w:p>
    <w:p w14:paraId="1DAAAF1D">
      <w:pPr>
        <w:pStyle w:val="10"/>
        <w:tabs>
          <w:tab w:val="right" w:leader="dot" w:pos="9128"/>
        </w:tabs>
        <w:rPr>
          <w:sz w:val="21"/>
          <w:szCs w:val="21"/>
        </w:rPr>
      </w:pPr>
      <w:r>
        <w:fldChar w:fldCharType="begin"/>
      </w:r>
      <w:r>
        <w:instrText xml:space="preserve"> HYPERLINK \l "_Toc22084" </w:instrText>
      </w:r>
      <w:r>
        <w:fldChar w:fldCharType="separate"/>
      </w:r>
      <w:r>
        <w:rPr>
          <w:rFonts w:hint="eastAsia"/>
          <w:bCs/>
          <w:sz w:val="21"/>
          <w:szCs w:val="21"/>
        </w:rPr>
        <w:t>5.4 采购人或者采购代理机构负责组织评标工作，并履行下列职责：</w:t>
      </w:r>
      <w:r>
        <w:rPr>
          <w:rFonts w:hint="eastAsia"/>
          <w:sz w:val="21"/>
          <w:szCs w:val="21"/>
        </w:rPr>
        <w:tab/>
      </w:r>
      <w:r>
        <w:rPr>
          <w:rFonts w:hint="eastAsia"/>
          <w:sz w:val="21"/>
          <w:szCs w:val="21"/>
        </w:rPr>
        <w:fldChar w:fldCharType="begin"/>
      </w:r>
      <w:r>
        <w:rPr>
          <w:rFonts w:hint="eastAsia"/>
          <w:sz w:val="21"/>
          <w:szCs w:val="21"/>
        </w:rPr>
        <w:instrText xml:space="preserve"> PAGEREF _Toc22084 \h </w:instrText>
      </w:r>
      <w:r>
        <w:rPr>
          <w:rFonts w:hint="eastAsia"/>
          <w:sz w:val="21"/>
          <w:szCs w:val="21"/>
        </w:rPr>
        <w:fldChar w:fldCharType="separate"/>
      </w:r>
      <w:r>
        <w:rPr>
          <w:rFonts w:hint="eastAsia"/>
          <w:sz w:val="21"/>
          <w:szCs w:val="21"/>
        </w:rPr>
        <w:t>26</w:t>
      </w:r>
      <w:r>
        <w:rPr>
          <w:rFonts w:hint="eastAsia"/>
          <w:sz w:val="21"/>
          <w:szCs w:val="21"/>
        </w:rPr>
        <w:fldChar w:fldCharType="end"/>
      </w:r>
      <w:r>
        <w:rPr>
          <w:rFonts w:hint="eastAsia"/>
          <w:sz w:val="21"/>
          <w:szCs w:val="21"/>
        </w:rPr>
        <w:fldChar w:fldCharType="end"/>
      </w:r>
    </w:p>
    <w:p w14:paraId="7781B898">
      <w:pPr>
        <w:pStyle w:val="10"/>
        <w:tabs>
          <w:tab w:val="right" w:leader="dot" w:pos="9128"/>
        </w:tabs>
        <w:rPr>
          <w:sz w:val="21"/>
          <w:szCs w:val="21"/>
        </w:rPr>
      </w:pPr>
      <w:r>
        <w:fldChar w:fldCharType="begin"/>
      </w:r>
      <w:r>
        <w:instrText xml:space="preserve"> HYPERLINK \l "_Toc10893" </w:instrText>
      </w:r>
      <w:r>
        <w:fldChar w:fldCharType="separate"/>
      </w:r>
      <w:r>
        <w:rPr>
          <w:rFonts w:hint="eastAsia"/>
          <w:bCs/>
          <w:sz w:val="21"/>
          <w:szCs w:val="21"/>
        </w:rPr>
        <w:t>5.5 评标委员会的职责及中标供应商的确定</w:t>
      </w:r>
      <w:r>
        <w:rPr>
          <w:rFonts w:hint="eastAsia"/>
          <w:sz w:val="21"/>
          <w:szCs w:val="21"/>
        </w:rPr>
        <w:tab/>
      </w:r>
      <w:r>
        <w:rPr>
          <w:rFonts w:hint="eastAsia"/>
          <w:sz w:val="21"/>
          <w:szCs w:val="21"/>
        </w:rPr>
        <w:fldChar w:fldCharType="begin"/>
      </w:r>
      <w:r>
        <w:rPr>
          <w:rFonts w:hint="eastAsia"/>
          <w:sz w:val="21"/>
          <w:szCs w:val="21"/>
        </w:rPr>
        <w:instrText xml:space="preserve"> PAGEREF _Toc10893 \h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27F93286">
      <w:pPr>
        <w:pStyle w:val="10"/>
        <w:tabs>
          <w:tab w:val="right" w:leader="dot" w:pos="9128"/>
        </w:tabs>
        <w:rPr>
          <w:sz w:val="21"/>
          <w:szCs w:val="21"/>
        </w:rPr>
      </w:pPr>
      <w:r>
        <w:fldChar w:fldCharType="begin"/>
      </w:r>
      <w:r>
        <w:instrText xml:space="preserve"> HYPERLINK \l "_Toc20439" </w:instrText>
      </w:r>
      <w:r>
        <w:fldChar w:fldCharType="separate"/>
      </w:r>
      <w:r>
        <w:rPr>
          <w:rFonts w:hint="eastAsia"/>
          <w:bCs/>
          <w:sz w:val="21"/>
          <w:szCs w:val="21"/>
        </w:rPr>
        <w:t>5.6 评标结果汇总完成后，除下列情形外，任何人不得修改评标结果：</w:t>
      </w:r>
      <w:r>
        <w:rPr>
          <w:rFonts w:hint="eastAsia"/>
          <w:sz w:val="21"/>
          <w:szCs w:val="21"/>
        </w:rPr>
        <w:tab/>
      </w:r>
      <w:r>
        <w:rPr>
          <w:rFonts w:hint="eastAsia"/>
          <w:sz w:val="21"/>
          <w:szCs w:val="21"/>
        </w:rPr>
        <w:fldChar w:fldCharType="begin"/>
      </w:r>
      <w:r>
        <w:rPr>
          <w:rFonts w:hint="eastAsia"/>
          <w:sz w:val="21"/>
          <w:szCs w:val="21"/>
        </w:rPr>
        <w:instrText xml:space="preserve"> PAGEREF _Toc20439 \h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3A5A6233">
      <w:pPr>
        <w:pStyle w:val="10"/>
        <w:tabs>
          <w:tab w:val="right" w:leader="dot" w:pos="9128"/>
        </w:tabs>
        <w:rPr>
          <w:sz w:val="21"/>
          <w:szCs w:val="21"/>
        </w:rPr>
      </w:pPr>
      <w:r>
        <w:fldChar w:fldCharType="begin"/>
      </w:r>
      <w:r>
        <w:instrText xml:space="preserve"> HYPERLINK \l "_Toc444" </w:instrText>
      </w:r>
      <w:r>
        <w:fldChar w:fldCharType="separate"/>
      </w:r>
      <w:r>
        <w:rPr>
          <w:rFonts w:hint="eastAsia"/>
          <w:bCs/>
          <w:sz w:val="21"/>
          <w:szCs w:val="21"/>
        </w:rPr>
        <w:t>5.7 评标委员会及其成员不得有下列行为</w:t>
      </w:r>
      <w:r>
        <w:rPr>
          <w:rFonts w:hint="eastAsia"/>
          <w:sz w:val="21"/>
          <w:szCs w:val="21"/>
        </w:rPr>
        <w:tab/>
      </w:r>
      <w:r>
        <w:rPr>
          <w:rFonts w:hint="eastAsia"/>
          <w:sz w:val="21"/>
          <w:szCs w:val="21"/>
        </w:rPr>
        <w:fldChar w:fldCharType="begin"/>
      </w:r>
      <w:r>
        <w:rPr>
          <w:rFonts w:hint="eastAsia"/>
          <w:sz w:val="21"/>
          <w:szCs w:val="21"/>
        </w:rPr>
        <w:instrText xml:space="preserve"> PAGEREF _Toc444 \h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4B88DD6">
      <w:pPr>
        <w:pStyle w:val="10"/>
        <w:tabs>
          <w:tab w:val="right" w:leader="dot" w:pos="9128"/>
        </w:tabs>
        <w:rPr>
          <w:sz w:val="21"/>
          <w:szCs w:val="21"/>
        </w:rPr>
      </w:pPr>
      <w:r>
        <w:fldChar w:fldCharType="begin"/>
      </w:r>
      <w:r>
        <w:instrText xml:space="preserve"> HYPERLINK \l "_Toc11827" </w:instrText>
      </w:r>
      <w:r>
        <w:fldChar w:fldCharType="separate"/>
      </w:r>
      <w:r>
        <w:rPr>
          <w:rFonts w:hint="eastAsia"/>
          <w:bCs/>
          <w:sz w:val="21"/>
          <w:szCs w:val="21"/>
        </w:rPr>
        <w:t>5.8 投标人的严重违法行为</w:t>
      </w:r>
      <w:r>
        <w:rPr>
          <w:rFonts w:hint="eastAsia"/>
          <w:sz w:val="21"/>
          <w:szCs w:val="21"/>
        </w:rPr>
        <w:tab/>
      </w:r>
      <w:r>
        <w:rPr>
          <w:rFonts w:hint="eastAsia"/>
          <w:sz w:val="21"/>
          <w:szCs w:val="21"/>
        </w:rPr>
        <w:fldChar w:fldCharType="begin"/>
      </w:r>
      <w:r>
        <w:rPr>
          <w:rFonts w:hint="eastAsia"/>
          <w:sz w:val="21"/>
          <w:szCs w:val="21"/>
        </w:rPr>
        <w:instrText xml:space="preserve"> PAGEREF _Toc11827 \h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2F68FA58">
      <w:pPr>
        <w:pStyle w:val="10"/>
        <w:tabs>
          <w:tab w:val="right" w:leader="dot" w:pos="9128"/>
        </w:tabs>
        <w:rPr>
          <w:sz w:val="21"/>
          <w:szCs w:val="21"/>
        </w:rPr>
      </w:pPr>
      <w:r>
        <w:fldChar w:fldCharType="begin"/>
      </w:r>
      <w:r>
        <w:instrText xml:space="preserve"> HYPERLINK \l "_Toc11273" </w:instrText>
      </w:r>
      <w:r>
        <w:fldChar w:fldCharType="separate"/>
      </w:r>
      <w:r>
        <w:rPr>
          <w:rFonts w:hint="eastAsia"/>
          <w:bCs/>
          <w:sz w:val="21"/>
          <w:szCs w:val="21"/>
        </w:rPr>
        <w:t>5.9 废标</w:t>
      </w:r>
      <w:r>
        <w:rPr>
          <w:rFonts w:hint="eastAsia"/>
          <w:sz w:val="21"/>
          <w:szCs w:val="21"/>
        </w:rPr>
        <w:tab/>
      </w:r>
      <w:r>
        <w:rPr>
          <w:rFonts w:hint="eastAsia"/>
          <w:sz w:val="21"/>
          <w:szCs w:val="21"/>
        </w:rPr>
        <w:fldChar w:fldCharType="begin"/>
      </w:r>
      <w:r>
        <w:rPr>
          <w:rFonts w:hint="eastAsia"/>
          <w:sz w:val="21"/>
          <w:szCs w:val="21"/>
        </w:rPr>
        <w:instrText xml:space="preserve"> PAGEREF _Toc11273 \h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AF565E5">
      <w:pPr>
        <w:pStyle w:val="10"/>
        <w:tabs>
          <w:tab w:val="right" w:leader="dot" w:pos="9128"/>
        </w:tabs>
        <w:rPr>
          <w:sz w:val="21"/>
          <w:szCs w:val="21"/>
        </w:rPr>
      </w:pPr>
      <w:r>
        <w:fldChar w:fldCharType="begin"/>
      </w:r>
      <w:r>
        <w:instrText xml:space="preserve"> HYPERLINK \l "_Toc3011" </w:instrText>
      </w:r>
      <w:r>
        <w:fldChar w:fldCharType="separate"/>
      </w:r>
      <w:r>
        <w:rPr>
          <w:rFonts w:hint="eastAsia"/>
          <w:bCs/>
          <w:sz w:val="21"/>
          <w:szCs w:val="21"/>
        </w:rPr>
        <w:t>5.10 无效投标</w:t>
      </w:r>
      <w:r>
        <w:rPr>
          <w:rFonts w:hint="eastAsia"/>
          <w:sz w:val="21"/>
          <w:szCs w:val="21"/>
        </w:rPr>
        <w:tab/>
      </w:r>
      <w:r>
        <w:rPr>
          <w:rFonts w:hint="eastAsia"/>
          <w:sz w:val="21"/>
          <w:szCs w:val="21"/>
        </w:rPr>
        <w:fldChar w:fldCharType="begin"/>
      </w:r>
      <w:r>
        <w:rPr>
          <w:rFonts w:hint="eastAsia"/>
          <w:sz w:val="21"/>
          <w:szCs w:val="21"/>
        </w:rPr>
        <w:instrText xml:space="preserve"> PAGEREF _Toc3011 \h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09C8AF08">
      <w:pPr>
        <w:pStyle w:val="9"/>
        <w:tabs>
          <w:tab w:val="right" w:leader="dot" w:pos="9128"/>
        </w:tabs>
        <w:spacing w:after="0"/>
        <w:rPr>
          <w:rFonts w:ascii="宋体" w:hAnsi="宋体" w:eastAsia="宋体" w:cs="宋体"/>
          <w:sz w:val="21"/>
          <w:szCs w:val="21"/>
        </w:rPr>
      </w:pPr>
      <w:r>
        <w:fldChar w:fldCharType="begin"/>
      </w:r>
      <w:r>
        <w:instrText xml:space="preserve"> HYPERLINK \l "_Toc30738" </w:instrText>
      </w:r>
      <w:r>
        <w:fldChar w:fldCharType="separate"/>
      </w:r>
      <w:r>
        <w:rPr>
          <w:rFonts w:hint="eastAsia" w:ascii="宋体" w:hAnsi="宋体" w:eastAsia="宋体" w:cs="宋体"/>
          <w:bCs/>
          <w:kern w:val="44"/>
          <w:sz w:val="21"/>
          <w:szCs w:val="21"/>
        </w:rPr>
        <w:t>第六章、合同条款及格式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_Toc30738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9A5A009">
      <w:pPr>
        <w:pStyle w:val="9"/>
        <w:tabs>
          <w:tab w:val="right" w:leader="dot" w:pos="9128"/>
        </w:tabs>
        <w:spacing w:after="0"/>
        <w:rPr>
          <w:rFonts w:ascii="宋体" w:hAnsi="宋体" w:eastAsia="宋体" w:cs="宋体"/>
          <w:sz w:val="21"/>
          <w:szCs w:val="21"/>
        </w:rPr>
      </w:pPr>
      <w:r>
        <w:fldChar w:fldCharType="begin"/>
      </w:r>
      <w:r>
        <w:instrText xml:space="preserve"> HYPERLINK \l "_Toc2849" </w:instrText>
      </w:r>
      <w:r>
        <w:fldChar w:fldCharType="separate"/>
      </w:r>
      <w:r>
        <w:rPr>
          <w:rFonts w:hint="eastAsia" w:ascii="宋体" w:hAnsi="宋体" w:eastAsia="宋体" w:cs="宋体"/>
          <w:bCs/>
          <w:kern w:val="44"/>
          <w:sz w:val="21"/>
          <w:szCs w:val="21"/>
        </w:rPr>
        <w:t>第七章、投标文件格式及附件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_Toc2849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4901D2D">
      <w:pPr>
        <w:pStyle w:val="10"/>
        <w:tabs>
          <w:tab w:val="right" w:leader="dot" w:pos="9128"/>
        </w:tabs>
        <w:rPr>
          <w:sz w:val="21"/>
          <w:szCs w:val="21"/>
        </w:rPr>
      </w:pPr>
      <w:r>
        <w:fldChar w:fldCharType="begin"/>
      </w:r>
      <w:r>
        <w:instrText xml:space="preserve"> HYPERLINK \l "_Toc6831" </w:instrText>
      </w:r>
      <w:r>
        <w:fldChar w:fldCharType="separate"/>
      </w:r>
      <w:r>
        <w:rPr>
          <w:rFonts w:hint="eastAsia"/>
          <w:bCs/>
          <w:sz w:val="21"/>
          <w:szCs w:val="21"/>
        </w:rPr>
        <w:t>附件1：</w:t>
      </w:r>
      <w:r>
        <w:rPr>
          <w:rFonts w:hint="eastAsia"/>
          <w:kern w:val="2"/>
          <w:sz w:val="21"/>
          <w:szCs w:val="21"/>
        </w:rPr>
        <w:t>投标文件封面格式</w:t>
      </w:r>
      <w:r>
        <w:rPr>
          <w:rFonts w:hint="eastAsia"/>
          <w:sz w:val="21"/>
          <w:szCs w:val="21"/>
        </w:rPr>
        <w:tab/>
      </w:r>
      <w:r>
        <w:rPr>
          <w:rFonts w:hint="eastAsia"/>
          <w:sz w:val="21"/>
          <w:szCs w:val="21"/>
        </w:rPr>
        <w:fldChar w:fldCharType="begin"/>
      </w:r>
      <w:r>
        <w:rPr>
          <w:rFonts w:hint="eastAsia"/>
          <w:sz w:val="21"/>
          <w:szCs w:val="21"/>
        </w:rPr>
        <w:instrText xml:space="preserve"> PAGEREF _Toc6831 \h </w:instrText>
      </w:r>
      <w:r>
        <w:rPr>
          <w:rFonts w:hint="eastAsia"/>
          <w:sz w:val="21"/>
          <w:szCs w:val="21"/>
        </w:rPr>
        <w:fldChar w:fldCharType="separate"/>
      </w:r>
      <w:r>
        <w:rPr>
          <w:rFonts w:hint="eastAsia"/>
          <w:sz w:val="21"/>
          <w:szCs w:val="21"/>
        </w:rPr>
        <w:t>40</w:t>
      </w:r>
      <w:r>
        <w:rPr>
          <w:rFonts w:hint="eastAsia"/>
          <w:sz w:val="21"/>
          <w:szCs w:val="21"/>
        </w:rPr>
        <w:fldChar w:fldCharType="end"/>
      </w:r>
      <w:r>
        <w:rPr>
          <w:rFonts w:hint="eastAsia"/>
          <w:sz w:val="21"/>
          <w:szCs w:val="21"/>
        </w:rPr>
        <w:fldChar w:fldCharType="end"/>
      </w:r>
    </w:p>
    <w:p w14:paraId="179A1721">
      <w:pPr>
        <w:pStyle w:val="10"/>
        <w:tabs>
          <w:tab w:val="right" w:leader="dot" w:pos="9128"/>
        </w:tabs>
        <w:rPr>
          <w:sz w:val="21"/>
          <w:szCs w:val="21"/>
        </w:rPr>
      </w:pPr>
      <w:r>
        <w:fldChar w:fldCharType="begin"/>
      </w:r>
      <w:r>
        <w:instrText xml:space="preserve"> HYPERLINK \l "_Toc24518" </w:instrText>
      </w:r>
      <w:r>
        <w:fldChar w:fldCharType="separate"/>
      </w:r>
      <w:r>
        <w:rPr>
          <w:rFonts w:hint="eastAsia"/>
          <w:bCs/>
          <w:sz w:val="21"/>
          <w:szCs w:val="21"/>
        </w:rPr>
        <w:t>附件2：</w:t>
      </w:r>
      <w:r>
        <w:rPr>
          <w:rFonts w:hint="eastAsia"/>
          <w:kern w:val="2"/>
          <w:sz w:val="21"/>
          <w:szCs w:val="21"/>
        </w:rPr>
        <w:t>投标函</w:t>
      </w:r>
      <w:r>
        <w:rPr>
          <w:rFonts w:hint="eastAsia"/>
          <w:sz w:val="21"/>
          <w:szCs w:val="21"/>
        </w:rPr>
        <w:tab/>
      </w:r>
      <w:r>
        <w:rPr>
          <w:rFonts w:hint="eastAsia"/>
          <w:sz w:val="21"/>
          <w:szCs w:val="21"/>
        </w:rPr>
        <w:fldChar w:fldCharType="begin"/>
      </w:r>
      <w:r>
        <w:rPr>
          <w:rFonts w:hint="eastAsia"/>
          <w:sz w:val="21"/>
          <w:szCs w:val="21"/>
        </w:rPr>
        <w:instrText xml:space="preserve"> PAGEREF _Toc24518 \h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3BF618EB">
      <w:pPr>
        <w:pStyle w:val="10"/>
        <w:tabs>
          <w:tab w:val="right" w:leader="dot" w:pos="9128"/>
        </w:tabs>
        <w:rPr>
          <w:sz w:val="21"/>
          <w:szCs w:val="21"/>
        </w:rPr>
      </w:pPr>
      <w:r>
        <w:fldChar w:fldCharType="begin"/>
      </w:r>
      <w:r>
        <w:instrText xml:space="preserve"> HYPERLINK \l "_Toc2928" </w:instrText>
      </w:r>
      <w:r>
        <w:fldChar w:fldCharType="separate"/>
      </w:r>
      <w:r>
        <w:rPr>
          <w:rFonts w:hint="eastAsia"/>
          <w:bCs/>
          <w:sz w:val="21"/>
          <w:szCs w:val="21"/>
        </w:rPr>
        <w:t>附件3：</w:t>
      </w:r>
      <w:r>
        <w:rPr>
          <w:rFonts w:hint="eastAsia"/>
          <w:kern w:val="2"/>
          <w:sz w:val="21"/>
          <w:szCs w:val="21"/>
        </w:rPr>
        <w:t>法定代表人身份证明</w:t>
      </w:r>
      <w:r>
        <w:rPr>
          <w:rFonts w:hint="eastAsia"/>
          <w:sz w:val="21"/>
          <w:szCs w:val="21"/>
        </w:rPr>
        <w:tab/>
      </w:r>
      <w:r>
        <w:rPr>
          <w:rFonts w:hint="eastAsia"/>
          <w:sz w:val="21"/>
          <w:szCs w:val="21"/>
        </w:rPr>
        <w:fldChar w:fldCharType="begin"/>
      </w:r>
      <w:r>
        <w:rPr>
          <w:rFonts w:hint="eastAsia"/>
          <w:sz w:val="21"/>
          <w:szCs w:val="21"/>
        </w:rPr>
        <w:instrText xml:space="preserve"> PAGEREF _Toc2928 \h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43037162">
      <w:pPr>
        <w:pStyle w:val="10"/>
        <w:tabs>
          <w:tab w:val="right" w:leader="dot" w:pos="9128"/>
        </w:tabs>
        <w:rPr>
          <w:sz w:val="21"/>
          <w:szCs w:val="21"/>
        </w:rPr>
      </w:pPr>
      <w:r>
        <w:fldChar w:fldCharType="begin"/>
      </w:r>
      <w:r>
        <w:instrText xml:space="preserve"> HYPERLINK \l "_Toc21775" </w:instrText>
      </w:r>
      <w:r>
        <w:fldChar w:fldCharType="separate"/>
      </w:r>
      <w:r>
        <w:rPr>
          <w:rFonts w:hint="eastAsia"/>
          <w:bCs/>
          <w:sz w:val="21"/>
          <w:szCs w:val="21"/>
        </w:rPr>
        <w:t>附件4：</w:t>
      </w:r>
      <w:r>
        <w:rPr>
          <w:rFonts w:hint="eastAsia"/>
          <w:kern w:val="2"/>
          <w:sz w:val="21"/>
          <w:szCs w:val="21"/>
        </w:rPr>
        <w:t>法人授权函</w:t>
      </w:r>
      <w:r>
        <w:rPr>
          <w:rFonts w:hint="eastAsia"/>
          <w:sz w:val="21"/>
          <w:szCs w:val="21"/>
        </w:rPr>
        <w:tab/>
      </w:r>
      <w:r>
        <w:rPr>
          <w:rFonts w:hint="eastAsia"/>
          <w:sz w:val="21"/>
          <w:szCs w:val="21"/>
        </w:rPr>
        <w:fldChar w:fldCharType="begin"/>
      </w:r>
      <w:r>
        <w:rPr>
          <w:rFonts w:hint="eastAsia"/>
          <w:sz w:val="21"/>
          <w:szCs w:val="21"/>
        </w:rPr>
        <w:instrText xml:space="preserve"> PAGEREF _Toc21775 \h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0C6BF6FA">
      <w:pPr>
        <w:pStyle w:val="10"/>
        <w:tabs>
          <w:tab w:val="right" w:leader="dot" w:pos="9128"/>
        </w:tabs>
        <w:rPr>
          <w:sz w:val="21"/>
          <w:szCs w:val="21"/>
        </w:rPr>
      </w:pPr>
      <w:r>
        <w:fldChar w:fldCharType="begin"/>
      </w:r>
      <w:r>
        <w:instrText xml:space="preserve"> HYPERLINK \l "_Toc6664" </w:instrText>
      </w:r>
      <w:r>
        <w:fldChar w:fldCharType="separate"/>
      </w:r>
      <w:r>
        <w:rPr>
          <w:rFonts w:hint="eastAsia"/>
          <w:bCs/>
          <w:sz w:val="21"/>
          <w:szCs w:val="21"/>
        </w:rPr>
        <w:t>附件5：</w:t>
      </w:r>
      <w:r>
        <w:rPr>
          <w:rFonts w:hint="eastAsia"/>
          <w:kern w:val="2"/>
          <w:sz w:val="21"/>
          <w:szCs w:val="21"/>
        </w:rPr>
        <w:t>投标报价表</w:t>
      </w:r>
      <w:r>
        <w:rPr>
          <w:rFonts w:hint="eastAsia"/>
          <w:sz w:val="21"/>
          <w:szCs w:val="21"/>
        </w:rPr>
        <w:tab/>
      </w:r>
      <w:r>
        <w:rPr>
          <w:rFonts w:hint="eastAsia"/>
          <w:sz w:val="21"/>
          <w:szCs w:val="21"/>
        </w:rPr>
        <w:fldChar w:fldCharType="begin"/>
      </w:r>
      <w:r>
        <w:rPr>
          <w:rFonts w:hint="eastAsia"/>
          <w:sz w:val="21"/>
          <w:szCs w:val="21"/>
        </w:rPr>
        <w:instrText xml:space="preserve"> PAGEREF _Toc6664 \h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316FB8B5">
      <w:pPr>
        <w:pStyle w:val="10"/>
        <w:tabs>
          <w:tab w:val="right" w:leader="dot" w:pos="9128"/>
        </w:tabs>
        <w:rPr>
          <w:sz w:val="21"/>
          <w:szCs w:val="21"/>
        </w:rPr>
      </w:pPr>
      <w:r>
        <w:fldChar w:fldCharType="begin"/>
      </w:r>
      <w:r>
        <w:instrText xml:space="preserve"> HYPERLINK \l "_Toc3727" </w:instrText>
      </w:r>
      <w:r>
        <w:fldChar w:fldCharType="separate"/>
      </w:r>
      <w:r>
        <w:rPr>
          <w:rFonts w:hint="eastAsia"/>
          <w:bCs/>
          <w:sz w:val="21"/>
          <w:szCs w:val="21"/>
        </w:rPr>
        <w:t>附件6：投标报价明细表</w:t>
      </w:r>
      <w:r>
        <w:rPr>
          <w:rFonts w:hint="eastAsia"/>
          <w:sz w:val="21"/>
          <w:szCs w:val="21"/>
        </w:rPr>
        <w:tab/>
      </w:r>
      <w:r>
        <w:rPr>
          <w:rFonts w:hint="eastAsia"/>
          <w:sz w:val="21"/>
          <w:szCs w:val="21"/>
        </w:rPr>
        <w:fldChar w:fldCharType="begin"/>
      </w:r>
      <w:r>
        <w:rPr>
          <w:rFonts w:hint="eastAsia"/>
          <w:sz w:val="21"/>
          <w:szCs w:val="21"/>
        </w:rPr>
        <w:instrText xml:space="preserve"> PAGEREF _Toc3727 \h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381A5EF1">
      <w:pPr>
        <w:pStyle w:val="10"/>
        <w:tabs>
          <w:tab w:val="right" w:leader="dot" w:pos="9128"/>
        </w:tabs>
        <w:rPr>
          <w:sz w:val="21"/>
          <w:szCs w:val="21"/>
        </w:rPr>
      </w:pPr>
      <w:r>
        <w:fldChar w:fldCharType="begin"/>
      </w:r>
      <w:r>
        <w:instrText xml:space="preserve"> HYPERLINK \l "_Toc11227" </w:instrText>
      </w:r>
      <w:r>
        <w:fldChar w:fldCharType="separate"/>
      </w:r>
      <w:r>
        <w:rPr>
          <w:rFonts w:hint="eastAsia"/>
          <w:bCs/>
          <w:sz w:val="21"/>
          <w:szCs w:val="21"/>
        </w:rPr>
        <w:t>附件7：</w:t>
      </w:r>
      <w:r>
        <w:rPr>
          <w:rFonts w:hint="eastAsia"/>
          <w:kern w:val="2"/>
          <w:sz w:val="21"/>
          <w:szCs w:val="21"/>
        </w:rPr>
        <w:t>投标材料真实性保证承诺书</w:t>
      </w:r>
      <w:r>
        <w:rPr>
          <w:rFonts w:hint="eastAsia"/>
          <w:sz w:val="21"/>
          <w:szCs w:val="21"/>
        </w:rPr>
        <w:tab/>
      </w:r>
      <w:r>
        <w:rPr>
          <w:rFonts w:hint="eastAsia"/>
          <w:sz w:val="21"/>
          <w:szCs w:val="21"/>
        </w:rPr>
        <w:fldChar w:fldCharType="begin"/>
      </w:r>
      <w:r>
        <w:rPr>
          <w:rFonts w:hint="eastAsia"/>
          <w:sz w:val="21"/>
          <w:szCs w:val="21"/>
        </w:rPr>
        <w:instrText xml:space="preserve"> PAGEREF _Toc11227 \h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1F10438C">
      <w:pPr>
        <w:pStyle w:val="10"/>
        <w:tabs>
          <w:tab w:val="right" w:leader="dot" w:pos="9128"/>
        </w:tabs>
        <w:rPr>
          <w:sz w:val="21"/>
          <w:szCs w:val="21"/>
        </w:rPr>
      </w:pPr>
      <w:r>
        <w:fldChar w:fldCharType="begin"/>
      </w:r>
      <w:r>
        <w:instrText xml:space="preserve"> HYPERLINK \l "_Toc21443" </w:instrText>
      </w:r>
      <w:r>
        <w:fldChar w:fldCharType="separate"/>
      </w:r>
      <w:r>
        <w:rPr>
          <w:rFonts w:hint="eastAsia"/>
          <w:bCs/>
          <w:sz w:val="21"/>
          <w:szCs w:val="21"/>
        </w:rPr>
        <w:t>附件8：</w:t>
      </w:r>
      <w:r>
        <w:rPr>
          <w:rFonts w:hint="eastAsia"/>
          <w:bCs/>
          <w:kern w:val="2"/>
          <w:sz w:val="21"/>
          <w:szCs w:val="21"/>
        </w:rPr>
        <w:t>投标人资质证明文件及认为有必要的其他相关证明材料</w:t>
      </w:r>
      <w:r>
        <w:rPr>
          <w:rFonts w:hint="eastAsia"/>
          <w:sz w:val="21"/>
          <w:szCs w:val="21"/>
        </w:rPr>
        <w:tab/>
      </w:r>
      <w:r>
        <w:rPr>
          <w:rFonts w:hint="eastAsia"/>
          <w:sz w:val="21"/>
          <w:szCs w:val="21"/>
        </w:rPr>
        <w:fldChar w:fldCharType="begin"/>
      </w:r>
      <w:r>
        <w:rPr>
          <w:rFonts w:hint="eastAsia"/>
          <w:sz w:val="21"/>
          <w:szCs w:val="21"/>
        </w:rPr>
        <w:instrText xml:space="preserve"> PAGEREF _Toc21443 \h </w:instrText>
      </w:r>
      <w:r>
        <w:rPr>
          <w:rFonts w:hint="eastAsia"/>
          <w:sz w:val="21"/>
          <w:szCs w:val="21"/>
        </w:rPr>
        <w:fldChar w:fldCharType="separate"/>
      </w:r>
      <w:r>
        <w:rPr>
          <w:rFonts w:hint="eastAsia"/>
          <w:sz w:val="21"/>
          <w:szCs w:val="21"/>
        </w:rPr>
        <w:t>47</w:t>
      </w:r>
      <w:r>
        <w:rPr>
          <w:rFonts w:hint="eastAsia"/>
          <w:sz w:val="21"/>
          <w:szCs w:val="21"/>
        </w:rPr>
        <w:fldChar w:fldCharType="end"/>
      </w:r>
      <w:r>
        <w:rPr>
          <w:rFonts w:hint="eastAsia"/>
          <w:sz w:val="21"/>
          <w:szCs w:val="21"/>
        </w:rPr>
        <w:fldChar w:fldCharType="end"/>
      </w:r>
    </w:p>
    <w:p w14:paraId="297AAB66">
      <w:pPr>
        <w:pStyle w:val="10"/>
        <w:tabs>
          <w:tab w:val="right" w:leader="dot" w:pos="9128"/>
        </w:tabs>
        <w:rPr>
          <w:sz w:val="21"/>
          <w:szCs w:val="21"/>
        </w:rPr>
      </w:pPr>
      <w:r>
        <w:fldChar w:fldCharType="begin"/>
      </w:r>
      <w:r>
        <w:instrText xml:space="preserve"> HYPERLINK \l "_Toc19286" </w:instrText>
      </w:r>
      <w:r>
        <w:fldChar w:fldCharType="separate"/>
      </w:r>
      <w:r>
        <w:rPr>
          <w:rFonts w:hint="eastAsia"/>
          <w:bCs/>
          <w:sz w:val="21"/>
          <w:szCs w:val="21"/>
        </w:rPr>
        <w:t>附件9：</w:t>
      </w:r>
      <w:r>
        <w:rPr>
          <w:rFonts w:hint="eastAsia"/>
          <w:kern w:val="2"/>
          <w:sz w:val="21"/>
          <w:szCs w:val="21"/>
        </w:rPr>
        <w:t>商务偏离表</w:t>
      </w:r>
      <w:r>
        <w:rPr>
          <w:rFonts w:hint="eastAsia"/>
          <w:sz w:val="21"/>
          <w:szCs w:val="21"/>
        </w:rPr>
        <w:tab/>
      </w:r>
      <w:r>
        <w:rPr>
          <w:rFonts w:hint="eastAsia"/>
          <w:sz w:val="21"/>
          <w:szCs w:val="21"/>
        </w:rPr>
        <w:fldChar w:fldCharType="begin"/>
      </w:r>
      <w:r>
        <w:rPr>
          <w:rFonts w:hint="eastAsia"/>
          <w:sz w:val="21"/>
          <w:szCs w:val="21"/>
        </w:rPr>
        <w:instrText xml:space="preserve"> PAGEREF _Toc19286 \h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2505F8A1">
      <w:pPr>
        <w:pStyle w:val="10"/>
        <w:tabs>
          <w:tab w:val="right" w:leader="dot" w:pos="9128"/>
        </w:tabs>
        <w:rPr>
          <w:sz w:val="21"/>
          <w:szCs w:val="21"/>
        </w:rPr>
      </w:pPr>
      <w:r>
        <w:fldChar w:fldCharType="begin"/>
      </w:r>
      <w:r>
        <w:instrText xml:space="preserve"> HYPERLINK \l "_Toc2729" </w:instrText>
      </w:r>
      <w:r>
        <w:fldChar w:fldCharType="separate"/>
      </w:r>
      <w:r>
        <w:rPr>
          <w:rFonts w:hint="eastAsia"/>
          <w:bCs/>
          <w:sz w:val="21"/>
          <w:szCs w:val="21"/>
        </w:rPr>
        <w:t>附件10：供应商基本情况</w:t>
      </w:r>
      <w:r>
        <w:rPr>
          <w:rFonts w:hint="eastAsia"/>
          <w:sz w:val="21"/>
          <w:szCs w:val="21"/>
        </w:rPr>
        <w:tab/>
      </w:r>
      <w:r>
        <w:rPr>
          <w:rFonts w:hint="eastAsia"/>
          <w:sz w:val="21"/>
          <w:szCs w:val="21"/>
        </w:rPr>
        <w:fldChar w:fldCharType="begin"/>
      </w:r>
      <w:r>
        <w:rPr>
          <w:rFonts w:hint="eastAsia"/>
          <w:sz w:val="21"/>
          <w:szCs w:val="21"/>
        </w:rPr>
        <w:instrText xml:space="preserve"> PAGEREF _Toc2729 \h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02D8D7B1">
      <w:pPr>
        <w:pStyle w:val="10"/>
        <w:tabs>
          <w:tab w:val="right" w:leader="dot" w:pos="9128"/>
        </w:tabs>
        <w:rPr>
          <w:sz w:val="21"/>
          <w:szCs w:val="21"/>
        </w:rPr>
      </w:pPr>
      <w:r>
        <w:fldChar w:fldCharType="begin"/>
      </w:r>
      <w:r>
        <w:instrText xml:space="preserve"> HYPERLINK \l "_Toc16061" </w:instrText>
      </w:r>
      <w:r>
        <w:fldChar w:fldCharType="separate"/>
      </w:r>
      <w:r>
        <w:rPr>
          <w:rFonts w:hint="eastAsia"/>
          <w:bCs/>
          <w:sz w:val="21"/>
          <w:szCs w:val="21"/>
        </w:rPr>
        <w:t>附件11：</w:t>
      </w:r>
      <w:r>
        <w:rPr>
          <w:rFonts w:hint="eastAsia"/>
          <w:kern w:val="2"/>
          <w:sz w:val="21"/>
          <w:szCs w:val="21"/>
        </w:rPr>
        <w:t>技术偏离表</w:t>
      </w:r>
      <w:r>
        <w:rPr>
          <w:rFonts w:hint="eastAsia"/>
          <w:sz w:val="21"/>
          <w:szCs w:val="21"/>
        </w:rPr>
        <w:tab/>
      </w:r>
      <w:r>
        <w:rPr>
          <w:rFonts w:hint="eastAsia"/>
          <w:sz w:val="21"/>
          <w:szCs w:val="21"/>
        </w:rPr>
        <w:fldChar w:fldCharType="begin"/>
      </w:r>
      <w:r>
        <w:rPr>
          <w:rFonts w:hint="eastAsia"/>
          <w:sz w:val="21"/>
          <w:szCs w:val="21"/>
        </w:rPr>
        <w:instrText xml:space="preserve"> PAGEREF _Toc16061 \h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3B836911">
      <w:pPr>
        <w:pStyle w:val="10"/>
        <w:tabs>
          <w:tab w:val="right" w:leader="dot" w:pos="9128"/>
        </w:tabs>
        <w:rPr>
          <w:sz w:val="21"/>
          <w:szCs w:val="21"/>
        </w:rPr>
      </w:pPr>
      <w:r>
        <w:fldChar w:fldCharType="begin"/>
      </w:r>
      <w:r>
        <w:instrText xml:space="preserve"> HYPERLINK \l "_Toc24520" </w:instrText>
      </w:r>
      <w:r>
        <w:fldChar w:fldCharType="separate"/>
      </w:r>
      <w:r>
        <w:rPr>
          <w:rFonts w:hint="eastAsia"/>
          <w:bCs/>
          <w:sz w:val="21"/>
          <w:szCs w:val="21"/>
        </w:rPr>
        <w:t>附件12：</w:t>
      </w:r>
      <w:r>
        <w:rPr>
          <w:rFonts w:hint="eastAsia"/>
          <w:kern w:val="2"/>
          <w:sz w:val="21"/>
          <w:szCs w:val="21"/>
        </w:rPr>
        <w:t>公司业绩一览表</w:t>
      </w:r>
      <w:r>
        <w:rPr>
          <w:rFonts w:hint="eastAsia"/>
          <w:sz w:val="21"/>
          <w:szCs w:val="21"/>
        </w:rPr>
        <w:tab/>
      </w:r>
      <w:r>
        <w:rPr>
          <w:rFonts w:hint="eastAsia"/>
          <w:sz w:val="21"/>
          <w:szCs w:val="21"/>
        </w:rPr>
        <w:fldChar w:fldCharType="begin"/>
      </w:r>
      <w:r>
        <w:rPr>
          <w:rFonts w:hint="eastAsia"/>
          <w:sz w:val="21"/>
          <w:szCs w:val="21"/>
        </w:rPr>
        <w:instrText xml:space="preserve"> PAGEREF _Toc24520 \h </w:instrText>
      </w:r>
      <w:r>
        <w:rPr>
          <w:rFonts w:hint="eastAsia"/>
          <w:sz w:val="21"/>
          <w:szCs w:val="21"/>
        </w:rPr>
        <w:fldChar w:fldCharType="separate"/>
      </w:r>
      <w:r>
        <w:rPr>
          <w:rFonts w:hint="eastAsia"/>
          <w:sz w:val="21"/>
          <w:szCs w:val="21"/>
        </w:rPr>
        <w:t>51</w:t>
      </w:r>
      <w:r>
        <w:rPr>
          <w:rFonts w:hint="eastAsia"/>
          <w:sz w:val="21"/>
          <w:szCs w:val="21"/>
        </w:rPr>
        <w:fldChar w:fldCharType="end"/>
      </w:r>
      <w:r>
        <w:rPr>
          <w:rFonts w:hint="eastAsia"/>
          <w:sz w:val="21"/>
          <w:szCs w:val="21"/>
        </w:rPr>
        <w:fldChar w:fldCharType="end"/>
      </w:r>
    </w:p>
    <w:p w14:paraId="79689BDF">
      <w:pPr>
        <w:pStyle w:val="10"/>
        <w:tabs>
          <w:tab w:val="right" w:leader="dot" w:pos="9128"/>
        </w:tabs>
        <w:rPr>
          <w:sz w:val="21"/>
          <w:szCs w:val="21"/>
        </w:rPr>
      </w:pPr>
      <w:r>
        <w:fldChar w:fldCharType="begin"/>
      </w:r>
      <w:r>
        <w:instrText xml:space="preserve"> HYPERLINK \l "_Toc19076" </w:instrText>
      </w:r>
      <w:r>
        <w:fldChar w:fldCharType="separate"/>
      </w:r>
      <w:r>
        <w:rPr>
          <w:rFonts w:hint="eastAsia"/>
          <w:bCs/>
          <w:sz w:val="21"/>
          <w:szCs w:val="21"/>
        </w:rPr>
        <w:t>附件13：</w:t>
      </w:r>
      <w:r>
        <w:rPr>
          <w:rFonts w:hint="eastAsia"/>
          <w:kern w:val="2"/>
          <w:sz w:val="21"/>
          <w:szCs w:val="21"/>
        </w:rPr>
        <w:t>优惠条件承诺书</w:t>
      </w:r>
      <w:r>
        <w:rPr>
          <w:rFonts w:hint="eastAsia"/>
          <w:sz w:val="21"/>
          <w:szCs w:val="21"/>
        </w:rPr>
        <w:tab/>
      </w:r>
      <w:r>
        <w:rPr>
          <w:rFonts w:hint="eastAsia"/>
          <w:sz w:val="21"/>
          <w:szCs w:val="21"/>
        </w:rPr>
        <w:fldChar w:fldCharType="begin"/>
      </w:r>
      <w:r>
        <w:rPr>
          <w:rFonts w:hint="eastAsia"/>
          <w:sz w:val="21"/>
          <w:szCs w:val="21"/>
        </w:rPr>
        <w:instrText xml:space="preserve"> PAGEREF _Toc19076 \h </w:instrText>
      </w:r>
      <w:r>
        <w:rPr>
          <w:rFonts w:hint="eastAsia"/>
          <w:sz w:val="21"/>
          <w:szCs w:val="21"/>
        </w:rPr>
        <w:fldChar w:fldCharType="separate"/>
      </w:r>
      <w:r>
        <w:rPr>
          <w:rFonts w:hint="eastAsia"/>
          <w:sz w:val="21"/>
          <w:szCs w:val="21"/>
        </w:rPr>
        <w:t>52</w:t>
      </w:r>
      <w:r>
        <w:rPr>
          <w:rFonts w:hint="eastAsia"/>
          <w:sz w:val="21"/>
          <w:szCs w:val="21"/>
        </w:rPr>
        <w:fldChar w:fldCharType="end"/>
      </w:r>
      <w:r>
        <w:rPr>
          <w:rFonts w:hint="eastAsia"/>
          <w:sz w:val="21"/>
          <w:szCs w:val="21"/>
        </w:rPr>
        <w:fldChar w:fldCharType="end"/>
      </w:r>
    </w:p>
    <w:p w14:paraId="31A17694">
      <w:pPr>
        <w:pStyle w:val="10"/>
        <w:tabs>
          <w:tab w:val="right" w:leader="dot" w:pos="9128"/>
        </w:tabs>
        <w:rPr>
          <w:sz w:val="21"/>
          <w:szCs w:val="21"/>
        </w:rPr>
      </w:pPr>
      <w:r>
        <w:fldChar w:fldCharType="begin"/>
      </w:r>
      <w:r>
        <w:instrText xml:space="preserve"> HYPERLINK \l "_Toc20387" </w:instrText>
      </w:r>
      <w:r>
        <w:fldChar w:fldCharType="separate"/>
      </w:r>
      <w:r>
        <w:rPr>
          <w:rFonts w:hint="eastAsia"/>
          <w:bCs/>
          <w:sz w:val="21"/>
          <w:szCs w:val="21"/>
        </w:rPr>
        <w:t>附件14：</w:t>
      </w:r>
      <w:r>
        <w:rPr>
          <w:rFonts w:hint="eastAsia"/>
          <w:bCs/>
          <w:kern w:val="2"/>
          <w:sz w:val="21"/>
          <w:szCs w:val="21"/>
        </w:rPr>
        <w:t>无重大违法记录声明</w:t>
      </w:r>
      <w:r>
        <w:rPr>
          <w:rFonts w:hint="eastAsia"/>
          <w:sz w:val="21"/>
          <w:szCs w:val="21"/>
        </w:rPr>
        <w:tab/>
      </w:r>
      <w:r>
        <w:rPr>
          <w:rFonts w:hint="eastAsia"/>
          <w:sz w:val="21"/>
          <w:szCs w:val="21"/>
        </w:rPr>
        <w:fldChar w:fldCharType="begin"/>
      </w:r>
      <w:r>
        <w:rPr>
          <w:rFonts w:hint="eastAsia"/>
          <w:sz w:val="21"/>
          <w:szCs w:val="21"/>
        </w:rPr>
        <w:instrText xml:space="preserve"> PAGEREF _Toc20387 \h </w:instrText>
      </w:r>
      <w:r>
        <w:rPr>
          <w:rFonts w:hint="eastAsia"/>
          <w:sz w:val="21"/>
          <w:szCs w:val="21"/>
        </w:rPr>
        <w:fldChar w:fldCharType="separate"/>
      </w:r>
      <w:r>
        <w:rPr>
          <w:rFonts w:hint="eastAsia"/>
          <w:sz w:val="21"/>
          <w:szCs w:val="21"/>
        </w:rPr>
        <w:t>53</w:t>
      </w:r>
      <w:r>
        <w:rPr>
          <w:rFonts w:hint="eastAsia"/>
          <w:sz w:val="21"/>
          <w:szCs w:val="21"/>
        </w:rPr>
        <w:fldChar w:fldCharType="end"/>
      </w:r>
      <w:r>
        <w:rPr>
          <w:rFonts w:hint="eastAsia"/>
          <w:sz w:val="21"/>
          <w:szCs w:val="21"/>
        </w:rPr>
        <w:fldChar w:fldCharType="end"/>
      </w:r>
    </w:p>
    <w:p w14:paraId="37A721C7">
      <w:pPr>
        <w:pStyle w:val="10"/>
        <w:tabs>
          <w:tab w:val="right" w:leader="dot" w:pos="9128"/>
        </w:tabs>
        <w:rPr>
          <w:sz w:val="21"/>
          <w:szCs w:val="21"/>
        </w:rPr>
      </w:pPr>
      <w:r>
        <w:fldChar w:fldCharType="begin"/>
      </w:r>
      <w:r>
        <w:instrText xml:space="preserve"> HYPERLINK \l "_Toc9398" </w:instrText>
      </w:r>
      <w:r>
        <w:fldChar w:fldCharType="separate"/>
      </w:r>
      <w:r>
        <w:rPr>
          <w:rFonts w:hint="eastAsia"/>
          <w:bCs/>
          <w:sz w:val="21"/>
          <w:szCs w:val="21"/>
        </w:rPr>
        <w:t>附件15：</w:t>
      </w:r>
      <w:r>
        <w:rPr>
          <w:rFonts w:hint="eastAsia"/>
          <w:bCs/>
          <w:kern w:val="2"/>
          <w:sz w:val="21"/>
          <w:szCs w:val="21"/>
        </w:rPr>
        <w:t>中小企业声明函</w:t>
      </w:r>
      <w:r>
        <w:rPr>
          <w:rFonts w:hint="eastAsia"/>
          <w:sz w:val="21"/>
          <w:szCs w:val="21"/>
        </w:rPr>
        <w:tab/>
      </w:r>
      <w:r>
        <w:rPr>
          <w:rFonts w:hint="eastAsia"/>
          <w:sz w:val="21"/>
          <w:szCs w:val="21"/>
        </w:rPr>
        <w:fldChar w:fldCharType="begin"/>
      </w:r>
      <w:r>
        <w:rPr>
          <w:rFonts w:hint="eastAsia"/>
          <w:sz w:val="21"/>
          <w:szCs w:val="21"/>
        </w:rPr>
        <w:instrText xml:space="preserve"> PAGEREF _Toc9398 \h </w:instrText>
      </w:r>
      <w:r>
        <w:rPr>
          <w:rFonts w:hint="eastAsia"/>
          <w:sz w:val="21"/>
          <w:szCs w:val="21"/>
        </w:rPr>
        <w:fldChar w:fldCharType="separate"/>
      </w:r>
      <w:r>
        <w:rPr>
          <w:rFonts w:hint="eastAsia"/>
          <w:sz w:val="21"/>
          <w:szCs w:val="21"/>
        </w:rPr>
        <w:t>54</w:t>
      </w:r>
      <w:r>
        <w:rPr>
          <w:rFonts w:hint="eastAsia"/>
          <w:sz w:val="21"/>
          <w:szCs w:val="21"/>
        </w:rPr>
        <w:fldChar w:fldCharType="end"/>
      </w:r>
      <w:r>
        <w:rPr>
          <w:rFonts w:hint="eastAsia"/>
          <w:sz w:val="21"/>
          <w:szCs w:val="21"/>
        </w:rPr>
        <w:fldChar w:fldCharType="end"/>
      </w:r>
    </w:p>
    <w:p w14:paraId="2D102E39">
      <w:pPr>
        <w:pStyle w:val="10"/>
        <w:tabs>
          <w:tab w:val="right" w:leader="dot" w:pos="9128"/>
        </w:tabs>
        <w:rPr>
          <w:sz w:val="21"/>
          <w:szCs w:val="21"/>
        </w:rPr>
      </w:pPr>
      <w:r>
        <w:fldChar w:fldCharType="begin"/>
      </w:r>
      <w:r>
        <w:instrText xml:space="preserve"> HYPERLINK \l "_Toc30558" </w:instrText>
      </w:r>
      <w:r>
        <w:fldChar w:fldCharType="separate"/>
      </w:r>
      <w:r>
        <w:rPr>
          <w:rFonts w:hint="eastAsia"/>
          <w:bCs/>
          <w:sz w:val="21"/>
          <w:szCs w:val="21"/>
        </w:rPr>
        <w:t>附件16：</w:t>
      </w:r>
      <w:r>
        <w:rPr>
          <w:rFonts w:hint="eastAsia"/>
          <w:bCs/>
          <w:kern w:val="2"/>
          <w:sz w:val="21"/>
          <w:szCs w:val="21"/>
        </w:rPr>
        <w:t>同意招标文件条款声明</w:t>
      </w:r>
      <w:r>
        <w:rPr>
          <w:rFonts w:hint="eastAsia"/>
          <w:sz w:val="21"/>
          <w:szCs w:val="21"/>
        </w:rPr>
        <w:tab/>
      </w:r>
      <w:r>
        <w:rPr>
          <w:rFonts w:hint="eastAsia"/>
          <w:sz w:val="21"/>
          <w:szCs w:val="21"/>
        </w:rPr>
        <w:fldChar w:fldCharType="begin"/>
      </w:r>
      <w:r>
        <w:rPr>
          <w:rFonts w:hint="eastAsia"/>
          <w:sz w:val="21"/>
          <w:szCs w:val="21"/>
        </w:rPr>
        <w:instrText xml:space="preserve"> PAGEREF _Toc30558 \h </w:instrText>
      </w:r>
      <w:r>
        <w:rPr>
          <w:rFonts w:hint="eastAsia"/>
          <w:sz w:val="21"/>
          <w:szCs w:val="21"/>
        </w:rPr>
        <w:fldChar w:fldCharType="separate"/>
      </w:r>
      <w:r>
        <w:rPr>
          <w:rFonts w:hint="eastAsia"/>
          <w:sz w:val="21"/>
          <w:szCs w:val="21"/>
        </w:rPr>
        <w:t>55</w:t>
      </w:r>
      <w:r>
        <w:rPr>
          <w:rFonts w:hint="eastAsia"/>
          <w:sz w:val="21"/>
          <w:szCs w:val="21"/>
        </w:rPr>
        <w:fldChar w:fldCharType="end"/>
      </w:r>
      <w:r>
        <w:rPr>
          <w:rFonts w:hint="eastAsia"/>
          <w:sz w:val="21"/>
          <w:szCs w:val="21"/>
        </w:rPr>
        <w:fldChar w:fldCharType="end"/>
      </w:r>
    </w:p>
    <w:p w14:paraId="395EE380">
      <w:pPr>
        <w:pStyle w:val="10"/>
        <w:tabs>
          <w:tab w:val="right" w:leader="dot" w:pos="9128"/>
        </w:tabs>
        <w:rPr>
          <w:sz w:val="21"/>
          <w:szCs w:val="21"/>
        </w:rPr>
      </w:pPr>
      <w:r>
        <w:fldChar w:fldCharType="begin"/>
      </w:r>
      <w:r>
        <w:instrText xml:space="preserve"> HYPERLINK \l "_Toc22126" </w:instrText>
      </w:r>
      <w:r>
        <w:fldChar w:fldCharType="separate"/>
      </w:r>
      <w:r>
        <w:rPr>
          <w:rFonts w:hint="eastAsia"/>
          <w:bCs/>
          <w:sz w:val="21"/>
          <w:szCs w:val="21"/>
        </w:rPr>
        <w:t>附件17：</w:t>
      </w:r>
      <w:r>
        <w:rPr>
          <w:rFonts w:hint="eastAsia"/>
          <w:bCs/>
          <w:kern w:val="2"/>
          <w:sz w:val="21"/>
          <w:szCs w:val="21"/>
        </w:rPr>
        <w:t>虚假应标承担责任声明</w:t>
      </w:r>
      <w:r>
        <w:rPr>
          <w:rFonts w:hint="eastAsia"/>
          <w:sz w:val="21"/>
          <w:szCs w:val="21"/>
        </w:rPr>
        <w:tab/>
      </w:r>
      <w:r>
        <w:rPr>
          <w:rFonts w:hint="eastAsia"/>
          <w:sz w:val="21"/>
          <w:szCs w:val="21"/>
        </w:rPr>
        <w:fldChar w:fldCharType="begin"/>
      </w:r>
      <w:r>
        <w:rPr>
          <w:rFonts w:hint="eastAsia"/>
          <w:sz w:val="21"/>
          <w:szCs w:val="21"/>
        </w:rPr>
        <w:instrText xml:space="preserve"> PAGEREF _Toc22126 \h </w:instrText>
      </w:r>
      <w:r>
        <w:rPr>
          <w:rFonts w:hint="eastAsia"/>
          <w:sz w:val="21"/>
          <w:szCs w:val="21"/>
        </w:rPr>
        <w:fldChar w:fldCharType="separate"/>
      </w:r>
      <w:r>
        <w:rPr>
          <w:rFonts w:hint="eastAsia"/>
          <w:sz w:val="21"/>
          <w:szCs w:val="21"/>
        </w:rPr>
        <w:t>56</w:t>
      </w:r>
      <w:r>
        <w:rPr>
          <w:rFonts w:hint="eastAsia"/>
          <w:sz w:val="21"/>
          <w:szCs w:val="21"/>
        </w:rPr>
        <w:fldChar w:fldCharType="end"/>
      </w:r>
      <w:r>
        <w:rPr>
          <w:rFonts w:hint="eastAsia"/>
          <w:sz w:val="21"/>
          <w:szCs w:val="21"/>
        </w:rPr>
        <w:fldChar w:fldCharType="end"/>
      </w:r>
    </w:p>
    <w:p w14:paraId="27C06D74">
      <w:pPr>
        <w:pStyle w:val="10"/>
        <w:tabs>
          <w:tab w:val="right" w:leader="dot" w:pos="9128"/>
        </w:tabs>
        <w:rPr>
          <w:sz w:val="21"/>
          <w:szCs w:val="21"/>
        </w:rPr>
      </w:pPr>
      <w:r>
        <w:fldChar w:fldCharType="begin"/>
      </w:r>
      <w:r>
        <w:instrText xml:space="preserve"> HYPERLINK \l "_Toc26201" </w:instrText>
      </w:r>
      <w:r>
        <w:fldChar w:fldCharType="separate"/>
      </w:r>
      <w:r>
        <w:rPr>
          <w:rFonts w:hint="eastAsia"/>
          <w:bCs/>
          <w:sz w:val="21"/>
          <w:szCs w:val="21"/>
        </w:rPr>
        <w:t>附件18：</w:t>
      </w:r>
      <w:r>
        <w:rPr>
          <w:rFonts w:hint="eastAsia"/>
          <w:bCs/>
          <w:kern w:val="2"/>
          <w:sz w:val="21"/>
          <w:szCs w:val="21"/>
        </w:rPr>
        <w:t>代理服务费确认书</w:t>
      </w:r>
      <w:r>
        <w:rPr>
          <w:rFonts w:hint="eastAsia"/>
          <w:sz w:val="21"/>
          <w:szCs w:val="21"/>
        </w:rPr>
        <w:tab/>
      </w:r>
      <w:r>
        <w:rPr>
          <w:rFonts w:hint="eastAsia"/>
          <w:sz w:val="21"/>
          <w:szCs w:val="21"/>
        </w:rPr>
        <w:fldChar w:fldCharType="begin"/>
      </w:r>
      <w:r>
        <w:rPr>
          <w:rFonts w:hint="eastAsia"/>
          <w:sz w:val="21"/>
          <w:szCs w:val="21"/>
        </w:rPr>
        <w:instrText xml:space="preserve"> PAGEREF _Toc26201 \h </w:instrText>
      </w:r>
      <w:r>
        <w:rPr>
          <w:rFonts w:hint="eastAsia"/>
          <w:sz w:val="21"/>
          <w:szCs w:val="21"/>
        </w:rPr>
        <w:fldChar w:fldCharType="separate"/>
      </w:r>
      <w:r>
        <w:rPr>
          <w:rFonts w:hint="eastAsia"/>
          <w:sz w:val="21"/>
          <w:szCs w:val="21"/>
        </w:rPr>
        <w:t>57</w:t>
      </w:r>
      <w:r>
        <w:rPr>
          <w:rFonts w:hint="eastAsia"/>
          <w:sz w:val="21"/>
          <w:szCs w:val="21"/>
        </w:rPr>
        <w:fldChar w:fldCharType="end"/>
      </w:r>
      <w:r>
        <w:rPr>
          <w:rFonts w:hint="eastAsia"/>
          <w:sz w:val="21"/>
          <w:szCs w:val="21"/>
        </w:rPr>
        <w:fldChar w:fldCharType="end"/>
      </w:r>
    </w:p>
    <w:p w14:paraId="616DBEF6">
      <w:pPr>
        <w:pStyle w:val="10"/>
        <w:tabs>
          <w:tab w:val="right" w:leader="dot" w:pos="9128"/>
        </w:tabs>
        <w:rPr>
          <w:sz w:val="21"/>
          <w:szCs w:val="21"/>
        </w:rPr>
      </w:pPr>
      <w:r>
        <w:fldChar w:fldCharType="begin"/>
      </w:r>
      <w:r>
        <w:instrText xml:space="preserve"> HYPERLINK \l "_Toc22708" </w:instrText>
      </w:r>
      <w:r>
        <w:fldChar w:fldCharType="separate"/>
      </w:r>
      <w:r>
        <w:rPr>
          <w:rFonts w:hint="eastAsia"/>
          <w:bCs/>
          <w:sz w:val="21"/>
          <w:szCs w:val="21"/>
        </w:rPr>
        <w:t>附件19：</w:t>
      </w:r>
      <w:r>
        <w:rPr>
          <w:rFonts w:hint="eastAsia"/>
          <w:spacing w:val="6"/>
          <w:kern w:val="2"/>
          <w:sz w:val="21"/>
          <w:szCs w:val="21"/>
        </w:rPr>
        <w:t>代理服务费承诺书</w:t>
      </w:r>
      <w:r>
        <w:rPr>
          <w:rFonts w:hint="eastAsia"/>
          <w:sz w:val="21"/>
          <w:szCs w:val="21"/>
        </w:rPr>
        <w:tab/>
      </w:r>
      <w:r>
        <w:rPr>
          <w:rFonts w:hint="eastAsia"/>
          <w:sz w:val="21"/>
          <w:szCs w:val="21"/>
        </w:rPr>
        <w:fldChar w:fldCharType="begin"/>
      </w:r>
      <w:r>
        <w:rPr>
          <w:rFonts w:hint="eastAsia"/>
          <w:sz w:val="21"/>
          <w:szCs w:val="21"/>
        </w:rPr>
        <w:instrText xml:space="preserve"> PAGEREF _Toc22708 \h </w:instrText>
      </w:r>
      <w:r>
        <w:rPr>
          <w:rFonts w:hint="eastAsia"/>
          <w:sz w:val="21"/>
          <w:szCs w:val="21"/>
        </w:rPr>
        <w:fldChar w:fldCharType="separate"/>
      </w:r>
      <w:r>
        <w:rPr>
          <w:rFonts w:hint="eastAsia"/>
          <w:sz w:val="21"/>
          <w:szCs w:val="21"/>
        </w:rPr>
        <w:t>58</w:t>
      </w:r>
      <w:r>
        <w:rPr>
          <w:rFonts w:hint="eastAsia"/>
          <w:sz w:val="21"/>
          <w:szCs w:val="21"/>
        </w:rPr>
        <w:fldChar w:fldCharType="end"/>
      </w:r>
      <w:r>
        <w:rPr>
          <w:rFonts w:hint="eastAsia"/>
          <w:sz w:val="21"/>
          <w:szCs w:val="21"/>
        </w:rPr>
        <w:fldChar w:fldCharType="end"/>
      </w:r>
    </w:p>
    <w:p w14:paraId="1D84F7F4">
      <w:pPr>
        <w:pStyle w:val="10"/>
        <w:tabs>
          <w:tab w:val="right" w:leader="dot" w:pos="9128"/>
        </w:tabs>
        <w:rPr>
          <w:sz w:val="21"/>
          <w:szCs w:val="21"/>
        </w:rPr>
      </w:pPr>
      <w:r>
        <w:fldChar w:fldCharType="begin"/>
      </w:r>
      <w:r>
        <w:instrText xml:space="preserve"> HYPERLINK \l "_Toc24318" </w:instrText>
      </w:r>
      <w:r>
        <w:fldChar w:fldCharType="separate"/>
      </w:r>
      <w:r>
        <w:rPr>
          <w:rFonts w:hint="eastAsia"/>
          <w:bCs/>
          <w:sz w:val="21"/>
          <w:szCs w:val="21"/>
        </w:rPr>
        <w:t>附件20：</w:t>
      </w:r>
      <w:r>
        <w:rPr>
          <w:rFonts w:hint="eastAsia"/>
          <w:spacing w:val="6"/>
          <w:kern w:val="2"/>
          <w:sz w:val="21"/>
          <w:szCs w:val="21"/>
        </w:rPr>
        <w:t>残疾人福利性单位声明函</w:t>
      </w:r>
      <w:r>
        <w:rPr>
          <w:rFonts w:hint="eastAsia"/>
          <w:sz w:val="21"/>
          <w:szCs w:val="21"/>
        </w:rPr>
        <w:tab/>
      </w:r>
      <w:r>
        <w:rPr>
          <w:rFonts w:hint="eastAsia"/>
          <w:sz w:val="21"/>
          <w:szCs w:val="21"/>
        </w:rPr>
        <w:fldChar w:fldCharType="begin"/>
      </w:r>
      <w:r>
        <w:rPr>
          <w:rFonts w:hint="eastAsia"/>
          <w:sz w:val="21"/>
          <w:szCs w:val="21"/>
        </w:rPr>
        <w:instrText xml:space="preserve"> PAGEREF _Toc24318 \h </w:instrText>
      </w:r>
      <w:r>
        <w:rPr>
          <w:rFonts w:hint="eastAsia"/>
          <w:sz w:val="21"/>
          <w:szCs w:val="21"/>
        </w:rPr>
        <w:fldChar w:fldCharType="separate"/>
      </w:r>
      <w:r>
        <w:rPr>
          <w:rFonts w:hint="eastAsia"/>
          <w:sz w:val="21"/>
          <w:szCs w:val="21"/>
        </w:rPr>
        <w:t>59</w:t>
      </w:r>
      <w:r>
        <w:rPr>
          <w:rFonts w:hint="eastAsia"/>
          <w:sz w:val="21"/>
          <w:szCs w:val="21"/>
        </w:rPr>
        <w:fldChar w:fldCharType="end"/>
      </w:r>
      <w:r>
        <w:rPr>
          <w:rFonts w:hint="eastAsia"/>
          <w:sz w:val="21"/>
          <w:szCs w:val="21"/>
        </w:rPr>
        <w:fldChar w:fldCharType="end"/>
      </w:r>
    </w:p>
    <w:p w14:paraId="1F51DC26">
      <w:pPr>
        <w:pStyle w:val="9"/>
        <w:tabs>
          <w:tab w:val="right" w:leader="dot" w:pos="9128"/>
        </w:tabs>
        <w:spacing w:after="0"/>
      </w:pPr>
      <w:r>
        <w:fldChar w:fldCharType="begin"/>
      </w:r>
      <w:r>
        <w:instrText xml:space="preserve"> HYPERLINK \l "_Toc10502" </w:instrText>
      </w:r>
      <w:r>
        <w:fldChar w:fldCharType="separate"/>
      </w:r>
      <w:r>
        <w:rPr>
          <w:rFonts w:hint="eastAsia" w:ascii="宋体" w:hAnsi="宋体" w:eastAsia="宋体" w:cs="宋体"/>
          <w:bCs/>
          <w:sz w:val="21"/>
          <w:szCs w:val="21"/>
        </w:rPr>
        <w:t>第八章、招标文件其他材料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_Toc10502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B5CE600">
      <w:pPr>
        <w:pStyle w:val="5"/>
        <w:spacing w:line="380" w:lineRule="exact"/>
        <w:rPr>
          <w:rFonts w:hint="default" w:hAnsi="宋体" w:eastAsia="宋体" w:cs="Times New Roman"/>
          <w:sz w:val="28"/>
          <w:szCs w:val="28"/>
        </w:rPr>
      </w:pPr>
      <w:r>
        <w:rPr>
          <w:rFonts w:hAnsi="宋体" w:eastAsia="宋体" w:cs="宋体"/>
          <w:szCs w:val="28"/>
        </w:rPr>
        <w:fldChar w:fldCharType="end"/>
      </w:r>
    </w:p>
    <w:p w14:paraId="39E8F9CC">
      <w:pPr>
        <w:adjustRightInd/>
        <w:snapToGrid/>
        <w:spacing w:after="0" w:line="360" w:lineRule="auto"/>
        <w:jc w:val="center"/>
        <w:textAlignment w:val="baseline"/>
        <w:rPr>
          <w:rFonts w:ascii="宋体" w:hAnsi="宋体" w:eastAsia="宋体" w:cs="宋体"/>
          <w:b/>
          <w:kern w:val="2"/>
          <w:sz w:val="28"/>
          <w:szCs w:val="28"/>
        </w:rPr>
        <w:sectPr>
          <w:headerReference r:id="rId5" w:type="first"/>
          <w:footerReference r:id="rId7" w:type="first"/>
          <w:headerReference r:id="rId4" w:type="default"/>
          <w:footerReference r:id="rId6" w:type="default"/>
          <w:pgSz w:w="11906" w:h="16838"/>
          <w:pgMar w:top="1417" w:right="1361" w:bottom="1417" w:left="1417" w:header="851" w:footer="851" w:gutter="0"/>
          <w:pgNumType w:start="1"/>
          <w:cols w:space="720" w:num="1"/>
          <w:titlePg/>
          <w:docGrid w:linePitch="312" w:charSpace="0"/>
        </w:sectPr>
      </w:pPr>
    </w:p>
    <w:p w14:paraId="02DACB30">
      <w:pPr>
        <w:adjustRightInd/>
        <w:snapToGrid/>
        <w:spacing w:after="0" w:line="360" w:lineRule="auto"/>
        <w:jc w:val="center"/>
        <w:textAlignment w:val="baseline"/>
        <w:outlineLvl w:val="0"/>
        <w:rPr>
          <w:rFonts w:ascii="宋体" w:hAnsi="宋体" w:eastAsia="宋体" w:cs="仿宋"/>
          <w:b/>
          <w:kern w:val="2"/>
        </w:rPr>
      </w:pPr>
      <w:bookmarkStart w:id="1" w:name="_Toc12502"/>
      <w:bookmarkStart w:id="2" w:name="_Toc6389"/>
      <w:r>
        <w:rPr>
          <w:rFonts w:hint="eastAsia" w:ascii="宋体" w:hAnsi="宋体" w:eastAsia="宋体" w:cs="Times New Roman"/>
          <w:b/>
          <w:bCs/>
          <w:kern w:val="44"/>
          <w:sz w:val="32"/>
          <w:szCs w:val="32"/>
        </w:rPr>
        <w:t>第一章</w:t>
      </w:r>
      <w:bookmarkEnd w:id="1"/>
      <w:r>
        <w:rPr>
          <w:rFonts w:hint="eastAsia" w:ascii="宋体" w:hAnsi="宋体" w:eastAsia="宋体" w:cs="仿宋"/>
          <w:b/>
          <w:bCs/>
          <w:kern w:val="2"/>
          <w:sz w:val="32"/>
          <w:szCs w:val="32"/>
        </w:rPr>
        <w:t>、</w:t>
      </w:r>
      <w:bookmarkStart w:id="3" w:name="_Toc27389"/>
      <w:r>
        <w:rPr>
          <w:rFonts w:hint="eastAsia" w:ascii="宋体" w:hAnsi="宋体" w:eastAsia="宋体" w:cs="宋体"/>
          <w:b/>
          <w:bCs/>
          <w:sz w:val="32"/>
          <w:szCs w:val="32"/>
        </w:rPr>
        <w:t>竞争性磋商公告</w:t>
      </w:r>
      <w:bookmarkEnd w:id="2"/>
      <w:bookmarkEnd w:id="3"/>
    </w:p>
    <w:p w14:paraId="0494A562">
      <w:pPr>
        <w:keepNext w:val="0"/>
        <w:keepLines w:val="0"/>
        <w:widowControl/>
        <w:suppressLineNumbers w:val="0"/>
        <w:spacing w:before="75" w:beforeAutospacing="0" w:after="75" w:afterAutospacing="0"/>
        <w:ind w:left="0" w:right="0" w:firstLine="420"/>
        <w:jc w:val="center"/>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宕昌某部购买技术服务项目竞争性磋商公告</w:t>
      </w:r>
    </w:p>
    <w:p w14:paraId="671DFCBB">
      <w:pPr>
        <w:keepNext w:val="0"/>
        <w:keepLines w:val="0"/>
        <w:widowControl/>
        <w:suppressLineNumbers w:val="0"/>
        <w:spacing w:before="75" w:beforeAutospacing="0" w:after="75" w:afterAutospacing="0"/>
        <w:ind w:left="0" w:right="0" w:firstLine="420"/>
        <w:jc w:val="center"/>
        <w:rPr>
          <w:rFonts w:hint="eastAsia" w:asciiTheme="minorEastAsia" w:hAnsiTheme="minorEastAsia" w:eastAsiaTheme="minorEastAsia" w:cstheme="minorEastAsia"/>
          <w:i w:val="0"/>
          <w:iCs w:val="0"/>
          <w:caps w:val="0"/>
          <w:color w:val="000000"/>
          <w:spacing w:val="0"/>
          <w:sz w:val="24"/>
          <w:szCs w:val="24"/>
        </w:rPr>
      </w:pPr>
    </w:p>
    <w:p w14:paraId="56DC27C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宕昌县公安局</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采购项目的潜在供应商应在</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陇南市公共资源交易网（网址：http://60.164.200.102/）免费下载 </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获取采购文件，并于</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2024-10-24 10:00:00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（北京时间）前提交响应文件。</w:t>
      </w:r>
    </w:p>
    <w:p w14:paraId="7C2FCB4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一、项目基本情况</w:t>
      </w:r>
    </w:p>
    <w:p w14:paraId="2FFE4AE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项目编号：159001JH621223011</w:t>
      </w:r>
    </w:p>
    <w:p w14:paraId="730BE1B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项目名称：宕昌某部购买技术服务项目</w:t>
      </w:r>
    </w:p>
    <w:p w14:paraId="68BEADD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预算金额：150.000000(万元)</w:t>
      </w:r>
    </w:p>
    <w:p w14:paraId="4411EE5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最高限价：150.000000(万元)</w:t>
      </w:r>
    </w:p>
    <w:p w14:paraId="5BD3018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采购需求：由第三方公司提供相关技术服务，对案件进行大数据专业分析，提供专项分析研判服务（具体详见竞争性磋商文件）</w:t>
      </w:r>
    </w:p>
    <w:p w14:paraId="52E1497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合同履行期限：按合同约定执行</w:t>
      </w:r>
    </w:p>
    <w:p w14:paraId="62BBDD7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本项目（是/否）接受联合体投标：否</w:t>
      </w:r>
    </w:p>
    <w:p w14:paraId="23ACC19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二、申请人的资格要求</w:t>
      </w:r>
    </w:p>
    <w:p w14:paraId="55E5B71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磋商公告发布之日起至响应文件提交截止之日的网站查询结果为准）。</w:t>
      </w:r>
    </w:p>
    <w:p w14:paraId="7361061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落实政府采购政策需满足的资格要求：《政府采购促进中小企业发展管理办法》（财库[2020]46号）、关于进一步加大政府采购支持中小企业力度的通知（财库〔2022〕19号）、关于印发中小企业划型标准规定的通知（工信部联企业【2011】300号）、符合政府采购《节能产品政府采购清单》、《环境标志产品政府采购清单》优先采购政策、《关于促进残疾人就业政府采购政策的通知》（财库【2017】141号）等。</w:t>
      </w:r>
    </w:p>
    <w:p w14:paraId="7325C79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3.本项目的特定资格要求：无</w:t>
      </w:r>
    </w:p>
    <w:p w14:paraId="52AAAA3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三、获取采购文件</w:t>
      </w:r>
    </w:p>
    <w:p w14:paraId="3322414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2024-10-14</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2024-10-18</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，每天上午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8:30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，下午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17:30</w:t>
      </w:r>
    </w:p>
    <w:p w14:paraId="3E56324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地点：陇南市公共资源交易网（网址：http://60.164.200.102/）免费下载</w:t>
      </w:r>
    </w:p>
    <w:p w14:paraId="74F9136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方式：拟参与本项目的潜在供应商在获取期限内，凭CA证书登录陇南市公共资源交易网在线免费下载采购文件，并点击“我要投标”按要求填写信息进行确认。</w:t>
      </w:r>
    </w:p>
    <w:p w14:paraId="35914B3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售价：0(元)</w:t>
      </w:r>
    </w:p>
    <w:p w14:paraId="68627C1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四、响应文件提交</w:t>
      </w:r>
    </w:p>
    <w:p w14:paraId="6E7EE6B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截止时间：2024-10-24 10:00:00</w:t>
      </w:r>
    </w:p>
    <w:p w14:paraId="38B3992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地点：凭 CA 证书登录陇南市公共资源交易网（网址 ：http://60.164.200.102/） 进行上传</w:t>
      </w:r>
    </w:p>
    <w:p w14:paraId="63074AF3">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五、开启</w:t>
      </w:r>
    </w:p>
    <w:p w14:paraId="557D6CB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时间：2024-10-24 10:00:00</w:t>
      </w:r>
    </w:p>
    <w:p w14:paraId="28EB354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地点：陇南市公共资源交易中心网络开标直播一厅第1坐席（陇南市行政中心5号楼环保大厦）</w:t>
      </w:r>
    </w:p>
    <w:p w14:paraId="18EF967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六、公告期限</w:t>
      </w:r>
    </w:p>
    <w:p w14:paraId="6C4931F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自本公告发布之日起3个工作日。</w:t>
      </w:r>
    </w:p>
    <w:p w14:paraId="11298E9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七、其他补充事宜</w:t>
      </w:r>
    </w:p>
    <w:p w14:paraId="2EE01B7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响应文件）则视为放弃投标。2、请潜在供应商随时关注陇南市公共资源交易网及甘肃政府采购网本项目相关变更公告及澄清答疑文件，否则由变更引起的相关责任自负。</w:t>
      </w:r>
    </w:p>
    <w:p w14:paraId="73C13D0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①陇南市公共资源交易网：http://60.164.200.102/</w:t>
      </w:r>
    </w:p>
    <w:p w14:paraId="3F40B86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②信用中国”网站：https://www.creditchina.gov.cn</w:t>
      </w:r>
    </w:p>
    <w:p w14:paraId="37C0EE2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③中国政府采购网网址：http://www.ccgp.gov.cn/</w:t>
      </w:r>
    </w:p>
    <w:p w14:paraId="4A2C79C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八、凡对本次采购提出询问，请按以下方式联系</w:t>
      </w:r>
    </w:p>
    <w:p w14:paraId="3873371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1.采购人信息</w:t>
      </w:r>
    </w:p>
    <w:p w14:paraId="6B314D7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宕昌县公安局</w:t>
      </w:r>
    </w:p>
    <w:p w14:paraId="27535A0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陇南市宕昌县何家堡乡白水川村</w:t>
      </w:r>
    </w:p>
    <w:p w14:paraId="0D65D91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0939-5933271</w:t>
      </w:r>
    </w:p>
    <w:p w14:paraId="460B3B9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2.采购代理机构信息</w:t>
      </w:r>
    </w:p>
    <w:p w14:paraId="5CE685E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甘肃鑫畅达工程咨询有限公司</w:t>
      </w:r>
    </w:p>
    <w:p w14:paraId="5A5D769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甘肃省陇南市武都区东江镇第三安置区2区1号</w:t>
      </w:r>
    </w:p>
    <w:p w14:paraId="1813041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15569870305</w:t>
      </w:r>
    </w:p>
    <w:p w14:paraId="69CAF87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3.项目联系方式</w:t>
      </w:r>
    </w:p>
    <w:p w14:paraId="7CB86A5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项目联系人：</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邓亚东</w:t>
      </w:r>
    </w:p>
    <w:p w14:paraId="58B6459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电　话：</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15349393380</w:t>
      </w:r>
    </w:p>
    <w:p w14:paraId="7A06883E">
      <w:pPr>
        <w:spacing w:before="75" w:after="75"/>
        <w:ind w:firstLine="420"/>
        <w:rPr>
          <w:rFonts w:hint="eastAsia" w:asciiTheme="minorEastAsia" w:hAnsiTheme="minorEastAsia" w:eastAsiaTheme="minorEastAsia" w:cstheme="minorEastAsia"/>
          <w:sz w:val="24"/>
          <w:szCs w:val="24"/>
        </w:rPr>
      </w:pPr>
      <w:bookmarkStart w:id="331" w:name="_GoBack"/>
      <w:bookmarkEnd w:id="331"/>
    </w:p>
    <w:p w14:paraId="3DC89C31">
      <w:pPr>
        <w:spacing w:before="75" w:after="75"/>
        <w:ind w:firstLine="420"/>
      </w:pPr>
    </w:p>
    <w:p w14:paraId="4188E1BF">
      <w:pPr>
        <w:spacing w:after="0" w:line="360" w:lineRule="auto"/>
        <w:ind w:firstLine="420"/>
        <w:rPr>
          <w:rFonts w:ascii="宋体" w:hAnsi="宋体" w:eastAsia="宋体" w:cs="宋体"/>
          <w:sz w:val="24"/>
          <w:szCs w:val="24"/>
        </w:rPr>
      </w:pPr>
      <w:r>
        <w:rPr>
          <w:rFonts w:hint="eastAsia" w:ascii="宋体" w:hAnsi="宋体" w:eastAsia="宋体" w:cs="宋体"/>
          <w:sz w:val="24"/>
          <w:szCs w:val="24"/>
          <w:lang w:bidi="ar"/>
        </w:rPr>
        <w:t xml:space="preserve"> </w:t>
      </w:r>
    </w:p>
    <w:p w14:paraId="5954317E">
      <w:pPr>
        <w:pStyle w:val="6"/>
        <w:spacing w:line="360" w:lineRule="auto"/>
        <w:rPr>
          <w:rFonts w:ascii="宋体" w:hAnsi="宋体" w:eastAsia="宋体" w:cs="宋体"/>
          <w:kern w:val="2"/>
          <w:sz w:val="24"/>
          <w:szCs w:val="24"/>
          <w:lang w:val="en-US"/>
        </w:rPr>
      </w:pPr>
    </w:p>
    <w:p w14:paraId="2C6CACDE">
      <w:pPr>
        <w:rPr>
          <w:rFonts w:ascii="宋体" w:hAnsi="宋体" w:eastAsia="宋体" w:cs="Times New Roman"/>
          <w:b/>
          <w:bCs/>
          <w:kern w:val="44"/>
          <w:sz w:val="30"/>
        </w:rPr>
      </w:pPr>
      <w:bookmarkStart w:id="4" w:name="_Toc9145"/>
      <w:r>
        <w:rPr>
          <w:rFonts w:hint="eastAsia" w:ascii="宋体" w:hAnsi="宋体" w:eastAsia="宋体" w:cs="Times New Roman"/>
          <w:b/>
          <w:bCs/>
          <w:kern w:val="44"/>
          <w:sz w:val="30"/>
        </w:rPr>
        <w:br w:type="page"/>
      </w:r>
    </w:p>
    <w:p w14:paraId="32E686F0">
      <w:pPr>
        <w:adjustRightInd/>
        <w:snapToGrid/>
        <w:spacing w:after="0" w:line="360" w:lineRule="auto"/>
        <w:jc w:val="center"/>
        <w:textAlignment w:val="baseline"/>
        <w:outlineLvl w:val="0"/>
        <w:rPr>
          <w:rFonts w:ascii="宋体" w:hAnsi="宋体" w:eastAsia="宋体" w:cs="Times New Roman"/>
          <w:b/>
          <w:bCs/>
          <w:kern w:val="44"/>
          <w:sz w:val="30"/>
        </w:rPr>
      </w:pPr>
      <w:bookmarkStart w:id="5" w:name="_Toc5936"/>
      <w:r>
        <w:rPr>
          <w:rFonts w:hint="eastAsia" w:ascii="宋体" w:hAnsi="宋体" w:eastAsia="宋体" w:cs="Times New Roman"/>
          <w:b/>
          <w:bCs/>
          <w:kern w:val="44"/>
          <w:sz w:val="30"/>
        </w:rPr>
        <w:t>第二章</w:t>
      </w:r>
      <w:bookmarkEnd w:id="4"/>
      <w:r>
        <w:rPr>
          <w:rFonts w:hint="eastAsia" w:ascii="宋体" w:hAnsi="宋体" w:eastAsia="宋体" w:cs="Times New Roman"/>
          <w:b/>
          <w:bCs/>
          <w:kern w:val="44"/>
          <w:sz w:val="30"/>
        </w:rPr>
        <w:t>、</w:t>
      </w:r>
      <w:bookmarkStart w:id="6" w:name="_Toc13730"/>
      <w:r>
        <w:rPr>
          <w:rFonts w:hint="eastAsia" w:ascii="宋体" w:hAnsi="宋体" w:eastAsia="宋体" w:cs="Times New Roman"/>
          <w:b/>
          <w:bCs/>
          <w:kern w:val="44"/>
          <w:sz w:val="30"/>
        </w:rPr>
        <w:t>投标人须知前附表</w:t>
      </w:r>
      <w:bookmarkEnd w:id="5"/>
      <w:bookmarkEnd w:id="6"/>
    </w:p>
    <w:p w14:paraId="2CE41720">
      <w:pPr>
        <w:jc w:val="center"/>
        <w:rPr>
          <w:rFonts w:ascii="宋体" w:hAnsi="宋体" w:eastAsia="宋体" w:cs="宋体"/>
          <w:b/>
          <w:bCs/>
          <w:sz w:val="28"/>
          <w:szCs w:val="28"/>
        </w:rPr>
      </w:pPr>
      <w:bookmarkStart w:id="7" w:name="_Toc525"/>
      <w:bookmarkStart w:id="8" w:name="_Toc21996"/>
      <w:bookmarkStart w:id="9" w:name="_Toc13947"/>
      <w:r>
        <w:rPr>
          <w:rFonts w:hint="eastAsia" w:ascii="宋体" w:hAnsi="宋体" w:eastAsia="宋体" w:cs="宋体"/>
          <w:b/>
          <w:bCs/>
          <w:sz w:val="28"/>
          <w:szCs w:val="28"/>
        </w:rPr>
        <w:t>投标人须知前附表</w:t>
      </w:r>
      <w:bookmarkEnd w:id="7"/>
      <w:bookmarkEnd w:id="8"/>
      <w:bookmarkEnd w:id="9"/>
    </w:p>
    <w:tbl>
      <w:tblPr>
        <w:tblStyle w:val="15"/>
        <w:tblW w:w="9738" w:type="dxa"/>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125"/>
        <w:gridCol w:w="1387"/>
        <w:gridCol w:w="6422"/>
      </w:tblGrid>
      <w:tr w14:paraId="7A10B25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4" w:type="dxa"/>
            <w:tcBorders>
              <w:top w:val="double" w:color="000000" w:sz="6" w:space="0"/>
              <w:left w:val="double" w:color="000000" w:sz="6" w:space="0"/>
              <w:bottom w:val="single" w:color="000000" w:sz="4" w:space="0"/>
              <w:right w:val="single" w:color="000000" w:sz="4" w:space="0"/>
            </w:tcBorders>
            <w:vAlign w:val="center"/>
          </w:tcPr>
          <w:p w14:paraId="113FF4C7">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条款号</w:t>
            </w:r>
          </w:p>
        </w:tc>
        <w:tc>
          <w:tcPr>
            <w:tcW w:w="1125" w:type="dxa"/>
            <w:tcBorders>
              <w:top w:val="double" w:color="000000" w:sz="6" w:space="0"/>
              <w:left w:val="single" w:color="000000" w:sz="4" w:space="0"/>
              <w:bottom w:val="single" w:color="000000" w:sz="4" w:space="0"/>
              <w:right w:val="single" w:color="000000" w:sz="4" w:space="0"/>
            </w:tcBorders>
            <w:vAlign w:val="center"/>
          </w:tcPr>
          <w:p w14:paraId="6E29BBBB">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条款名称</w:t>
            </w:r>
          </w:p>
        </w:tc>
        <w:tc>
          <w:tcPr>
            <w:tcW w:w="7809" w:type="dxa"/>
            <w:gridSpan w:val="2"/>
            <w:tcBorders>
              <w:top w:val="double" w:color="000000" w:sz="6" w:space="0"/>
              <w:left w:val="single" w:color="000000" w:sz="4" w:space="0"/>
              <w:bottom w:val="single" w:color="000000" w:sz="4" w:space="0"/>
              <w:right w:val="double" w:color="000000" w:sz="6" w:space="0"/>
            </w:tcBorders>
            <w:vAlign w:val="center"/>
          </w:tcPr>
          <w:p w14:paraId="146DE900">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内容规定</w:t>
            </w:r>
          </w:p>
        </w:tc>
      </w:tr>
      <w:tr w14:paraId="5EC6652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808"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3679E186">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w:t>
            </w:r>
          </w:p>
        </w:tc>
        <w:tc>
          <w:tcPr>
            <w:tcW w:w="1125" w:type="dxa"/>
            <w:tcBorders>
              <w:top w:val="single" w:color="000000" w:sz="4" w:space="0"/>
              <w:left w:val="single" w:color="000000" w:sz="4" w:space="0"/>
              <w:bottom w:val="single" w:color="000000" w:sz="4" w:space="0"/>
              <w:right w:val="single" w:color="000000" w:sz="4" w:space="0"/>
            </w:tcBorders>
            <w:vAlign w:val="center"/>
          </w:tcPr>
          <w:p w14:paraId="7EEEB142">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综合说明</w:t>
            </w:r>
          </w:p>
        </w:tc>
        <w:tc>
          <w:tcPr>
            <w:tcW w:w="7809" w:type="dxa"/>
            <w:gridSpan w:val="2"/>
            <w:tcBorders>
              <w:top w:val="single" w:color="000000" w:sz="4" w:space="0"/>
              <w:left w:val="single" w:color="000000" w:sz="4" w:space="0"/>
              <w:bottom w:val="single" w:color="000000" w:sz="4" w:space="0"/>
              <w:right w:val="double" w:color="000000" w:sz="6" w:space="0"/>
            </w:tcBorders>
          </w:tcPr>
          <w:p w14:paraId="00AFC3D9">
            <w:pPr>
              <w:numPr>
                <w:ilvl w:val="0"/>
                <w:numId w:val="1"/>
              </w:num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采购项目名称：宕昌某部购买技术服务项目</w:t>
            </w:r>
          </w:p>
          <w:p w14:paraId="0B3FB1A1">
            <w:pPr>
              <w:numPr>
                <w:ilvl w:val="0"/>
                <w:numId w:val="1"/>
              </w:num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招标文件编号：GSXCD-2024--008</w:t>
            </w:r>
          </w:p>
          <w:p w14:paraId="6354EC68">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3）服务期限</w:t>
            </w:r>
            <w:r>
              <w:rPr>
                <w:rFonts w:hint="eastAsia" w:ascii="宋体" w:hAnsi="宋体" w:eastAsia="宋体" w:cs="宋体"/>
                <w:spacing w:val="-6"/>
                <w:sz w:val="24"/>
                <w:szCs w:val="24"/>
              </w:rPr>
              <w:t>：3年</w:t>
            </w:r>
          </w:p>
          <w:p w14:paraId="726274F6">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4）服务地点：陇南市宕昌县</w:t>
            </w:r>
          </w:p>
          <w:p w14:paraId="0D84FB33">
            <w:pPr>
              <w:adjustRightInd/>
              <w:snapToGrid/>
              <w:spacing w:after="0" w:line="360" w:lineRule="auto"/>
              <w:textAlignment w:val="baseline"/>
              <w:rPr>
                <w:rFonts w:ascii="宋体" w:hAnsi="宋体" w:eastAsia="宋体" w:cs="宋体"/>
                <w:kern w:val="2"/>
                <w:sz w:val="24"/>
                <w:szCs w:val="24"/>
              </w:rPr>
            </w:pPr>
            <w:r>
              <w:rPr>
                <w:rFonts w:hint="eastAsia" w:ascii="宋体" w:hAnsi="宋体" w:eastAsia="宋体" w:cs="宋体"/>
                <w:kern w:val="2"/>
                <w:sz w:val="24"/>
                <w:szCs w:val="24"/>
              </w:rPr>
              <w:t>5）采购服务内容：宕昌某部购买技术服务项目（具体内容详见第四章采购需求）</w:t>
            </w:r>
          </w:p>
          <w:p w14:paraId="622DB445">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6）采购预算：150.00万元</w:t>
            </w:r>
          </w:p>
        </w:tc>
      </w:tr>
      <w:tr w14:paraId="0E83280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7CBE5A9A">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2.2</w:t>
            </w:r>
          </w:p>
        </w:tc>
        <w:tc>
          <w:tcPr>
            <w:tcW w:w="1125" w:type="dxa"/>
            <w:tcBorders>
              <w:top w:val="single" w:color="000000" w:sz="4" w:space="0"/>
              <w:left w:val="single" w:color="000000" w:sz="4" w:space="0"/>
              <w:bottom w:val="single" w:color="000000" w:sz="4" w:space="0"/>
              <w:right w:val="single" w:color="000000" w:sz="4" w:space="0"/>
            </w:tcBorders>
            <w:vAlign w:val="center"/>
          </w:tcPr>
          <w:p w14:paraId="501A9D25">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采购人</w:t>
            </w:r>
          </w:p>
        </w:tc>
        <w:tc>
          <w:tcPr>
            <w:tcW w:w="7809" w:type="dxa"/>
            <w:gridSpan w:val="2"/>
            <w:tcBorders>
              <w:top w:val="single" w:color="000000" w:sz="4" w:space="0"/>
              <w:left w:val="single" w:color="000000" w:sz="4" w:space="0"/>
              <w:bottom w:val="single" w:color="000000" w:sz="4" w:space="0"/>
              <w:right w:val="double" w:color="000000" w:sz="6" w:space="0"/>
            </w:tcBorders>
          </w:tcPr>
          <w:p w14:paraId="2E757E54">
            <w:pPr>
              <w:pStyle w:val="19"/>
              <w:numPr>
                <w:ilvl w:val="0"/>
                <w:numId w:val="2"/>
              </w:numPr>
              <w:spacing w:after="0" w:line="360" w:lineRule="auto"/>
              <w:rPr>
                <w:rFonts w:eastAsia="宋体"/>
                <w:sz w:val="24"/>
                <w:szCs w:val="24"/>
              </w:rPr>
            </w:pPr>
            <w:r>
              <w:rPr>
                <w:rFonts w:hint="eastAsia" w:eastAsia="宋体"/>
                <w:sz w:val="24"/>
                <w:szCs w:val="24"/>
              </w:rPr>
              <w:t>采购人：</w:t>
            </w:r>
            <w:r>
              <w:rPr>
                <w:rFonts w:hint="eastAsia" w:eastAsia="宋体"/>
                <w:sz w:val="24"/>
                <w:szCs w:val="24"/>
                <w:lang w:val="en-US"/>
              </w:rPr>
              <w:t>宕昌县公安局</w:t>
            </w:r>
          </w:p>
          <w:p w14:paraId="1D33B416">
            <w:pPr>
              <w:adjustRightInd/>
              <w:snapToGrid/>
              <w:spacing w:after="0" w:line="360" w:lineRule="auto"/>
              <w:jc w:val="both"/>
              <w:textAlignment w:val="baseline"/>
              <w:rPr>
                <w:rFonts w:eastAsia="宋体"/>
                <w:sz w:val="24"/>
                <w:szCs w:val="24"/>
              </w:rPr>
            </w:pPr>
            <w:r>
              <w:rPr>
                <w:rFonts w:hint="eastAsia" w:eastAsia="宋体"/>
                <w:sz w:val="24"/>
                <w:szCs w:val="24"/>
              </w:rPr>
              <w:t>2）地 址：宕昌县何家堡乡小堡子开发区</w:t>
            </w:r>
          </w:p>
          <w:p w14:paraId="407A4584">
            <w:pPr>
              <w:adjustRightInd/>
              <w:snapToGrid/>
              <w:spacing w:after="0" w:line="360" w:lineRule="auto"/>
              <w:jc w:val="both"/>
              <w:textAlignment w:val="baseline"/>
              <w:rPr>
                <w:rFonts w:ascii="宋体" w:hAnsi="宋体" w:eastAsia="宋体" w:cs="宋体"/>
                <w:sz w:val="24"/>
                <w:szCs w:val="24"/>
              </w:rPr>
            </w:pPr>
            <w:r>
              <w:rPr>
                <w:rFonts w:hint="eastAsia" w:ascii="宋体" w:hAnsi="宋体" w:eastAsia="宋体" w:cs="宋体"/>
                <w:sz w:val="24"/>
                <w:szCs w:val="24"/>
              </w:rPr>
              <w:t xml:space="preserve">3）联系人：邓亚东 </w:t>
            </w:r>
          </w:p>
          <w:p w14:paraId="01FDABC0">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sz w:val="24"/>
                <w:szCs w:val="24"/>
              </w:rPr>
              <w:t xml:space="preserve">4）电 话：0939-5916120     </w:t>
            </w:r>
          </w:p>
        </w:tc>
      </w:tr>
      <w:tr w14:paraId="7BA9E09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C5447B4">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2.3</w:t>
            </w:r>
          </w:p>
        </w:tc>
        <w:tc>
          <w:tcPr>
            <w:tcW w:w="1125" w:type="dxa"/>
            <w:tcBorders>
              <w:top w:val="single" w:color="000000" w:sz="4" w:space="0"/>
              <w:left w:val="single" w:color="000000" w:sz="4" w:space="0"/>
              <w:bottom w:val="single" w:color="000000" w:sz="4" w:space="0"/>
              <w:right w:val="single" w:color="000000" w:sz="4" w:space="0"/>
            </w:tcBorders>
            <w:vAlign w:val="center"/>
          </w:tcPr>
          <w:p w14:paraId="6EF71BF9">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代理机构</w:t>
            </w:r>
          </w:p>
        </w:tc>
        <w:tc>
          <w:tcPr>
            <w:tcW w:w="7809" w:type="dxa"/>
            <w:gridSpan w:val="2"/>
            <w:tcBorders>
              <w:top w:val="single" w:color="000000" w:sz="4" w:space="0"/>
              <w:left w:val="single" w:color="000000" w:sz="4" w:space="0"/>
              <w:bottom w:val="single" w:color="000000" w:sz="4" w:space="0"/>
              <w:right w:val="double" w:color="000000" w:sz="6" w:space="0"/>
            </w:tcBorders>
          </w:tcPr>
          <w:p w14:paraId="483C75F2">
            <w:pPr>
              <w:tabs>
                <w:tab w:val="left" w:pos="525"/>
              </w:tabs>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1）单位名称：甘肃鑫畅达工程咨询有限公司</w:t>
            </w:r>
          </w:p>
          <w:p w14:paraId="4495C507">
            <w:pPr>
              <w:tabs>
                <w:tab w:val="left" w:pos="525"/>
              </w:tabs>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2）地址：甘肃省陇南市武都区东江镇第三安置区2区1号</w:t>
            </w:r>
          </w:p>
          <w:p w14:paraId="48906BC9">
            <w:pPr>
              <w:tabs>
                <w:tab w:val="left" w:pos="525"/>
              </w:tabs>
              <w:adjustRightInd/>
              <w:snapToGrid/>
              <w:spacing w:after="0" w:line="360" w:lineRule="auto"/>
              <w:jc w:val="both"/>
              <w:textAlignment w:val="baseline"/>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3）联系人：</w:t>
            </w:r>
            <w:r>
              <w:rPr>
                <w:rFonts w:hint="eastAsia" w:ascii="宋体" w:hAnsi="宋体" w:eastAsia="宋体" w:cs="宋体"/>
                <w:kern w:val="2"/>
                <w:sz w:val="24"/>
                <w:szCs w:val="24"/>
                <w:lang w:eastAsia="zh-CN"/>
              </w:rPr>
              <w:t>成兰兰</w:t>
            </w:r>
          </w:p>
          <w:p w14:paraId="3746A8C4">
            <w:pPr>
              <w:tabs>
                <w:tab w:val="left" w:pos="525"/>
              </w:tabs>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4）联系电话：13993902805</w:t>
            </w:r>
          </w:p>
        </w:tc>
      </w:tr>
      <w:tr w14:paraId="2ED3033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5D55174E">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2.4</w:t>
            </w:r>
          </w:p>
        </w:tc>
        <w:tc>
          <w:tcPr>
            <w:tcW w:w="1125" w:type="dxa"/>
            <w:tcBorders>
              <w:top w:val="single" w:color="000000" w:sz="4" w:space="0"/>
              <w:left w:val="single" w:color="000000" w:sz="4" w:space="0"/>
              <w:bottom w:val="single" w:color="000000" w:sz="4" w:space="0"/>
              <w:right w:val="single" w:color="000000" w:sz="4" w:space="0"/>
            </w:tcBorders>
            <w:vAlign w:val="center"/>
          </w:tcPr>
          <w:p w14:paraId="3AC5F5FB">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付款方式</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1345ECEE">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sz w:val="24"/>
                <w:szCs w:val="24"/>
              </w:rPr>
              <w:t>双方合同约定</w:t>
            </w:r>
          </w:p>
        </w:tc>
      </w:tr>
      <w:tr w14:paraId="42C0809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D2C0A27">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2.5</w:t>
            </w:r>
          </w:p>
        </w:tc>
        <w:tc>
          <w:tcPr>
            <w:tcW w:w="1125" w:type="dxa"/>
            <w:tcBorders>
              <w:top w:val="single" w:color="000000" w:sz="4" w:space="0"/>
              <w:left w:val="single" w:color="000000" w:sz="4" w:space="0"/>
              <w:bottom w:val="single" w:color="000000" w:sz="4" w:space="0"/>
              <w:right w:val="single" w:color="000000" w:sz="4" w:space="0"/>
            </w:tcBorders>
            <w:vAlign w:val="center"/>
          </w:tcPr>
          <w:p w14:paraId="0FC9312E">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投标报价</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54A65EFE">
            <w:pPr>
              <w:adjustRightInd/>
              <w:snapToGrid/>
              <w:spacing w:after="0" w:line="360" w:lineRule="auto"/>
              <w:jc w:val="both"/>
              <w:textAlignment w:val="baseline"/>
              <w:rPr>
                <w:rFonts w:ascii="宋体" w:hAnsi="宋体" w:eastAsia="宋体" w:cs="宋体"/>
                <w:sz w:val="24"/>
                <w:szCs w:val="24"/>
              </w:rPr>
            </w:pPr>
            <w:r>
              <w:rPr>
                <w:rFonts w:hint="eastAsia" w:ascii="宋体" w:hAnsi="宋体" w:eastAsia="宋体" w:cs="宋体"/>
                <w:sz w:val="24"/>
                <w:szCs w:val="24"/>
              </w:rPr>
              <w:t>投标报价须包括技术服务费、人工费、税费等所有费用</w:t>
            </w:r>
          </w:p>
          <w:p w14:paraId="33D87636">
            <w:pPr>
              <w:adjustRightInd/>
              <w:snapToGrid/>
              <w:spacing w:after="0" w:line="360" w:lineRule="auto"/>
              <w:jc w:val="both"/>
              <w:textAlignment w:val="baseline"/>
              <w:rPr>
                <w:rFonts w:ascii="宋体" w:hAnsi="宋体" w:eastAsia="宋体" w:cs="宋体"/>
                <w:sz w:val="24"/>
                <w:szCs w:val="24"/>
              </w:rPr>
            </w:pPr>
            <w:r>
              <w:rPr>
                <w:rFonts w:hint="eastAsia" w:ascii="宋体" w:hAnsi="宋体" w:eastAsia="宋体" w:cs="宋体"/>
                <w:sz w:val="24"/>
                <w:szCs w:val="24"/>
              </w:rPr>
              <w:t>本服务报价包含两部分：</w:t>
            </w:r>
          </w:p>
          <w:p w14:paraId="72017BD9">
            <w:pPr>
              <w:adjustRightInd/>
              <w:snapToGrid/>
              <w:spacing w:after="0" w:line="360" w:lineRule="auto"/>
              <w:jc w:val="both"/>
              <w:textAlignment w:val="baseline"/>
              <w:rPr>
                <w:rFonts w:ascii="宋体" w:hAnsi="宋体" w:eastAsia="宋体" w:cs="宋体"/>
                <w:sz w:val="24"/>
                <w:szCs w:val="24"/>
              </w:rPr>
            </w:pPr>
            <w:r>
              <w:rPr>
                <w:rFonts w:hint="eastAsia" w:ascii="宋体" w:hAnsi="宋体" w:eastAsia="宋体" w:cs="宋体"/>
                <w:sz w:val="24"/>
                <w:szCs w:val="24"/>
              </w:rPr>
              <w:t>(1)基础服务费:基础服务费为乙方前期对案件提供相应的技术服务(数据渗透、资金分析等)支撑，包含:案件分析报告，协助电子数据鉴定、司法审计等相关技术支持。甲乙双方约定基础服务费用(含税价):大写人民币壹佰伍拾万元整，(1500000.00元)。</w:t>
            </w:r>
          </w:p>
          <w:p w14:paraId="6F3DD72B">
            <w:pPr>
              <w:adjustRightInd/>
              <w:snapToGrid/>
              <w:spacing w:after="0" w:line="360" w:lineRule="auto"/>
              <w:jc w:val="both"/>
              <w:textAlignment w:val="baseline"/>
              <w:rPr>
                <w:rFonts w:ascii="宋体" w:hAnsi="宋体" w:eastAsia="宋体" w:cs="宋体"/>
                <w:sz w:val="24"/>
                <w:szCs w:val="24"/>
              </w:rPr>
            </w:pPr>
            <w:r>
              <w:rPr>
                <w:rFonts w:hint="eastAsia" w:ascii="宋体" w:hAnsi="宋体" w:eastAsia="宋体" w:cs="宋体"/>
                <w:sz w:val="24"/>
                <w:szCs w:val="24"/>
              </w:rPr>
              <w:t>(2)增值技术服务费:甲乙双方约定，乙方在基础服务费之外，按照乙方提供技术服务的最终罚没收入收取增值服务费。乙方在案件侦查、移送审查起诉、审判等全部流程提供技术服务，增值技术服务费用按法院判决罚没款金额为依据按比例报价。</w:t>
            </w:r>
          </w:p>
        </w:tc>
      </w:tr>
      <w:tr w14:paraId="447831D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18E51026">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2.6</w:t>
            </w:r>
          </w:p>
        </w:tc>
        <w:tc>
          <w:tcPr>
            <w:tcW w:w="1125" w:type="dxa"/>
            <w:tcBorders>
              <w:top w:val="single" w:color="000000" w:sz="4" w:space="0"/>
              <w:left w:val="single" w:color="000000" w:sz="4" w:space="0"/>
              <w:bottom w:val="single" w:color="000000" w:sz="4" w:space="0"/>
              <w:right w:val="single" w:color="000000" w:sz="4" w:space="0"/>
            </w:tcBorders>
            <w:vAlign w:val="center"/>
          </w:tcPr>
          <w:p w14:paraId="2779E293">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投标人资质要求</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54DF5FC6">
            <w:pPr>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1、法定代表人身份证明、法定代表人身份证扫描件；</w:t>
            </w:r>
          </w:p>
          <w:p w14:paraId="401424B4">
            <w:pPr>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2、法定代表人授权委托书（含法定代表人身份证复印件）、被授权人身份证扫描件。</w:t>
            </w:r>
          </w:p>
          <w:p w14:paraId="38C4F661">
            <w:pPr>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3、资格证明：</w:t>
            </w:r>
          </w:p>
          <w:p w14:paraId="10226214">
            <w:pPr>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 xml:space="preserve">（1）营业执照； </w:t>
            </w:r>
          </w:p>
          <w:p w14:paraId="16CFE229">
            <w:pPr>
              <w:spacing w:after="0" w:line="360" w:lineRule="auto"/>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kern w:val="2"/>
                <w:sz w:val="24"/>
                <w:szCs w:val="24"/>
              </w:rPr>
              <w:t xml:space="preserve">（2）银行开户许可证；                                                   </w:t>
            </w:r>
            <w:r>
              <w:rPr>
                <w:rFonts w:hint="eastAsia" w:ascii="宋体" w:hAnsi="宋体" w:eastAsia="宋体" w:cs="宋体"/>
                <w:color w:val="000000" w:themeColor="text1"/>
                <w:kern w:val="2"/>
                <w:sz w:val="24"/>
                <w:szCs w:val="24"/>
                <w14:textFill>
                  <w14:solidFill>
                    <w14:schemeClr w14:val="tx1"/>
                  </w14:solidFill>
                </w14:textFill>
              </w:rPr>
              <w:t xml:space="preserve">（3）2023年度财务审计报告或资信证明；                                  （4）2024年3月至2024年9月任意一个月税务部门出具的依法缴纳税收的完税证明；                                         </w:t>
            </w:r>
          </w:p>
          <w:p w14:paraId="5307727D">
            <w:pPr>
              <w:spacing w:after="0" w:line="360" w:lineRule="auto"/>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（5）2024年3月至2024年9月任意一个月缴纳社会保障资金的缴纳证明；                                 </w:t>
            </w:r>
          </w:p>
          <w:p w14:paraId="6C283806">
            <w:pPr>
              <w:numPr>
                <w:ilvl w:val="0"/>
                <w:numId w:val="3"/>
              </w:numPr>
              <w:spacing w:after="0" w:line="360" w:lineRule="auto"/>
              <w:rPr>
                <w:rFonts w:ascii="宋体" w:hAnsi="宋体" w:eastAsia="宋体" w:cs="宋体"/>
                <w:kern w:val="2"/>
                <w:sz w:val="24"/>
                <w:szCs w:val="24"/>
              </w:rPr>
            </w:pPr>
            <w:r>
              <w:rPr>
                <w:rFonts w:hint="eastAsia" w:ascii="宋体" w:hAnsi="宋体" w:eastAsia="宋体" w:cs="宋体"/>
                <w:color w:val="000000" w:themeColor="text1"/>
                <w:kern w:val="2"/>
                <w:sz w:val="24"/>
                <w:szCs w:val="24"/>
                <w14:textFill>
                  <w14:solidFill>
                    <w14:schemeClr w14:val="tx1"/>
                  </w14:solidFill>
                </w14:textFill>
              </w:rPr>
              <w:t>参加政府采购活动前3年内在经营活动中没有重大违法记录的</w:t>
            </w:r>
            <w:r>
              <w:rPr>
                <w:rFonts w:hint="eastAsia" w:ascii="宋体" w:hAnsi="宋体" w:eastAsia="宋体" w:cs="宋体"/>
                <w:kern w:val="2"/>
                <w:sz w:val="24"/>
                <w:szCs w:val="24"/>
              </w:rPr>
              <w:t>书面声明；                                                                                                           （7）投标人未被列入“信用中国”网站(www.creditchina.gov.cn)记录失信被执行人、重大税收违法案件当事人名单、政府采购严重违法失信行为记录名单；不处于“中国政府采购”网(www.ccgp.gov.cn)“政府采购严重违法失信行为信息记录”中的“严重违法失信行为”的方可参加本项目的投标（以竞争性磋商公告发布之日起至投标截止之日各投标人自行在以上网站查询的结果为准）；</w:t>
            </w:r>
          </w:p>
          <w:p w14:paraId="03A77C26">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spacing w:val="-7"/>
                <w:sz w:val="24"/>
                <w:szCs w:val="24"/>
              </w:rPr>
              <w:t>本项目的特定资格要求：无</w:t>
            </w:r>
          </w:p>
        </w:tc>
      </w:tr>
      <w:tr w14:paraId="4E02CF3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1C7B92FC">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2.7</w:t>
            </w:r>
          </w:p>
        </w:tc>
        <w:tc>
          <w:tcPr>
            <w:tcW w:w="1125" w:type="dxa"/>
            <w:tcBorders>
              <w:top w:val="single" w:color="000000" w:sz="4" w:space="0"/>
              <w:left w:val="single" w:color="000000" w:sz="4" w:space="0"/>
              <w:bottom w:val="single" w:color="000000" w:sz="4" w:space="0"/>
              <w:right w:val="single" w:color="000000" w:sz="4" w:space="0"/>
            </w:tcBorders>
            <w:vAlign w:val="center"/>
          </w:tcPr>
          <w:p w14:paraId="706284D3">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投标有效期</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4B4DD468">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60日历天</w:t>
            </w:r>
            <w:r>
              <w:rPr>
                <w:rFonts w:hint="eastAsia" w:ascii="宋体" w:hAnsi="宋体" w:eastAsia="宋体" w:cs="宋体"/>
                <w:sz w:val="24"/>
                <w:szCs w:val="24"/>
              </w:rPr>
              <w:t>（从提交投标文件截止之日起算）</w:t>
            </w:r>
          </w:p>
        </w:tc>
      </w:tr>
      <w:tr w14:paraId="0A4F3BA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6D59BD63">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2.8</w:t>
            </w:r>
          </w:p>
        </w:tc>
        <w:tc>
          <w:tcPr>
            <w:tcW w:w="1125" w:type="dxa"/>
            <w:tcBorders>
              <w:top w:val="single" w:color="000000" w:sz="4" w:space="0"/>
              <w:left w:val="single" w:color="000000" w:sz="4" w:space="0"/>
              <w:bottom w:val="single" w:color="000000" w:sz="4" w:space="0"/>
              <w:right w:val="single" w:color="000000" w:sz="4" w:space="0"/>
            </w:tcBorders>
            <w:vAlign w:val="center"/>
          </w:tcPr>
          <w:p w14:paraId="57FF6D85">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签字盖章</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3949F5A7">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spacing w:val="-3"/>
                <w:kern w:val="2"/>
                <w:sz w:val="24"/>
                <w:szCs w:val="24"/>
              </w:rPr>
              <w:t>本项目采用网上开评标，各投标人必须按照招标文件要求对投标文件进行电子签章签字，后续招标文件有要求签章签字的均为电子章。</w:t>
            </w:r>
          </w:p>
        </w:tc>
      </w:tr>
      <w:tr w14:paraId="7C70206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2E40BC9D">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2.9</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D3787">
            <w:pPr>
              <w:adjustRightInd/>
              <w:snapToGrid/>
              <w:spacing w:after="0" w:line="360" w:lineRule="auto"/>
              <w:jc w:val="center"/>
              <w:textAlignment w:val="baseline"/>
              <w:rPr>
                <w:rFonts w:ascii="宋体" w:hAnsi="宋体" w:eastAsia="宋体" w:cs="宋体"/>
                <w:spacing w:val="-3"/>
                <w:kern w:val="2"/>
                <w:sz w:val="24"/>
                <w:szCs w:val="24"/>
              </w:rPr>
            </w:pPr>
            <w:r>
              <w:rPr>
                <w:rFonts w:hint="eastAsia" w:ascii="宋体" w:hAnsi="宋体" w:eastAsia="宋体" w:cs="宋体"/>
                <w:spacing w:val="-3"/>
                <w:kern w:val="2"/>
                <w:sz w:val="24"/>
                <w:szCs w:val="24"/>
              </w:rPr>
              <w:t>落实支持中小企业政府采购政策</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09D80ACF">
            <w:pPr>
              <w:shd w:val="solid" w:color="FFFFFF" w:fill="auto"/>
              <w:autoSpaceDN w:val="0"/>
              <w:adjustRightInd/>
              <w:snapToGrid/>
              <w:spacing w:after="0" w:line="500" w:lineRule="exact"/>
              <w:rPr>
                <w:rFonts w:ascii="宋体" w:hAnsi="宋体" w:eastAsia="宋体" w:cs="宋体"/>
                <w:spacing w:val="-3"/>
                <w:kern w:val="2"/>
                <w:sz w:val="24"/>
                <w:szCs w:val="24"/>
              </w:rPr>
            </w:pPr>
            <w:r>
              <w:rPr>
                <w:rFonts w:hint="eastAsia" w:ascii="宋体" w:hAnsi="宋体" w:eastAsia="宋体" w:cs="宋体"/>
                <w:spacing w:val="-3"/>
                <w:kern w:val="2"/>
                <w:sz w:val="24"/>
                <w:szCs w:val="24"/>
              </w:rPr>
              <w:t>1.执行中小企业明函制度。根据工业和信息化部、国家统计局、国家发展和改革委员会、等部委发布的《关于印发中小企业划型标准规定的通知》(工信部联企业(2011)300号)，按照本购标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14:paraId="3CA705F9">
            <w:pPr>
              <w:shd w:val="solid" w:color="FFFFFF" w:fill="auto"/>
              <w:autoSpaceDN w:val="0"/>
              <w:adjustRightInd/>
              <w:snapToGrid/>
              <w:spacing w:after="160" w:line="500" w:lineRule="exact"/>
              <w:rPr>
                <w:rFonts w:ascii="宋体" w:hAnsi="宋体" w:eastAsia="宋体" w:cs="宋体"/>
                <w:spacing w:val="-3"/>
                <w:kern w:val="2"/>
                <w:sz w:val="24"/>
                <w:szCs w:val="24"/>
              </w:rPr>
            </w:pPr>
            <w:r>
              <w:rPr>
                <w:rFonts w:hint="eastAsia" w:ascii="宋体" w:hAnsi="宋体" w:eastAsia="宋体" w:cs="宋体"/>
                <w:spacing w:val="-3"/>
                <w:kern w:val="2"/>
                <w:sz w:val="24"/>
                <w:szCs w:val="24"/>
              </w:rPr>
              <w:t>2.根据财政部、工业和信息化部发布的《政府采购促进中小企业发展管理办法》(财库(2020)46号)和《财政关于进一步加大政府采购支持中小企业力度的通知》(财库(2022)19号规定，给小微企业产品的投标价格给予</w:t>
            </w:r>
            <w:r>
              <w:rPr>
                <w:rFonts w:hint="eastAsia" w:ascii="宋体" w:hAnsi="宋体" w:eastAsia="宋体" w:cs="宋体"/>
                <w:spacing w:val="-3"/>
                <w:kern w:val="2"/>
                <w:sz w:val="24"/>
                <w:szCs w:val="24"/>
                <w:u w:val="single"/>
              </w:rPr>
              <w:t xml:space="preserve"> </w:t>
            </w:r>
            <w:r>
              <w:rPr>
                <w:rFonts w:hint="eastAsia" w:ascii="宋体" w:hAnsi="宋体" w:eastAsia="宋体" w:cs="宋体"/>
                <w:b/>
                <w:bCs/>
                <w:spacing w:val="-3"/>
                <w:kern w:val="2"/>
                <w:sz w:val="24"/>
                <w:szCs w:val="24"/>
                <w:u w:val="single"/>
              </w:rPr>
              <w:t xml:space="preserve">10 </w:t>
            </w:r>
            <w:r>
              <w:rPr>
                <w:rFonts w:hint="eastAsia" w:ascii="宋体" w:hAnsi="宋体" w:eastAsia="宋体" w:cs="宋体"/>
                <w:b/>
                <w:bCs/>
                <w:spacing w:val="-3"/>
                <w:kern w:val="2"/>
                <w:sz w:val="24"/>
                <w:szCs w:val="24"/>
              </w:rPr>
              <w:t>%</w:t>
            </w:r>
            <w:r>
              <w:rPr>
                <w:rFonts w:hint="eastAsia" w:ascii="宋体" w:hAnsi="宋体" w:eastAsia="宋体" w:cs="宋体"/>
                <w:spacing w:val="-3"/>
                <w:kern w:val="2"/>
                <w:sz w:val="24"/>
                <w:szCs w:val="24"/>
              </w:rPr>
              <w:t>的扣除，扣除后的价格参与评审。</w:t>
            </w:r>
          </w:p>
          <w:p w14:paraId="571B1E21">
            <w:pPr>
              <w:shd w:val="solid" w:color="FFFFFF" w:fill="auto"/>
              <w:autoSpaceDN w:val="0"/>
              <w:adjustRightInd/>
              <w:snapToGrid/>
              <w:spacing w:after="0" w:line="500" w:lineRule="exact"/>
              <w:rPr>
                <w:rFonts w:ascii="宋体" w:hAnsi="宋体" w:eastAsia="宋体" w:cs="宋体"/>
                <w:spacing w:val="-3"/>
                <w:kern w:val="2"/>
                <w:sz w:val="24"/>
                <w:szCs w:val="24"/>
              </w:rPr>
            </w:pPr>
            <w:r>
              <w:rPr>
                <w:rFonts w:hint="eastAsia" w:ascii="宋体" w:hAnsi="宋体" w:eastAsia="宋体" w:cs="宋体"/>
                <w:spacing w:val="-3"/>
                <w:kern w:val="2"/>
                <w:sz w:val="24"/>
                <w:szCs w:val="24"/>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15966DE3">
            <w:pPr>
              <w:shd w:val="solid" w:color="FFFFFF" w:fill="auto"/>
              <w:autoSpaceDN w:val="0"/>
              <w:adjustRightInd/>
              <w:snapToGrid/>
              <w:spacing w:after="160" w:line="500" w:lineRule="exact"/>
              <w:rPr>
                <w:rFonts w:ascii="宋体" w:hAnsi="宋体" w:eastAsia="宋体" w:cs="宋体"/>
                <w:spacing w:val="-3"/>
                <w:kern w:val="2"/>
                <w:sz w:val="24"/>
                <w:szCs w:val="24"/>
              </w:rPr>
            </w:pPr>
            <w:r>
              <w:rPr>
                <w:rFonts w:hint="eastAsia" w:ascii="宋体" w:hAnsi="宋体" w:eastAsia="宋体" w:cs="宋体"/>
                <w:spacing w:val="-3"/>
                <w:kern w:val="2"/>
                <w:sz w:val="24"/>
                <w:szCs w:val="24"/>
              </w:rPr>
              <w:t>4.提供由省级以上监狱管理局、戒毒管理局(含新疆生产建设兵团)出具的属于监狱企业证明文件(原件彩色扫描件)的，视同为小型和微型企业。</w:t>
            </w:r>
          </w:p>
          <w:p w14:paraId="227677A8">
            <w:pPr>
              <w:widowControl w:val="0"/>
              <w:tabs>
                <w:tab w:val="left" w:pos="1460"/>
              </w:tabs>
              <w:autoSpaceDE w:val="0"/>
              <w:autoSpaceDN w:val="0"/>
              <w:adjustRightInd/>
              <w:snapToGrid/>
              <w:spacing w:after="0" w:line="360" w:lineRule="auto"/>
              <w:ind w:right="270"/>
              <w:jc w:val="both"/>
              <w:rPr>
                <w:rFonts w:ascii="宋体" w:hAnsi="宋体" w:eastAsia="宋体" w:cs="宋体"/>
                <w:spacing w:val="-3"/>
                <w:kern w:val="2"/>
                <w:sz w:val="24"/>
                <w:szCs w:val="24"/>
              </w:rPr>
            </w:pPr>
            <w:r>
              <w:rPr>
                <w:rFonts w:hint="eastAsia" w:ascii="宋体" w:hAnsi="宋体" w:eastAsia="宋体" w:cs="宋体"/>
                <w:spacing w:val="-3"/>
                <w:kern w:val="2"/>
                <w:sz w:val="24"/>
                <w:szCs w:val="24"/>
              </w:rPr>
              <w:t>5.符合享受政府采购支持政策的残疾人福利性单位条件且提供《残疾人福利性单位声明函》的，视同为小型和微型企业。</w:t>
            </w:r>
          </w:p>
        </w:tc>
      </w:tr>
      <w:tr w14:paraId="3CCC64F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C991BAC">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2.10</w:t>
            </w:r>
          </w:p>
        </w:tc>
        <w:tc>
          <w:tcPr>
            <w:tcW w:w="1125" w:type="dxa"/>
            <w:tcBorders>
              <w:top w:val="single" w:color="000000" w:sz="4" w:space="0"/>
              <w:left w:val="single" w:color="000000" w:sz="4" w:space="0"/>
              <w:bottom w:val="single" w:color="000000" w:sz="4" w:space="0"/>
              <w:right w:val="single" w:color="000000" w:sz="4" w:space="0"/>
            </w:tcBorders>
            <w:vAlign w:val="center"/>
          </w:tcPr>
          <w:p w14:paraId="22E1D997">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最高限价</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7F8B5D39">
            <w:pPr>
              <w:tabs>
                <w:tab w:val="left" w:pos="525"/>
              </w:tabs>
              <w:adjustRightInd/>
              <w:snapToGrid/>
              <w:spacing w:after="0" w:line="360" w:lineRule="auto"/>
              <w:textAlignment w:val="baseline"/>
              <w:rPr>
                <w:rFonts w:ascii="宋体" w:hAnsi="宋体" w:eastAsia="宋体" w:cs="宋体"/>
                <w:b/>
                <w:bCs/>
                <w:kern w:val="2"/>
                <w:sz w:val="24"/>
                <w:szCs w:val="24"/>
              </w:rPr>
            </w:pPr>
            <w:r>
              <w:rPr>
                <w:rFonts w:hint="eastAsia" w:ascii="宋体" w:hAnsi="宋体" w:eastAsia="宋体" w:cs="宋体"/>
                <w:kern w:val="2"/>
                <w:sz w:val="24"/>
                <w:szCs w:val="24"/>
              </w:rPr>
              <w:t>150.00万元</w:t>
            </w:r>
          </w:p>
        </w:tc>
      </w:tr>
      <w:tr w14:paraId="4C0AF3B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B891CB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2.11</w:t>
            </w:r>
          </w:p>
        </w:tc>
        <w:tc>
          <w:tcPr>
            <w:tcW w:w="1125" w:type="dxa"/>
            <w:tcBorders>
              <w:top w:val="single" w:color="000000" w:sz="4" w:space="0"/>
              <w:left w:val="single" w:color="000000" w:sz="4" w:space="0"/>
              <w:bottom w:val="single" w:color="000000" w:sz="4" w:space="0"/>
              <w:right w:val="single" w:color="000000" w:sz="4" w:space="0"/>
            </w:tcBorders>
            <w:vAlign w:val="center"/>
          </w:tcPr>
          <w:p w14:paraId="7B0C9A3A">
            <w:pPr>
              <w:adjustRightInd/>
              <w:snapToGrid/>
              <w:spacing w:after="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投标保证金数额及交纳方式</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7C0085CC">
            <w:pPr>
              <w:adjustRightInd/>
              <w:snapToGrid/>
              <w:spacing w:after="0" w:line="360" w:lineRule="auto"/>
              <w:jc w:val="both"/>
              <w:textAlignment w:val="baseline"/>
              <w:rPr>
                <w:rFonts w:ascii="宋体" w:hAnsi="宋体" w:eastAsia="宋体" w:cs="宋体"/>
                <w:sz w:val="24"/>
                <w:szCs w:val="24"/>
                <w:lang w:val="zh-CN"/>
              </w:rPr>
            </w:pPr>
            <w:r>
              <w:rPr>
                <w:rFonts w:hint="eastAsia" w:ascii="宋体" w:hAnsi="宋体" w:eastAsia="宋体" w:cs="宋体"/>
                <w:kern w:val="2"/>
                <w:sz w:val="24"/>
                <w:szCs w:val="24"/>
              </w:rPr>
              <w:t>根据《甘肃省财政厅关于进一步加大政府采购支持中小企业力度的通知》(甘财采(2022)16号)，本项目不在收取投标保证金。</w:t>
            </w:r>
          </w:p>
        </w:tc>
      </w:tr>
      <w:tr w14:paraId="478203B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418C23DD">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2.12</w:t>
            </w:r>
          </w:p>
        </w:tc>
        <w:tc>
          <w:tcPr>
            <w:tcW w:w="1125" w:type="dxa"/>
            <w:tcBorders>
              <w:top w:val="single" w:color="000000" w:sz="4" w:space="0"/>
              <w:left w:val="single" w:color="000000" w:sz="4" w:space="0"/>
              <w:bottom w:val="single" w:color="000000" w:sz="4" w:space="0"/>
              <w:right w:val="single" w:color="000000" w:sz="4" w:space="0"/>
            </w:tcBorders>
            <w:vAlign w:val="center"/>
          </w:tcPr>
          <w:p w14:paraId="19A63D51">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评标原则和办法</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26CBBBED">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综合评分法：即在最大限度地满足招标文件实质性要求前提下，按照招标文件中规定的各项因素进行综合评审后，以评分总得分最高的投标人作为中标候选人。具体评标因素见第五章评分办法。</w:t>
            </w:r>
          </w:p>
        </w:tc>
      </w:tr>
      <w:tr w14:paraId="7CF0C52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0B921FB">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2.13</w:t>
            </w:r>
          </w:p>
        </w:tc>
        <w:tc>
          <w:tcPr>
            <w:tcW w:w="1125" w:type="dxa"/>
            <w:tcBorders>
              <w:top w:val="single" w:color="000000" w:sz="4" w:space="0"/>
              <w:left w:val="single" w:color="000000" w:sz="4" w:space="0"/>
              <w:bottom w:val="single" w:color="000000" w:sz="4" w:space="0"/>
              <w:right w:val="single" w:color="000000" w:sz="4" w:space="0"/>
            </w:tcBorders>
            <w:vAlign w:val="center"/>
          </w:tcPr>
          <w:p w14:paraId="4811752D">
            <w:pPr>
              <w:adjustRightInd/>
              <w:snapToGrid/>
              <w:spacing w:after="0" w:line="360" w:lineRule="auto"/>
              <w:jc w:val="center"/>
              <w:textAlignment w:val="baseline"/>
              <w:rPr>
                <w:rFonts w:ascii="宋体" w:hAnsi="宋体" w:eastAsia="宋体" w:cs="宋体"/>
                <w:sz w:val="24"/>
                <w:szCs w:val="24"/>
              </w:rPr>
            </w:pPr>
            <w:r>
              <w:rPr>
                <w:rFonts w:hint="eastAsia" w:ascii="宋体" w:hAnsi="宋体" w:eastAsia="宋体" w:cs="宋体"/>
                <w:sz w:val="24"/>
                <w:szCs w:val="24"/>
              </w:rPr>
              <w:t>响应文件</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158D0E16">
            <w:pPr>
              <w:numPr>
                <w:ilvl w:val="0"/>
                <w:numId w:val="4"/>
              </w:num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采用网上开标方式：该项目采用新点不见面网上开标方式，开评标活动通过“新点不见面网上开标大厅”进行。</w:t>
            </w:r>
          </w:p>
          <w:p w14:paraId="708718AF">
            <w:p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2）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14:paraId="442B23F8">
            <w:p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注：具体投标文件制作流程请在陇南市公共资源交易网--下载中心--政府采购全流程电子化开评标操作手册-投标人，下载制作流程说明。</w:t>
            </w:r>
          </w:p>
          <w:p w14:paraId="30093013">
            <w:pPr>
              <w:adjustRightInd/>
              <w:snapToGrid/>
              <w:spacing w:after="0" w:line="360" w:lineRule="auto"/>
              <w:textAlignment w:val="baseline"/>
              <w:rPr>
                <w:rFonts w:ascii="宋体" w:hAnsi="宋体" w:eastAsia="宋体" w:cs="宋体"/>
                <w:kern w:val="2"/>
                <w:sz w:val="24"/>
                <w:szCs w:val="24"/>
              </w:rPr>
            </w:pPr>
            <w:r>
              <w:rPr>
                <w:rFonts w:hint="eastAsia" w:ascii="宋体" w:hAnsi="宋体" w:eastAsia="宋体" w:cs="宋体"/>
                <w:sz w:val="24"/>
                <w:szCs w:val="24"/>
                <w:lang w:bidi="zh-CN"/>
              </w:rPr>
              <w:t>（3）纸质版投标文件正本1份、副本1份（作为投标资料存档，请投标人于开标结束后五个工作日内邮寄或送至招标代理机构）。</w:t>
            </w:r>
          </w:p>
        </w:tc>
      </w:tr>
      <w:tr w14:paraId="6000B87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276C5451">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2.14</w:t>
            </w:r>
          </w:p>
        </w:tc>
        <w:tc>
          <w:tcPr>
            <w:tcW w:w="1125" w:type="dxa"/>
            <w:tcBorders>
              <w:top w:val="single" w:color="000000" w:sz="4" w:space="0"/>
              <w:left w:val="single" w:color="000000" w:sz="4" w:space="0"/>
              <w:bottom w:val="single" w:color="000000" w:sz="4" w:space="0"/>
              <w:right w:val="single" w:color="000000" w:sz="4" w:space="0"/>
            </w:tcBorders>
            <w:vAlign w:val="center"/>
          </w:tcPr>
          <w:p w14:paraId="1061CCD0">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响应文件递交截止时间、地点</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01511C12">
            <w:p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时间：2024-10-24 10:00:00</w:t>
            </w:r>
          </w:p>
          <w:p w14:paraId="083D5288">
            <w:pPr>
              <w:adjustRightInd/>
              <w:snapToGrid/>
              <w:spacing w:after="0" w:line="360" w:lineRule="auto"/>
              <w:textAlignment w:val="baseline"/>
              <w:rPr>
                <w:rFonts w:ascii="宋体" w:hAnsi="宋体" w:eastAsia="宋体" w:cs="宋体"/>
                <w:color w:val="FF0000"/>
                <w:sz w:val="24"/>
                <w:szCs w:val="24"/>
              </w:rPr>
            </w:pPr>
            <w:r>
              <w:rPr>
                <w:rFonts w:hint="eastAsia" w:ascii="宋体" w:hAnsi="宋体" w:eastAsia="宋体" w:cs="宋体"/>
                <w:sz w:val="24"/>
                <w:szCs w:val="24"/>
                <w:lang w:bidi="zh-CN"/>
              </w:rPr>
              <w:t>地点：陇南市公共资源交易中心网络开标直播一厅第1坐席（陇南市行政中心5号楼环保大厦）投标人在投标时请前1小时登录陇南市公共资源交易网--不见面开标大厅找到相对应的项目和包号进行签到。</w:t>
            </w:r>
          </w:p>
        </w:tc>
      </w:tr>
      <w:tr w14:paraId="1A5EE66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50737287">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2.15</w:t>
            </w:r>
          </w:p>
        </w:tc>
        <w:tc>
          <w:tcPr>
            <w:tcW w:w="1125" w:type="dxa"/>
            <w:tcBorders>
              <w:top w:val="single" w:color="000000" w:sz="4" w:space="0"/>
              <w:left w:val="single" w:color="000000" w:sz="4" w:space="0"/>
              <w:bottom w:val="single" w:color="000000" w:sz="4" w:space="0"/>
              <w:right w:val="single" w:color="000000" w:sz="4" w:space="0"/>
            </w:tcBorders>
            <w:vAlign w:val="center"/>
          </w:tcPr>
          <w:p w14:paraId="376B1EBD">
            <w:p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开标时间</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02ECAAD3">
            <w:pPr>
              <w:adjustRightInd/>
              <w:snapToGrid/>
              <w:spacing w:after="0" w:line="360" w:lineRule="auto"/>
              <w:textAlignment w:val="baseline"/>
              <w:rPr>
                <w:rFonts w:ascii="宋体" w:hAnsi="宋体" w:eastAsia="宋体" w:cs="宋体"/>
                <w:sz w:val="24"/>
                <w:szCs w:val="24"/>
                <w:lang w:bidi="zh-CN"/>
              </w:rPr>
            </w:pPr>
            <w:r>
              <w:rPr>
                <w:rFonts w:hint="eastAsia" w:ascii="宋体" w:hAnsi="宋体" w:eastAsia="宋体" w:cs="宋体"/>
                <w:sz w:val="24"/>
                <w:szCs w:val="24"/>
                <w:lang w:bidi="zh-CN"/>
              </w:rPr>
              <w:t>2024年10月24日上午10时00分（北京时间）</w:t>
            </w:r>
          </w:p>
        </w:tc>
      </w:tr>
      <w:tr w14:paraId="5BAFD9B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7C3C686B">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2.16</w:t>
            </w:r>
          </w:p>
        </w:tc>
        <w:tc>
          <w:tcPr>
            <w:tcW w:w="1125" w:type="dxa"/>
            <w:tcBorders>
              <w:top w:val="single" w:color="000000" w:sz="4" w:space="0"/>
              <w:left w:val="single" w:color="000000" w:sz="4" w:space="0"/>
              <w:bottom w:val="single" w:color="000000" w:sz="4" w:space="0"/>
              <w:right w:val="single" w:color="000000" w:sz="4" w:space="0"/>
            </w:tcBorders>
            <w:vAlign w:val="center"/>
          </w:tcPr>
          <w:p w14:paraId="2AA7207C">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开标地点</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6D528236">
            <w:pPr>
              <w:adjustRightInd/>
              <w:snapToGrid/>
              <w:spacing w:after="0" w:line="360" w:lineRule="auto"/>
              <w:jc w:val="both"/>
              <w:textAlignment w:val="baseline"/>
              <w:rPr>
                <w:rFonts w:ascii="宋体" w:hAnsi="宋体" w:eastAsia="宋体" w:cs="宋体"/>
                <w:b/>
                <w:color w:val="FF0000"/>
                <w:kern w:val="2"/>
                <w:sz w:val="24"/>
                <w:szCs w:val="24"/>
              </w:rPr>
            </w:pPr>
            <w:r>
              <w:rPr>
                <w:rFonts w:hint="eastAsia" w:ascii="宋体" w:hAnsi="宋体" w:eastAsia="宋体" w:cs="宋体"/>
                <w:sz w:val="24"/>
                <w:szCs w:val="24"/>
                <w:lang w:bidi="zh-CN"/>
              </w:rPr>
              <w:t>陇南市公共资源交易中心网络开标直播一厅第1坐席（陇南市行政中心5号楼环保大厦）</w:t>
            </w:r>
          </w:p>
        </w:tc>
      </w:tr>
      <w:tr w14:paraId="456E4FC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18DB4926">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2.17</w:t>
            </w:r>
          </w:p>
        </w:tc>
        <w:tc>
          <w:tcPr>
            <w:tcW w:w="1125" w:type="dxa"/>
            <w:tcBorders>
              <w:top w:val="single" w:color="000000" w:sz="4" w:space="0"/>
              <w:left w:val="single" w:color="000000" w:sz="4" w:space="0"/>
              <w:bottom w:val="single" w:color="000000" w:sz="4" w:space="0"/>
              <w:right w:val="single" w:color="000000" w:sz="4" w:space="0"/>
            </w:tcBorders>
            <w:vAlign w:val="center"/>
          </w:tcPr>
          <w:p w14:paraId="1661B30D">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公布媒体</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36B93F9D">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甘肃政府采购网、陇南市公共资源交易网</w:t>
            </w:r>
          </w:p>
        </w:tc>
      </w:tr>
      <w:tr w14:paraId="170E9DD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157A885E">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2.18</w:t>
            </w:r>
          </w:p>
        </w:tc>
        <w:tc>
          <w:tcPr>
            <w:tcW w:w="1125" w:type="dxa"/>
            <w:tcBorders>
              <w:top w:val="single" w:color="000000" w:sz="4" w:space="0"/>
              <w:left w:val="single" w:color="000000" w:sz="4" w:space="0"/>
              <w:bottom w:val="single" w:color="000000" w:sz="4" w:space="0"/>
              <w:right w:val="single" w:color="000000" w:sz="4" w:space="0"/>
            </w:tcBorders>
            <w:vAlign w:val="center"/>
          </w:tcPr>
          <w:p w14:paraId="5FEA53F2">
            <w:pPr>
              <w:adjustRightInd/>
              <w:snapToGrid/>
              <w:spacing w:after="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踏勘现场、标前答疑会</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32662247">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不组织</w:t>
            </w:r>
          </w:p>
        </w:tc>
      </w:tr>
      <w:tr w14:paraId="5DF0AD1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5C8629E7">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2.19</w:t>
            </w:r>
          </w:p>
        </w:tc>
        <w:tc>
          <w:tcPr>
            <w:tcW w:w="1125" w:type="dxa"/>
            <w:tcBorders>
              <w:top w:val="single" w:color="000000" w:sz="4" w:space="0"/>
              <w:left w:val="single" w:color="000000" w:sz="4" w:space="0"/>
              <w:bottom w:val="single" w:color="000000" w:sz="4" w:space="0"/>
              <w:right w:val="single" w:color="000000" w:sz="4" w:space="0"/>
            </w:tcBorders>
            <w:vAlign w:val="center"/>
          </w:tcPr>
          <w:p w14:paraId="40FA1A0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招标代理服务费收取标准和方式</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7E282D91">
            <w:pPr>
              <w:adjustRightInd/>
              <w:snapToGrid/>
              <w:spacing w:after="0" w:line="360" w:lineRule="auto"/>
              <w:ind w:right="96"/>
              <w:jc w:val="both"/>
              <w:textAlignment w:val="baseline"/>
              <w:rPr>
                <w:rFonts w:ascii="宋体" w:hAnsi="宋体" w:eastAsia="宋体" w:cs="宋体"/>
                <w:kern w:val="2"/>
                <w:sz w:val="24"/>
                <w:szCs w:val="24"/>
              </w:rPr>
            </w:pPr>
            <w:r>
              <w:rPr>
                <w:rFonts w:hint="eastAsia" w:ascii="宋体" w:hAnsi="宋体" w:eastAsia="宋体" w:cs="宋体"/>
                <w:sz w:val="24"/>
                <w:szCs w:val="24"/>
                <w:lang w:val="zh-CN" w:bidi="zh-CN"/>
              </w:rPr>
              <w:t>依据国家计委颁发的《招标代理服务收费管理暂行办法》（计价格[2002]1980号），《国家发展改革委关于进一步放开专业服务价格的通知》（发改办价格[2015]299号）规定的标准，</w:t>
            </w:r>
            <w:r>
              <w:rPr>
                <w:rFonts w:hint="eastAsia" w:ascii="宋体" w:hAnsi="宋体" w:eastAsia="宋体" w:cs="宋体"/>
                <w:spacing w:val="-4"/>
                <w:sz w:val="24"/>
                <w:szCs w:val="24"/>
                <w:lang w:val="zh-CN" w:bidi="zh-CN"/>
              </w:rPr>
              <w:t>中标人在中标公告公示期结束后</w:t>
            </w:r>
            <w:r>
              <w:rPr>
                <w:rFonts w:hint="eastAsia" w:ascii="宋体" w:hAnsi="宋体" w:eastAsia="宋体" w:cs="宋体"/>
                <w:sz w:val="24"/>
                <w:szCs w:val="24"/>
                <w:lang w:val="zh-CN" w:bidi="zh-CN"/>
              </w:rPr>
              <w:t>5</w:t>
            </w:r>
            <w:r>
              <w:rPr>
                <w:rFonts w:hint="eastAsia" w:ascii="宋体" w:hAnsi="宋体" w:eastAsia="宋体" w:cs="宋体"/>
                <w:spacing w:val="-5"/>
                <w:sz w:val="24"/>
                <w:szCs w:val="24"/>
                <w:lang w:val="zh-CN" w:bidi="zh-CN"/>
              </w:rPr>
              <w:t>个工作日内向招标代理机构缴纳招标代理服务费</w:t>
            </w:r>
            <w:r>
              <w:rPr>
                <w:rFonts w:hint="eastAsia" w:ascii="宋体" w:hAnsi="宋体" w:eastAsia="宋体" w:cs="宋体"/>
                <w:sz w:val="24"/>
                <w:szCs w:val="24"/>
                <w:lang w:val="zh-CN" w:bidi="zh-CN"/>
              </w:rPr>
              <w:t>。</w:t>
            </w:r>
          </w:p>
        </w:tc>
      </w:tr>
      <w:tr w14:paraId="498853D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4905BEC2">
            <w:pPr>
              <w:adjustRightInd/>
              <w:snapToGrid/>
              <w:spacing w:after="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2.20</w:t>
            </w:r>
          </w:p>
        </w:tc>
        <w:tc>
          <w:tcPr>
            <w:tcW w:w="1125" w:type="dxa"/>
            <w:tcBorders>
              <w:top w:val="single" w:color="000000" w:sz="4" w:space="0"/>
              <w:left w:val="single" w:color="000000" w:sz="4" w:space="0"/>
              <w:bottom w:val="single" w:color="000000" w:sz="4" w:space="0"/>
              <w:right w:val="single" w:color="000000" w:sz="4" w:space="0"/>
            </w:tcBorders>
            <w:vAlign w:val="center"/>
          </w:tcPr>
          <w:p w14:paraId="7A6443A7">
            <w:pPr>
              <w:adjustRightInd/>
              <w:snapToGrid/>
              <w:spacing w:after="0"/>
              <w:jc w:val="center"/>
              <w:textAlignment w:val="baseline"/>
              <w:rPr>
                <w:rFonts w:ascii="宋体" w:hAnsi="宋体" w:eastAsia="宋体" w:cs="宋体"/>
                <w:sz w:val="24"/>
                <w:szCs w:val="24"/>
                <w:lang w:val="zh-CN" w:bidi="zh-CN"/>
              </w:rPr>
            </w:pPr>
            <w:r>
              <w:rPr>
                <w:rFonts w:hint="eastAsia" w:ascii="宋体" w:hAnsi="宋体" w:eastAsia="宋体" w:cs="宋体"/>
                <w:sz w:val="24"/>
                <w:szCs w:val="24"/>
                <w:lang w:val="zh-CN" w:bidi="zh-CN"/>
              </w:rPr>
              <w:t>预留比例</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1E0C83D3">
            <w:pPr>
              <w:adjustRightInd/>
              <w:snapToGrid/>
              <w:spacing w:after="0" w:line="360" w:lineRule="auto"/>
              <w:ind w:right="96"/>
              <w:jc w:val="both"/>
              <w:textAlignment w:val="baseline"/>
              <w:rPr>
                <w:rFonts w:ascii="宋体" w:hAnsi="宋体" w:eastAsia="宋体" w:cs="宋体"/>
                <w:sz w:val="24"/>
                <w:szCs w:val="24"/>
                <w:lang w:val="zh-CN" w:bidi="zh-CN"/>
              </w:rPr>
            </w:pPr>
            <w:r>
              <w:rPr>
                <w:rFonts w:hint="eastAsia" w:ascii="宋体" w:hAnsi="宋体" w:eastAsia="宋体" w:cs="宋体"/>
                <w:b/>
                <w:sz w:val="24"/>
                <w:szCs w:val="24"/>
                <w:lang w:bidi="zh-CN"/>
              </w:rPr>
              <w:t>整体预留</w:t>
            </w:r>
          </w:p>
        </w:tc>
      </w:tr>
      <w:tr w14:paraId="61B59C1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04" w:type="dxa"/>
            <w:tcBorders>
              <w:top w:val="single" w:color="000000" w:sz="4" w:space="0"/>
              <w:left w:val="double" w:color="000000" w:sz="6" w:space="0"/>
              <w:bottom w:val="single" w:color="000000" w:sz="4" w:space="0"/>
              <w:right w:val="single" w:color="000000" w:sz="4" w:space="0"/>
            </w:tcBorders>
            <w:vAlign w:val="center"/>
          </w:tcPr>
          <w:p w14:paraId="0D90B863">
            <w:pPr>
              <w:adjustRightInd/>
              <w:snapToGrid/>
              <w:spacing w:after="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2.21</w:t>
            </w:r>
          </w:p>
        </w:tc>
        <w:tc>
          <w:tcPr>
            <w:tcW w:w="1125" w:type="dxa"/>
            <w:tcBorders>
              <w:top w:val="single" w:color="000000" w:sz="4" w:space="0"/>
              <w:left w:val="single" w:color="000000" w:sz="4" w:space="0"/>
              <w:bottom w:val="single" w:color="000000" w:sz="4" w:space="0"/>
              <w:right w:val="single" w:color="000000" w:sz="4" w:space="0"/>
            </w:tcBorders>
            <w:vAlign w:val="center"/>
          </w:tcPr>
          <w:p w14:paraId="61D4260D">
            <w:pPr>
              <w:adjustRightInd/>
              <w:snapToGrid/>
              <w:spacing w:after="0" w:line="360" w:lineRule="auto"/>
              <w:jc w:val="center"/>
              <w:textAlignment w:val="baseline"/>
              <w:rPr>
                <w:rFonts w:ascii="宋体" w:hAnsi="宋体" w:eastAsia="宋体" w:cs="宋体"/>
                <w:sz w:val="21"/>
                <w:szCs w:val="21"/>
                <w:lang w:bidi="zh-CN"/>
              </w:rPr>
            </w:pPr>
            <w:r>
              <w:rPr>
                <w:rFonts w:hint="eastAsia" w:ascii="宋体" w:hAnsi="宋体" w:eastAsia="宋体" w:cs="宋体"/>
                <w:spacing w:val="-4"/>
                <w:sz w:val="24"/>
                <w:szCs w:val="24"/>
                <w:lang w:val="zh-CN" w:bidi="zh-CN"/>
              </w:rPr>
              <w:t>政府采购合同融资</w:t>
            </w:r>
          </w:p>
        </w:tc>
        <w:tc>
          <w:tcPr>
            <w:tcW w:w="7809" w:type="dxa"/>
            <w:gridSpan w:val="2"/>
            <w:tcBorders>
              <w:top w:val="single" w:color="000000" w:sz="4" w:space="0"/>
              <w:left w:val="single" w:color="000000" w:sz="4" w:space="0"/>
              <w:bottom w:val="single" w:color="000000" w:sz="4" w:space="0"/>
              <w:right w:val="double" w:color="000000" w:sz="6" w:space="0"/>
            </w:tcBorders>
            <w:vAlign w:val="center"/>
          </w:tcPr>
          <w:p w14:paraId="3C288631">
            <w:pPr>
              <w:adjustRightInd/>
              <w:snapToGrid/>
              <w:spacing w:after="0" w:line="360" w:lineRule="auto"/>
              <w:ind w:right="96"/>
              <w:jc w:val="both"/>
              <w:textAlignment w:val="baseline"/>
              <w:rPr>
                <w:rFonts w:ascii="宋体" w:hAnsi="宋体" w:eastAsia="宋体" w:cs="宋体"/>
                <w:b/>
                <w:sz w:val="24"/>
                <w:szCs w:val="24"/>
                <w:lang w:bidi="zh-CN"/>
              </w:rPr>
            </w:pPr>
            <w:r>
              <w:rPr>
                <w:rFonts w:hint="eastAsia" w:ascii="宋体" w:hAnsi="宋体" w:eastAsia="宋体" w:cs="宋体"/>
                <w:spacing w:val="-4"/>
                <w:sz w:val="24"/>
                <w:szCs w:val="24"/>
                <w:lang w:val="zh-CN" w:bidi="zh-CN"/>
              </w:rPr>
              <w:t>在甘肃省注册、具有法人资格且依法取得省内政府采购合同中小微企业在依法签订政府采购合同后，即可通过融资平台自行选择金融机构及合同融资产品，申请合同融资。详见《甘肃省财政厅关于开展甘肃省政府采购合同融资业务有关事宜的通知》（甘财采〔2019〕16 号）。</w:t>
            </w:r>
          </w:p>
        </w:tc>
      </w:tr>
      <w:tr w14:paraId="1F6D77B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0" w:type="dxa"/>
            <w:bottom w:w="0" w:type="dxa"/>
            <w:right w:w="0" w:type="dxa"/>
          </w:tblCellMar>
        </w:tblPrEx>
        <w:trPr>
          <w:trHeight w:val="3329" w:hRule="atLeast"/>
          <w:jc w:val="center"/>
        </w:trPr>
        <w:tc>
          <w:tcPr>
            <w:tcW w:w="804" w:type="dxa"/>
            <w:tcBorders>
              <w:top w:val="single" w:color="000000" w:sz="4" w:space="0"/>
              <w:left w:val="double" w:color="000000" w:sz="6" w:space="0"/>
              <w:bottom w:val="double" w:color="000000" w:sz="6" w:space="0"/>
              <w:right w:val="single" w:color="000000" w:sz="4" w:space="0"/>
            </w:tcBorders>
            <w:vAlign w:val="center"/>
          </w:tcPr>
          <w:p w14:paraId="618042C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2.22</w:t>
            </w:r>
          </w:p>
        </w:tc>
        <w:tc>
          <w:tcPr>
            <w:tcW w:w="2512" w:type="dxa"/>
            <w:gridSpan w:val="2"/>
            <w:tcBorders>
              <w:top w:val="single" w:color="000000" w:sz="4" w:space="0"/>
              <w:left w:val="single" w:color="000000" w:sz="4" w:space="0"/>
              <w:bottom w:val="double" w:color="000000" w:sz="6" w:space="0"/>
              <w:right w:val="single" w:color="000000" w:sz="4" w:space="0"/>
            </w:tcBorders>
            <w:vAlign w:val="center"/>
          </w:tcPr>
          <w:p w14:paraId="630FDDB2">
            <w:pPr>
              <w:adjustRightInd/>
              <w:snapToGrid/>
              <w:spacing w:after="0" w:line="360" w:lineRule="auto"/>
              <w:jc w:val="center"/>
              <w:textAlignment w:val="baseline"/>
              <w:rPr>
                <w:rFonts w:ascii="宋体" w:hAnsi="宋体" w:eastAsia="宋体" w:cs="宋体"/>
                <w:sz w:val="24"/>
                <w:szCs w:val="24"/>
                <w:lang w:val="zh-CN" w:bidi="zh-CN"/>
              </w:rPr>
            </w:pPr>
            <w:r>
              <w:rPr>
                <w:rFonts w:hint="eastAsia" w:ascii="宋体" w:hAnsi="宋体" w:eastAsia="宋体" w:cs="宋体"/>
                <w:kern w:val="2"/>
                <w:sz w:val="24"/>
                <w:szCs w:val="24"/>
                <w:lang w:val="zh-CN"/>
              </w:rPr>
              <w:t>是否存在以注册资本金、资产总额、营业收入、从业人员等规模条件对中小企业实行差别待遇或歧视待遇的情况</w:t>
            </w:r>
          </w:p>
        </w:tc>
        <w:tc>
          <w:tcPr>
            <w:tcW w:w="6422" w:type="dxa"/>
            <w:tcBorders>
              <w:top w:val="single" w:color="000000" w:sz="4" w:space="0"/>
              <w:left w:val="single" w:color="000000" w:sz="4" w:space="0"/>
              <w:bottom w:val="double" w:color="000000" w:sz="6" w:space="0"/>
              <w:right w:val="double" w:color="000000" w:sz="6" w:space="0"/>
            </w:tcBorders>
            <w:vAlign w:val="center"/>
          </w:tcPr>
          <w:p w14:paraId="23819940">
            <w:pPr>
              <w:adjustRightInd/>
              <w:snapToGrid/>
              <w:spacing w:after="0" w:line="360" w:lineRule="auto"/>
              <w:ind w:right="96"/>
              <w:jc w:val="both"/>
              <w:textAlignment w:val="baseline"/>
              <w:rPr>
                <w:rFonts w:ascii="宋体" w:hAnsi="宋体" w:eastAsia="宋体" w:cs="宋体"/>
                <w:b/>
                <w:sz w:val="24"/>
                <w:szCs w:val="24"/>
                <w:lang w:val="zh-CN" w:bidi="zh-CN"/>
              </w:rPr>
            </w:pPr>
            <w:r>
              <w:rPr>
                <w:rFonts w:hint="eastAsia" w:ascii="宋体" w:hAnsi="宋体" w:eastAsia="宋体" w:cs="宋体"/>
                <w:b/>
                <w:sz w:val="24"/>
                <w:szCs w:val="24"/>
                <w:lang w:val="zh-CN" w:bidi="zh-CN"/>
              </w:rPr>
              <w:t>否</w:t>
            </w:r>
          </w:p>
        </w:tc>
      </w:tr>
    </w:tbl>
    <w:p w14:paraId="7C7E27CA">
      <w:pPr>
        <w:pStyle w:val="9"/>
        <w:rPr>
          <w:rFonts w:ascii="宋体" w:hAnsi="宋体" w:eastAsia="宋体"/>
        </w:rPr>
      </w:pPr>
    </w:p>
    <w:p w14:paraId="549E59CE">
      <w:pPr>
        <w:rPr>
          <w:rFonts w:ascii="宋体" w:hAnsi="宋体" w:eastAsia="宋体" w:cs="Times New Roman"/>
          <w:b/>
          <w:bCs/>
          <w:kern w:val="44"/>
          <w:sz w:val="30"/>
        </w:rPr>
      </w:pPr>
      <w:bookmarkStart w:id="10" w:name="_Toc3934"/>
      <w:r>
        <w:rPr>
          <w:rFonts w:hint="eastAsia" w:ascii="宋体" w:hAnsi="宋体" w:eastAsia="宋体" w:cs="Times New Roman"/>
          <w:b/>
          <w:bCs/>
          <w:kern w:val="44"/>
          <w:sz w:val="30"/>
        </w:rPr>
        <w:br w:type="page"/>
      </w:r>
    </w:p>
    <w:p w14:paraId="0380F3B3">
      <w:pPr>
        <w:adjustRightInd/>
        <w:snapToGrid/>
        <w:spacing w:after="0" w:line="360" w:lineRule="auto"/>
        <w:jc w:val="center"/>
        <w:textAlignment w:val="baseline"/>
        <w:outlineLvl w:val="0"/>
        <w:rPr>
          <w:rFonts w:ascii="宋体" w:hAnsi="宋体" w:eastAsia="宋体" w:cs="宋体"/>
          <w:sz w:val="72"/>
          <w:szCs w:val="72"/>
        </w:rPr>
      </w:pPr>
      <w:bookmarkStart w:id="11" w:name="_Toc28716"/>
      <w:r>
        <w:rPr>
          <w:rFonts w:hint="eastAsia" w:ascii="宋体" w:hAnsi="宋体" w:eastAsia="宋体" w:cs="Times New Roman"/>
          <w:b/>
          <w:bCs/>
          <w:kern w:val="44"/>
          <w:sz w:val="30"/>
        </w:rPr>
        <w:t>第三章</w:t>
      </w:r>
      <w:bookmarkEnd w:id="10"/>
      <w:bookmarkStart w:id="12" w:name="_Toc13531"/>
      <w:r>
        <w:rPr>
          <w:rFonts w:hint="eastAsia" w:ascii="宋体" w:hAnsi="宋体" w:eastAsia="宋体" w:cs="Times New Roman"/>
          <w:b/>
          <w:bCs/>
          <w:kern w:val="44"/>
          <w:sz w:val="30"/>
        </w:rPr>
        <w:t>、投标人须知</w:t>
      </w:r>
      <w:bookmarkEnd w:id="11"/>
      <w:bookmarkEnd w:id="12"/>
    </w:p>
    <w:p w14:paraId="7BFE0935">
      <w:pPr>
        <w:spacing w:after="0" w:line="480" w:lineRule="exact"/>
        <w:outlineLvl w:val="1"/>
        <w:rPr>
          <w:rFonts w:ascii="宋体" w:hAnsi="宋体" w:eastAsia="宋体" w:cs="宋体"/>
          <w:b/>
          <w:bCs/>
          <w:sz w:val="24"/>
          <w:szCs w:val="24"/>
        </w:rPr>
      </w:pPr>
      <w:bookmarkStart w:id="13" w:name="_Toc25888"/>
      <w:bookmarkStart w:id="14" w:name="_Toc22849"/>
      <w:bookmarkStart w:id="15" w:name="_Toc11425"/>
      <w:bookmarkStart w:id="16" w:name="_Toc24799"/>
      <w:bookmarkStart w:id="17" w:name="_Toc27213"/>
      <w:r>
        <w:rPr>
          <w:rFonts w:hint="eastAsia" w:ascii="宋体" w:hAnsi="宋体" w:eastAsia="宋体" w:cs="宋体"/>
          <w:b/>
          <w:bCs/>
          <w:sz w:val="24"/>
          <w:szCs w:val="24"/>
        </w:rPr>
        <w:t>3.1 招标文件涉及术语的内涵及解释</w:t>
      </w:r>
      <w:bookmarkEnd w:id="13"/>
      <w:bookmarkEnd w:id="14"/>
      <w:bookmarkEnd w:id="15"/>
      <w:bookmarkEnd w:id="16"/>
      <w:bookmarkEnd w:id="17"/>
    </w:p>
    <w:p w14:paraId="408CE8E9">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1)“政府采购当事人”是指在政府采购活动中享有权利和承担义务的各类主体，包括采购人、供应商和采购代理机构等。</w:t>
      </w:r>
    </w:p>
    <w:p w14:paraId="0CFCB482">
      <w:pPr>
        <w:adjustRightInd/>
        <w:snapToGrid/>
        <w:spacing w:after="0" w:line="480" w:lineRule="exact"/>
        <w:ind w:firstLine="480" w:firstLineChars="200"/>
        <w:jc w:val="both"/>
        <w:textAlignment w:val="baseline"/>
        <w:rPr>
          <w:rFonts w:ascii="宋体" w:hAnsi="宋体" w:eastAsia="宋体" w:cs="宋体"/>
          <w:b/>
          <w:kern w:val="2"/>
          <w:sz w:val="24"/>
          <w:szCs w:val="24"/>
        </w:rPr>
      </w:pPr>
      <w:r>
        <w:rPr>
          <w:rFonts w:hint="eastAsia" w:ascii="宋体" w:hAnsi="宋体" w:eastAsia="宋体" w:cs="宋体"/>
          <w:kern w:val="2"/>
          <w:sz w:val="24"/>
          <w:szCs w:val="24"/>
        </w:rPr>
        <w:t>2)“采购人”和“需方”是指宕昌县公安局。</w:t>
      </w:r>
    </w:p>
    <w:p w14:paraId="39C964E7">
      <w:pPr>
        <w:adjustRightInd/>
        <w:snapToGrid/>
        <w:spacing w:after="0" w:line="480" w:lineRule="exact"/>
        <w:ind w:firstLine="480" w:firstLineChars="200"/>
        <w:jc w:val="both"/>
        <w:textAlignment w:val="baseline"/>
        <w:rPr>
          <w:rFonts w:ascii="宋体" w:hAnsi="宋体" w:eastAsia="宋体" w:cs="宋体"/>
          <w:kern w:val="2"/>
          <w:sz w:val="24"/>
          <w:szCs w:val="24"/>
          <w:u w:val="single"/>
        </w:rPr>
      </w:pPr>
      <w:r>
        <w:rPr>
          <w:rFonts w:hint="eastAsia" w:ascii="宋体" w:hAnsi="宋体" w:eastAsia="宋体" w:cs="宋体"/>
          <w:kern w:val="2"/>
          <w:sz w:val="24"/>
          <w:szCs w:val="24"/>
        </w:rPr>
        <w:t>3)“招标代理机构”是指甘肃鑫畅达工程咨询有限公司。</w:t>
      </w:r>
    </w:p>
    <w:p w14:paraId="5EA950CD">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4)“投标人”是指向本次招标人提交投标文件的供应商。</w:t>
      </w:r>
    </w:p>
    <w:p w14:paraId="2E839D90">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5)“供应商”是指向采购人提供货物、工程或者服务的法人、其他组织或者自然人。</w:t>
      </w:r>
    </w:p>
    <w:p w14:paraId="7D22D5C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6)“招标文件”是指由招标人发出的文本、文件，包括全部章节和附件及答疑会议纪要。</w:t>
      </w:r>
    </w:p>
    <w:p w14:paraId="6C5BB4F4">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7)“投标文件”是指投标供应商根据本招标文件向招标代理机构提交的全部响应性文件。投标供应商必须保证投标文件所提供的全部资料真实可靠，并接受招标代理机构对其中任何资料进一步审查的要求。</w:t>
      </w:r>
    </w:p>
    <w:p w14:paraId="73C3FFF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8)“采购文件”是指包括采购活动记录、采购预算、招标文件、投标文件、评标标准、评标报告、定标文件、合同文本、验收证明、质疑答复、投诉处理决定及其他有关文件、资料。</w:t>
      </w:r>
    </w:p>
    <w:p w14:paraId="65F8F60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9)“货物”是指投标供应商中标后根据招标文件和合同的规定须向采购人提供的各种形态和种类的物品，包括原材料、燃料、设备等。</w:t>
      </w:r>
    </w:p>
    <w:p w14:paraId="168124E4">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10）“工程”是指建设工程，包括建筑物和构筑物的新建、改建、扩建、装修、拆除、修缮等。</w:t>
      </w:r>
    </w:p>
    <w:p w14:paraId="5BA92DB9">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11)“安装”是指投标人中标后按谈判文件和合同的规定在项目现场所进行的安装、调试、检验、验收及修补缺陷等内容。供方应对所有现场作业、所有全部安装的完备性、稳定性和安全性负责。</w:t>
      </w:r>
    </w:p>
    <w:p w14:paraId="3ADC84F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12)“服务”是指供方根据招标文件和合同的规定承担与供货有关的服务，包括运输、仓储、保险以及其它的伴随服务，如售后、安装、集成、调试、培训、技术支持、维护和维修以及其它使货物正常运转所必需的服务，更换和应承担的其它义务。</w:t>
      </w:r>
    </w:p>
    <w:p w14:paraId="755738B0">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13）“知识产权”是指通过签署投标函，投标供应商应确认其为所供硬件和软件的知识产权的合法所有人，或已经从其所有人那里得到了适当的授权。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如采用投标人所不拥有的知识产权，则在投标报价中必须包括合法获取该知识产权的相关费用。</w:t>
      </w:r>
    </w:p>
    <w:p w14:paraId="1A36314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14）“自主创新产品”是指纳入财政部公布的《政府采购自主创新产品目录》的货物和服务。</w:t>
      </w:r>
    </w:p>
    <w:p w14:paraId="1459888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15）“节能产品”或者“环保产品”是指列入财政部、国家发展改革委制定的《节能产品政府采购品目清单》和财政部、国家环境保护总局制定的《环境标志产品政府采购清单》的产品并在产品认证证书有效期内的。</w:t>
      </w:r>
    </w:p>
    <w:p w14:paraId="7274C51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16）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14:paraId="7184539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4FCEAE8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根据《财政部民政部中国残疾人联合会关于促进残疾人就业政府采购政策的通知》（财库〔2017〕141号）的规定，残疾人福利性单位视同为小型、微型企业。</w:t>
      </w:r>
    </w:p>
    <w:p w14:paraId="2DE9256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17）“进口产品”是指通过中国海关报关验收进入中国境内且产自关境外的产品。详见《关于政府采购进口产品管理有关问题的通知》(财库[2007]119号)。经财政监管部门审核管理，并经进口论证后方可采购进口产品。</w:t>
      </w:r>
    </w:p>
    <w:p w14:paraId="3B232BF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18)“书面形式”是指任何手写、打印或印刷的各种函件，不包括电传、电报、传真、电子邮件。</w:t>
      </w:r>
    </w:p>
    <w:p w14:paraId="3FE8E0F8">
      <w:pPr>
        <w:spacing w:after="0" w:line="480" w:lineRule="exact"/>
        <w:outlineLvl w:val="1"/>
        <w:rPr>
          <w:rFonts w:ascii="宋体" w:hAnsi="宋体" w:eastAsia="宋体" w:cs="宋体"/>
          <w:b/>
          <w:bCs/>
          <w:sz w:val="24"/>
          <w:szCs w:val="24"/>
        </w:rPr>
      </w:pPr>
      <w:bookmarkStart w:id="18" w:name="_Toc9091"/>
      <w:bookmarkStart w:id="19" w:name="_Toc25226"/>
      <w:bookmarkStart w:id="20" w:name="_Toc23428"/>
      <w:bookmarkStart w:id="21" w:name="_Toc30660"/>
      <w:bookmarkStart w:id="22" w:name="_Toc13717"/>
      <w:r>
        <w:rPr>
          <w:rFonts w:hint="eastAsia" w:ascii="宋体" w:hAnsi="宋体" w:eastAsia="宋体" w:cs="宋体"/>
          <w:b/>
          <w:bCs/>
          <w:sz w:val="24"/>
          <w:szCs w:val="24"/>
        </w:rPr>
        <w:t>3.2 招标</w:t>
      </w:r>
      <w:bookmarkEnd w:id="18"/>
      <w:bookmarkEnd w:id="19"/>
      <w:bookmarkEnd w:id="20"/>
      <w:bookmarkEnd w:id="21"/>
      <w:bookmarkEnd w:id="22"/>
    </w:p>
    <w:p w14:paraId="63E17D24">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3.2.1综合说明</w:t>
      </w:r>
    </w:p>
    <w:p w14:paraId="1C8ADB6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本项目按照《中华人民共和国政府采购法》及相关法规，已办理招标申请，并得到招标管理机构批准，现通过招标来择优选定货物服务的供应商。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其风险由投标人自行承担。</w:t>
      </w:r>
    </w:p>
    <w:p w14:paraId="11EA6656">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3.2.2招标文件的构成</w:t>
      </w:r>
    </w:p>
    <w:p w14:paraId="5E6E25A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招标文件用以阐明招标项目所需的资质、技术、服务及报价等要求、招标投标程序、有关规定和注意事项以及合同主要条款等。本招标文件包括以下内容：</w:t>
      </w:r>
    </w:p>
    <w:p w14:paraId="77BD7B9E">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（1）招标公告</w:t>
      </w:r>
    </w:p>
    <w:p w14:paraId="63BF894B">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（2）投标人须知前附表</w:t>
      </w:r>
    </w:p>
    <w:p w14:paraId="1551C0A4">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（3）投标人须知</w:t>
      </w:r>
    </w:p>
    <w:p w14:paraId="27CCFDE3">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（4）项目需求</w:t>
      </w:r>
    </w:p>
    <w:p w14:paraId="7B32E767">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（5）评标原则及办法</w:t>
      </w:r>
    </w:p>
    <w:p w14:paraId="7C8F33B5">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（6）合同条款及格式</w:t>
      </w:r>
    </w:p>
    <w:p w14:paraId="183F5341">
      <w:pPr>
        <w:adjustRightInd/>
        <w:snapToGrid/>
        <w:spacing w:after="0" w:line="480" w:lineRule="exact"/>
        <w:ind w:left="440" w:leftChars="200"/>
        <w:jc w:val="both"/>
        <w:rPr>
          <w:rFonts w:ascii="宋体" w:hAnsi="宋体" w:eastAsia="宋体" w:cs="宋体"/>
          <w:kern w:val="2"/>
          <w:sz w:val="24"/>
          <w:szCs w:val="24"/>
        </w:rPr>
      </w:pPr>
      <w:r>
        <w:rPr>
          <w:rFonts w:hint="eastAsia" w:ascii="宋体" w:hAnsi="宋体" w:eastAsia="宋体" w:cs="宋体"/>
          <w:kern w:val="2"/>
          <w:sz w:val="24"/>
          <w:szCs w:val="24"/>
        </w:rPr>
        <w:t>（7）附件（投标文件格式）</w:t>
      </w:r>
    </w:p>
    <w:p w14:paraId="74F68287">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3.2.3招标文件的修改与补充</w:t>
      </w:r>
    </w:p>
    <w:p w14:paraId="456492B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投标截止日期3天前，无论出于何种原因，招标人（采购人）可主动地或在解答投标人提出的问题时对招标文件进行修改。</w:t>
      </w:r>
    </w:p>
    <w:p w14:paraId="256CA68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文件的修改将以书面形式或网上公告的形式通知所有购买招标文件的投标人，并对其具有约束力。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14:paraId="00E6477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为使投标人准备投标时有充分时间对招标文件的补充或修改内容进行考虑和研究或由于其他原因，招标人可决定是否延长投标文件递交截止时间和开标时间，并将此变更通知上述每一投标人。</w:t>
      </w:r>
    </w:p>
    <w:p w14:paraId="5DD898B6">
      <w:pPr>
        <w:spacing w:after="0" w:line="480" w:lineRule="exact"/>
        <w:outlineLvl w:val="1"/>
        <w:rPr>
          <w:rFonts w:ascii="宋体" w:hAnsi="宋体" w:eastAsia="宋体" w:cs="宋体"/>
          <w:b/>
          <w:bCs/>
          <w:sz w:val="24"/>
          <w:szCs w:val="24"/>
        </w:rPr>
      </w:pPr>
      <w:bookmarkStart w:id="23" w:name="_Toc11324"/>
      <w:bookmarkStart w:id="24" w:name="_Toc10065"/>
      <w:bookmarkStart w:id="25" w:name="_Toc10431"/>
      <w:bookmarkStart w:id="26" w:name="_Toc1264"/>
      <w:bookmarkStart w:id="27" w:name="_Toc9292"/>
      <w:r>
        <w:rPr>
          <w:rFonts w:hint="eastAsia" w:ascii="宋体" w:hAnsi="宋体" w:eastAsia="宋体" w:cs="宋体"/>
          <w:b/>
          <w:bCs/>
          <w:sz w:val="24"/>
          <w:szCs w:val="24"/>
        </w:rPr>
        <w:t>3.3 投标</w:t>
      </w:r>
      <w:bookmarkEnd w:id="23"/>
      <w:bookmarkEnd w:id="24"/>
      <w:bookmarkEnd w:id="25"/>
      <w:bookmarkEnd w:id="26"/>
      <w:bookmarkEnd w:id="27"/>
    </w:p>
    <w:p w14:paraId="7799AD8F">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3.3.1投标综合要求及说明</w:t>
      </w:r>
    </w:p>
    <w:p w14:paraId="060A025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1）投标人投标应按照招标人标书要求有分包的按分包投标，且每包只能报一个方案进行投标，否则按无效投标处理；</w:t>
      </w:r>
    </w:p>
    <w:p w14:paraId="5ED5A04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2）投标人对投标产品技术性能的描述因欠缺或漏报而影响对投标人投标文件的评比，不利后果由投标人承担；</w:t>
      </w:r>
    </w:p>
    <w:p w14:paraId="4ADC2AB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3）投标人在投标文件中所列出的所有货物、材料、人工、机械等均视为包含在投标项目以及报价中；</w:t>
      </w:r>
    </w:p>
    <w:p w14:paraId="097BB8F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投标人在本次项目中所提供的建设项目，对于招标文件中的技术参数要求必须满足，必须符合国家相关规定的要求，对国标、省标和行业标准以及企业标准的满足在个案中标书内给予确认，否则视为无效投标；</w:t>
      </w:r>
    </w:p>
    <w:p w14:paraId="6FBD45A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招标人发现具有《中华人民共和国政府采购法》第七十七条中第一至五项情形之一的，有权宣布投标程序和结果无效，在涉标的公证性与违法问题的调查或检查中，中标供应商如拒绝有关部门的监督检查，视其情节，招标人也有权宣布中标结果视同无效。招标人同时报备同级财政部门确认，并对投、中标人的损失不承担任何责任；</w:t>
      </w:r>
    </w:p>
    <w:p w14:paraId="1EDD2AF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6）招标人可视投标品目价格情况适当增加或减少采购数量，并保留拆包或取消采购某些品目的权力；</w:t>
      </w:r>
    </w:p>
    <w:p w14:paraId="2243DFD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7）投标人应自行承担所有与准备和参加投标有关的费用。不论投标的结果如何，招标人和需方均无义务和责任承担这些费用。</w:t>
      </w:r>
    </w:p>
    <w:p w14:paraId="7374509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8）本项目不接受联合体投标。</w:t>
      </w:r>
    </w:p>
    <w:p w14:paraId="646121BD">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3.3.2投标文件的制作</w:t>
      </w:r>
    </w:p>
    <w:p w14:paraId="79D24E24">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投标人须按招标文件的要求制作投标文件。制作投标文件须编制目录、页码。</w:t>
      </w:r>
    </w:p>
    <w:p w14:paraId="7F546B3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1）投标文件封面格式</w:t>
      </w:r>
    </w:p>
    <w:p w14:paraId="467AB76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2）投标函</w:t>
      </w:r>
    </w:p>
    <w:p w14:paraId="4C3BF9C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3）法定代表人身份证明</w:t>
      </w:r>
    </w:p>
    <w:p w14:paraId="5C5612F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4）法人授权委托函</w:t>
      </w:r>
    </w:p>
    <w:p w14:paraId="7AC1CB24">
      <w:pPr>
        <w:tabs>
          <w:tab w:val="left" w:pos="945"/>
        </w:tabs>
        <w:adjustRightInd/>
        <w:snapToGrid/>
        <w:spacing w:after="0" w:line="480" w:lineRule="exact"/>
        <w:ind w:firstLine="480" w:firstLineChars="200"/>
        <w:jc w:val="both"/>
        <w:textAlignment w:val="baseline"/>
        <w:rPr>
          <w:rFonts w:ascii="宋体" w:hAnsi="宋体" w:eastAsia="宋体" w:cs="宋体"/>
          <w:b/>
          <w:kern w:val="2"/>
          <w:sz w:val="24"/>
          <w:szCs w:val="24"/>
        </w:rPr>
      </w:pPr>
      <w:r>
        <w:rPr>
          <w:rFonts w:hint="eastAsia" w:ascii="宋体" w:hAnsi="宋体" w:eastAsia="宋体" w:cs="宋体"/>
          <w:kern w:val="2"/>
          <w:sz w:val="24"/>
          <w:szCs w:val="24"/>
        </w:rPr>
        <w:t>5）投标报价表</w:t>
      </w:r>
    </w:p>
    <w:p w14:paraId="1428DD09">
      <w:pPr>
        <w:tabs>
          <w:tab w:val="left" w:pos="945"/>
        </w:tabs>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6）投标材料真实性保证承诺书</w:t>
      </w:r>
    </w:p>
    <w:p w14:paraId="798BF7C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7）投标人资质证明文件及认为有必要的其他相关证明材料</w:t>
      </w:r>
    </w:p>
    <w:p w14:paraId="21D70898">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8）商务偏离表</w:t>
      </w:r>
    </w:p>
    <w:p w14:paraId="3863F3A4">
      <w:pPr>
        <w:adjustRightInd/>
        <w:snapToGrid/>
        <w:spacing w:after="0" w:line="480" w:lineRule="exact"/>
        <w:ind w:firstLine="480" w:firstLineChars="200"/>
        <w:jc w:val="both"/>
        <w:textAlignment w:val="baseline"/>
        <w:rPr>
          <w:rFonts w:ascii="宋体" w:hAnsi="宋体" w:eastAsia="宋体" w:cs="宋体"/>
          <w:kern w:val="2"/>
          <w:sz w:val="24"/>
          <w:szCs w:val="24"/>
        </w:rPr>
      </w:pPr>
      <w:bookmarkStart w:id="28" w:name="_Toc20633"/>
      <w:bookmarkStart w:id="29" w:name="_Toc6809"/>
      <w:bookmarkStart w:id="30" w:name="_Toc18320"/>
      <w:r>
        <w:rPr>
          <w:rFonts w:hint="eastAsia" w:ascii="宋体" w:hAnsi="宋体" w:eastAsia="宋体" w:cs="宋体"/>
          <w:kern w:val="2"/>
          <w:sz w:val="24"/>
          <w:szCs w:val="24"/>
        </w:rPr>
        <w:t>9）技术偏离表</w:t>
      </w:r>
      <w:bookmarkEnd w:id="28"/>
      <w:bookmarkEnd w:id="29"/>
      <w:bookmarkEnd w:id="30"/>
    </w:p>
    <w:p w14:paraId="5585B32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10)优惠条件承诺书</w:t>
      </w:r>
    </w:p>
    <w:p w14:paraId="66BD382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11）售后服务承诺</w:t>
      </w:r>
    </w:p>
    <w:p w14:paraId="74E3966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12）无重大违法记录声明</w:t>
      </w:r>
    </w:p>
    <w:p w14:paraId="781A8954">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13）中小企业声明函</w:t>
      </w:r>
    </w:p>
    <w:p w14:paraId="7DEE1D2D">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14）同意招标文件条款声明</w:t>
      </w:r>
    </w:p>
    <w:p w14:paraId="4FA5AF2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15）虚假应标承担责任声明</w:t>
      </w:r>
    </w:p>
    <w:p w14:paraId="4DBA38C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16）代理服务费确认书</w:t>
      </w:r>
    </w:p>
    <w:p w14:paraId="57A9DE7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17）残疾人福利性单位声明函</w:t>
      </w:r>
    </w:p>
    <w:p w14:paraId="00820CFA">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3.3.3有下列情形之一的，视为投标人串通投标，其投标无效：</w:t>
      </w:r>
    </w:p>
    <w:p w14:paraId="6F173B4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1）不同投标人的投标文件由同一单位或者个人编制；</w:t>
      </w:r>
    </w:p>
    <w:p w14:paraId="2AE129D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2）不同投标人委托同一单位或者个人办理投标事宜；</w:t>
      </w:r>
    </w:p>
    <w:p w14:paraId="54D9114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3）不同投标人的投标文件载明的项目管理成员或者联系人为同一人；</w:t>
      </w:r>
    </w:p>
    <w:p w14:paraId="5B152C8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4）不同投标人的投标文件异常一致或者投标报价呈规律性差异；</w:t>
      </w:r>
    </w:p>
    <w:p w14:paraId="6EFA7F3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5）不同投标人的投标文件相互混装。</w:t>
      </w:r>
    </w:p>
    <w:p w14:paraId="7F6D1361">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3.3.4投标报价</w:t>
      </w:r>
    </w:p>
    <w:p w14:paraId="50963EEB">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投标人应根据招标文件要求和范围报价，此次投标报价（须标明各品目报价及合计报价，否则视为无效投标）。投标价格应包括完成招标文件规定的招标范围全部内容所需的全部费用，并通过合格验收的全部价格，包括设备采购费用、运输费用和检测费用等。</w:t>
      </w:r>
      <w:r>
        <w:rPr>
          <w:rFonts w:hint="eastAsia" w:ascii="宋体" w:hAnsi="宋体" w:eastAsia="宋体" w:cs="宋体"/>
          <w:sz w:val="24"/>
          <w:szCs w:val="24"/>
        </w:rPr>
        <w:t>除非招标文件另有规定，</w:t>
      </w:r>
      <w:r>
        <w:rPr>
          <w:rFonts w:hint="eastAsia" w:ascii="宋体" w:hAnsi="宋体" w:eastAsia="宋体" w:cs="宋体"/>
          <w:kern w:val="2"/>
          <w:sz w:val="24"/>
          <w:szCs w:val="24"/>
        </w:rPr>
        <w:t>投标</w:t>
      </w:r>
      <w:r>
        <w:rPr>
          <w:rFonts w:hint="eastAsia" w:ascii="宋体" w:hAnsi="宋体" w:eastAsia="宋体" w:cs="宋体"/>
          <w:sz w:val="24"/>
          <w:szCs w:val="24"/>
        </w:rPr>
        <w:t>报价应包括所需货物、检测、保险、利润、税金、劳保统筹、政策性文件规定及合同包含的所有风险、优惠率、责任等各项应有费用。</w:t>
      </w:r>
    </w:p>
    <w:p w14:paraId="084C3D4C">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投标价格采用唯一价格，即不得为某一范围价格。投标货币为</w:t>
      </w:r>
      <w:r>
        <w:rPr>
          <w:rFonts w:hint="eastAsia" w:ascii="宋体" w:hAnsi="宋体" w:eastAsia="宋体" w:cs="宋体"/>
          <w:b/>
          <w:kern w:val="2"/>
          <w:sz w:val="24"/>
          <w:szCs w:val="24"/>
        </w:rPr>
        <w:t>人民币</w:t>
      </w:r>
      <w:r>
        <w:rPr>
          <w:rFonts w:hint="eastAsia" w:ascii="宋体" w:hAnsi="宋体" w:eastAsia="宋体" w:cs="宋体"/>
          <w:kern w:val="2"/>
          <w:sz w:val="24"/>
          <w:szCs w:val="24"/>
        </w:rPr>
        <w:t>。</w:t>
      </w:r>
    </w:p>
    <w:p w14:paraId="5A7BD14F">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3.3.5投标有效期</w:t>
      </w:r>
    </w:p>
    <w:p w14:paraId="3EAB7EE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投标文件在正式递交之日起60日内有效。</w:t>
      </w:r>
    </w:p>
    <w:p w14:paraId="3482E50B">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3.3.6投标保证金</w:t>
      </w:r>
    </w:p>
    <w:p w14:paraId="1F8B6300">
      <w:pPr>
        <w:spacing w:after="0" w:line="480" w:lineRule="exact"/>
        <w:ind w:firstLine="480" w:firstLineChars="200"/>
        <w:rPr>
          <w:rFonts w:ascii="宋体" w:hAnsi="宋体" w:eastAsia="宋体" w:cs="宋体"/>
          <w:sz w:val="24"/>
          <w:szCs w:val="24"/>
        </w:rPr>
      </w:pPr>
      <w:r>
        <w:rPr>
          <w:rFonts w:hint="eastAsia" w:ascii="宋体" w:hAnsi="宋体" w:eastAsia="宋体" w:cs="宋体"/>
          <w:sz w:val="24"/>
          <w:szCs w:val="24"/>
        </w:rPr>
        <w:t>本项目不设立保证金</w:t>
      </w:r>
    </w:p>
    <w:p w14:paraId="4D5C39B1">
      <w:pPr>
        <w:spacing w:after="0"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3.3.7投标文件的签署</w:t>
      </w:r>
    </w:p>
    <w:p w14:paraId="6DD9760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本项目采用网上开评标，各投标人必须按照招标文件要求对投标文件进行电子签章签字，后续招标文件有要求签章签字的均为电子章。</w:t>
      </w:r>
    </w:p>
    <w:p w14:paraId="6F9BE8E9">
      <w:pPr>
        <w:spacing w:after="0" w:line="480" w:lineRule="exact"/>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3.3.8投标文件格式</w:t>
      </w:r>
    </w:p>
    <w:p w14:paraId="1D65537E">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招标文件提供的规定格式见附件1—附件18。</w:t>
      </w:r>
    </w:p>
    <w:p w14:paraId="61473D5E">
      <w:pPr>
        <w:spacing w:after="0" w:line="480" w:lineRule="exact"/>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3.3.9投标文件的上传</w:t>
      </w:r>
    </w:p>
    <w:p w14:paraId="0F453044">
      <w:pPr>
        <w:adjustRightInd/>
        <w:snapToGrid/>
        <w:spacing w:after="0" w:line="480" w:lineRule="exact"/>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本项目采用网上电子投标方式，不接受投标人递交的纸质投标文件，（详见投标人须知前附表2.14）。对迟于投标截止时间提交的电子投标文件将不予接受。</w:t>
      </w:r>
    </w:p>
    <w:p w14:paraId="0739CF4B">
      <w:pPr>
        <w:spacing w:after="0" w:line="480" w:lineRule="exact"/>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3.3.10投标文件递交</w:t>
      </w:r>
    </w:p>
    <w:p w14:paraId="717B3F7D">
      <w:pPr>
        <w:adjustRightInd/>
        <w:snapToGrid/>
        <w:spacing w:after="0" w:line="480" w:lineRule="exact"/>
        <w:ind w:firstLine="480" w:firstLineChars="200"/>
        <w:jc w:val="both"/>
        <w:textAlignment w:val="baseline"/>
        <w:rPr>
          <w:rFonts w:ascii="宋体" w:hAnsi="宋体" w:eastAsia="宋体" w:cs="宋体"/>
          <w:kern w:val="2"/>
          <w:sz w:val="24"/>
          <w:szCs w:val="24"/>
          <w:lang w:bidi="zh-CN"/>
        </w:rPr>
      </w:pPr>
      <w:r>
        <w:rPr>
          <w:rFonts w:hint="eastAsia" w:ascii="宋体" w:hAnsi="宋体" w:eastAsia="宋体" w:cs="宋体"/>
          <w:kern w:val="2"/>
          <w:sz w:val="24"/>
          <w:szCs w:val="24"/>
          <w:lang w:bidi="zh-CN"/>
        </w:rPr>
        <w:t>中标人在开标之后按投标须知前附表中投标文件份数及要求将</w:t>
      </w:r>
      <w:r>
        <w:rPr>
          <w:rFonts w:hint="eastAsia" w:ascii="宋体" w:hAnsi="宋体" w:eastAsia="宋体" w:cs="宋体"/>
          <w:b/>
          <w:kern w:val="2"/>
          <w:sz w:val="24"/>
          <w:szCs w:val="24"/>
          <w:lang w:bidi="zh-CN"/>
        </w:rPr>
        <w:t>与上传投标文件一致的投标文件纸质版和电子版</w:t>
      </w:r>
      <w:r>
        <w:rPr>
          <w:rFonts w:hint="eastAsia" w:ascii="宋体" w:hAnsi="宋体" w:eastAsia="宋体" w:cs="宋体"/>
          <w:kern w:val="2"/>
          <w:sz w:val="24"/>
          <w:szCs w:val="24"/>
          <w:lang w:bidi="zh-CN"/>
        </w:rPr>
        <w:t>邮寄至甘肃鑫畅达工程咨询有限公司存档。</w:t>
      </w:r>
    </w:p>
    <w:p w14:paraId="0BC4C406">
      <w:pPr>
        <w:spacing w:after="0" w:line="480" w:lineRule="exact"/>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3.3.11投标截止时间</w:t>
      </w:r>
    </w:p>
    <w:p w14:paraId="674F27F7">
      <w:pPr>
        <w:adjustRightInd/>
        <w:snapToGrid/>
        <w:spacing w:after="0" w:line="480" w:lineRule="exact"/>
        <w:ind w:firstLine="480" w:firstLineChars="200"/>
        <w:jc w:val="both"/>
        <w:textAlignment w:val="baseline"/>
        <w:rPr>
          <w:rFonts w:ascii="宋体" w:hAnsi="宋体" w:eastAsia="宋体" w:cs="宋体"/>
          <w:b/>
          <w:color w:val="FF0000"/>
          <w:kern w:val="2"/>
          <w:sz w:val="24"/>
          <w:szCs w:val="24"/>
        </w:rPr>
      </w:pPr>
      <w:r>
        <w:rPr>
          <w:rFonts w:hint="eastAsia" w:ascii="宋体" w:hAnsi="宋体" w:eastAsia="宋体" w:cs="宋体"/>
          <w:color w:val="FF0000"/>
          <w:kern w:val="2"/>
          <w:sz w:val="24"/>
          <w:szCs w:val="24"/>
        </w:rPr>
        <w:t>投标截止时间为：</w:t>
      </w:r>
      <w:r>
        <w:rPr>
          <w:rFonts w:hint="eastAsia" w:ascii="宋体" w:hAnsi="宋体" w:eastAsia="宋体" w:cs="宋体"/>
          <w:color w:val="FF0000"/>
          <w:kern w:val="2"/>
          <w:sz w:val="24"/>
          <w:szCs w:val="24"/>
          <w:lang w:bidi="zh-CN"/>
        </w:rPr>
        <w:t>2024年</w:t>
      </w:r>
      <w:r>
        <w:rPr>
          <w:rFonts w:ascii="宋体" w:hAnsi="宋体" w:eastAsia="宋体" w:cs="宋体"/>
          <w:color w:val="FF0000"/>
          <w:kern w:val="2"/>
          <w:sz w:val="24"/>
          <w:szCs w:val="24"/>
          <w:lang w:bidi="zh-CN"/>
        </w:rPr>
        <w:t>10</w:t>
      </w:r>
      <w:r>
        <w:rPr>
          <w:rFonts w:hint="eastAsia" w:ascii="宋体" w:hAnsi="宋体" w:eastAsia="宋体" w:cs="宋体"/>
          <w:color w:val="FF0000"/>
          <w:kern w:val="2"/>
          <w:sz w:val="24"/>
          <w:szCs w:val="24"/>
          <w:lang w:bidi="zh-CN"/>
        </w:rPr>
        <w:t>月</w:t>
      </w:r>
      <w:r>
        <w:rPr>
          <w:rFonts w:ascii="宋体" w:hAnsi="宋体" w:eastAsia="宋体" w:cs="宋体"/>
          <w:color w:val="FF0000"/>
          <w:kern w:val="2"/>
          <w:sz w:val="24"/>
          <w:szCs w:val="24"/>
          <w:lang w:bidi="zh-CN"/>
        </w:rPr>
        <w:t>24</w:t>
      </w:r>
      <w:r>
        <w:rPr>
          <w:rFonts w:hint="eastAsia" w:ascii="宋体" w:hAnsi="宋体" w:eastAsia="宋体" w:cs="宋体"/>
          <w:color w:val="FF0000"/>
          <w:kern w:val="2"/>
          <w:sz w:val="24"/>
          <w:szCs w:val="24"/>
          <w:lang w:bidi="zh-CN"/>
        </w:rPr>
        <w:t>日上午</w:t>
      </w:r>
      <w:r>
        <w:rPr>
          <w:rFonts w:ascii="宋体" w:hAnsi="宋体" w:eastAsia="宋体" w:cs="宋体"/>
          <w:color w:val="FF0000"/>
          <w:kern w:val="2"/>
          <w:sz w:val="24"/>
          <w:szCs w:val="24"/>
          <w:lang w:bidi="zh-CN"/>
        </w:rPr>
        <w:t>10</w:t>
      </w:r>
      <w:r>
        <w:rPr>
          <w:rFonts w:hint="eastAsia" w:ascii="宋体" w:hAnsi="宋体" w:eastAsia="宋体" w:cs="宋体"/>
          <w:color w:val="FF0000"/>
          <w:kern w:val="2"/>
          <w:sz w:val="24"/>
          <w:szCs w:val="24"/>
          <w:lang w:bidi="zh-CN"/>
        </w:rPr>
        <w:t>时00分（北京时间）。</w:t>
      </w:r>
    </w:p>
    <w:p w14:paraId="3B36E3DE">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招标人可以补充通知的方式，酌情延长投标截止时间。在上述情况下，招标人与投标人以前在投标截止期方面的全部权力、责任和义务，将适用于延长后新的投标截止时间。</w:t>
      </w:r>
    </w:p>
    <w:p w14:paraId="216D212D">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3.3.12投标文件的修改与撤回</w:t>
      </w:r>
    </w:p>
    <w:p w14:paraId="1C7BBF7E">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在开标时间到达之前，投标人可以多次在线提交或修改电子投标文件，以最后一次上传的为准；在开标时间到达之前，可在线撤回投标。</w:t>
      </w:r>
    </w:p>
    <w:p w14:paraId="63496C6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在投标截止时间之后，投标人不得对其提交的电子投标文件做任何修改或撤回投标。 </w:t>
      </w:r>
    </w:p>
    <w:p w14:paraId="0CD77ED8">
      <w:pPr>
        <w:adjustRightInd/>
        <w:snapToGrid/>
        <w:spacing w:after="0" w:line="480" w:lineRule="exact"/>
        <w:jc w:val="both"/>
        <w:textAlignment w:val="baseline"/>
        <w:outlineLvl w:val="1"/>
        <w:rPr>
          <w:rFonts w:ascii="宋体" w:hAnsi="宋体" w:eastAsia="宋体" w:cs="宋体"/>
          <w:b/>
          <w:kern w:val="2"/>
          <w:sz w:val="24"/>
          <w:szCs w:val="24"/>
        </w:rPr>
      </w:pPr>
      <w:bookmarkStart w:id="31" w:name="_Toc10980"/>
      <w:bookmarkStart w:id="32" w:name="_Toc1659"/>
      <w:bookmarkStart w:id="33" w:name="_Toc2286"/>
      <w:bookmarkStart w:id="34" w:name="_Toc18151"/>
      <w:bookmarkStart w:id="35" w:name="_Toc29539"/>
      <w:r>
        <w:rPr>
          <w:rFonts w:hint="eastAsia" w:ascii="宋体" w:hAnsi="宋体" w:eastAsia="宋体" w:cs="宋体"/>
          <w:b/>
          <w:kern w:val="2"/>
          <w:sz w:val="24"/>
          <w:szCs w:val="24"/>
        </w:rPr>
        <w:t>3.4 开标</w:t>
      </w:r>
      <w:bookmarkEnd w:id="31"/>
      <w:bookmarkEnd w:id="32"/>
      <w:bookmarkEnd w:id="33"/>
      <w:bookmarkEnd w:id="34"/>
      <w:bookmarkEnd w:id="35"/>
    </w:p>
    <w:p w14:paraId="686ECA39">
      <w:pPr>
        <w:adjustRightInd/>
        <w:snapToGrid/>
        <w:spacing w:after="0" w:line="480" w:lineRule="exact"/>
        <w:ind w:firstLine="482" w:firstLineChars="200"/>
        <w:jc w:val="both"/>
        <w:textAlignment w:val="baseline"/>
        <w:rPr>
          <w:rFonts w:ascii="宋体" w:hAnsi="宋体" w:eastAsia="宋体" w:cs="宋体"/>
          <w:kern w:val="2"/>
          <w:sz w:val="24"/>
          <w:szCs w:val="24"/>
        </w:rPr>
      </w:pPr>
      <w:r>
        <w:rPr>
          <w:rFonts w:hint="eastAsia" w:ascii="宋体" w:hAnsi="宋体" w:eastAsia="宋体" w:cs="宋体"/>
          <w:b/>
          <w:kern w:val="2"/>
          <w:sz w:val="24"/>
          <w:szCs w:val="24"/>
          <w:lang w:bidi="zh-CN"/>
        </w:rPr>
        <w:t>开标地点：</w:t>
      </w:r>
      <w:r>
        <w:rPr>
          <w:rFonts w:hint="eastAsia" w:ascii="宋体" w:hAnsi="宋体" w:eastAsia="宋体" w:cs="宋体"/>
          <w:kern w:val="2"/>
          <w:sz w:val="24"/>
          <w:szCs w:val="24"/>
        </w:rPr>
        <w:t>陇南市公共资源交易中心网络开标直播一厅第1坐席（陇南市行政中心5号楼环保大厦）</w:t>
      </w:r>
    </w:p>
    <w:p w14:paraId="43150F2D">
      <w:pPr>
        <w:adjustRightInd/>
        <w:snapToGrid/>
        <w:spacing w:after="0" w:line="480" w:lineRule="exact"/>
        <w:ind w:firstLine="480" w:firstLineChars="200"/>
        <w:jc w:val="both"/>
        <w:textAlignment w:val="baseline"/>
        <w:rPr>
          <w:rFonts w:ascii="宋体" w:hAnsi="宋体" w:eastAsia="宋体" w:cs="宋体"/>
          <w:kern w:val="2"/>
          <w:sz w:val="24"/>
          <w:szCs w:val="24"/>
          <w:lang w:bidi="zh-CN"/>
        </w:rPr>
      </w:pPr>
      <w:r>
        <w:rPr>
          <w:rFonts w:hint="eastAsia" w:ascii="宋体" w:hAnsi="宋体" w:eastAsia="宋体" w:cs="宋体"/>
          <w:kern w:val="2"/>
          <w:sz w:val="24"/>
          <w:szCs w:val="24"/>
          <w:lang w:bidi="zh-CN"/>
        </w:rPr>
        <w:t>公开开标后，直到向中标的供应商授予合同时止，凡与审查、澄清、评价和比较投标的有关资料以及授标意见等均不得向供应商及与投标无关的其他人透露。</w:t>
      </w:r>
    </w:p>
    <w:p w14:paraId="06DDAEAC">
      <w:pPr>
        <w:adjustRightInd/>
        <w:snapToGrid/>
        <w:spacing w:after="0" w:line="480" w:lineRule="exact"/>
        <w:jc w:val="both"/>
        <w:textAlignment w:val="baseline"/>
        <w:outlineLvl w:val="1"/>
        <w:rPr>
          <w:rFonts w:ascii="宋体" w:hAnsi="宋体" w:eastAsia="宋体" w:cs="宋体"/>
          <w:b/>
          <w:kern w:val="2"/>
          <w:sz w:val="24"/>
          <w:szCs w:val="24"/>
        </w:rPr>
      </w:pPr>
      <w:bookmarkStart w:id="36" w:name="_Toc13894"/>
      <w:bookmarkStart w:id="37" w:name="_Toc32217"/>
      <w:bookmarkStart w:id="38" w:name="_Toc26747"/>
      <w:bookmarkStart w:id="39" w:name="_Toc32138"/>
      <w:bookmarkStart w:id="40" w:name="_Toc23075"/>
      <w:r>
        <w:rPr>
          <w:rFonts w:hint="eastAsia" w:ascii="宋体" w:hAnsi="宋体" w:eastAsia="宋体" w:cs="宋体"/>
          <w:b/>
          <w:kern w:val="2"/>
          <w:sz w:val="24"/>
          <w:szCs w:val="24"/>
        </w:rPr>
        <w:t>3.5 评标</w:t>
      </w:r>
      <w:bookmarkEnd w:id="36"/>
      <w:bookmarkEnd w:id="37"/>
      <w:bookmarkEnd w:id="38"/>
      <w:bookmarkEnd w:id="39"/>
      <w:bookmarkEnd w:id="40"/>
    </w:p>
    <w:p w14:paraId="63FFF797">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3.5.1评标流程</w:t>
      </w:r>
    </w:p>
    <w:p w14:paraId="3F5CDD5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评标工作由招标人依法组建的评标委员会负责。</w:t>
      </w:r>
    </w:p>
    <w:p w14:paraId="494A899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评标流程详见第五章评标原则及办法5.3。</w:t>
      </w:r>
    </w:p>
    <w:p w14:paraId="302C124B">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3.5.2注意事项</w:t>
      </w:r>
    </w:p>
    <w:p w14:paraId="418400D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在评标期间，评标过程严格保密。评标委员会可要求投标人对其投标文件中非实质性的有关问题进行澄清、说明或者补正。有关澄清、说明或者补正的要求和答复应以书面形式提交。投标人的澄清、说明或者补正不得超出投标文件的范围或者改变投标文件实质性内容。</w:t>
      </w:r>
    </w:p>
    <w:p w14:paraId="7762BB9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如果投标文件没有实质性响应招标文件的要求，评标委员会将予以拒绝。</w:t>
      </w:r>
    </w:p>
    <w:p w14:paraId="2A628FE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评标委员会只对确定为实质性响应招标文件要求的投标文件，根据招标文件的要求采用相同的评标程序、评分办法及标准进行评价和比较。</w:t>
      </w:r>
    </w:p>
    <w:p w14:paraId="21638A5D">
      <w:pPr>
        <w:adjustRightInd/>
        <w:snapToGrid/>
        <w:spacing w:after="0" w:line="480" w:lineRule="exact"/>
        <w:jc w:val="both"/>
        <w:textAlignment w:val="baseline"/>
        <w:outlineLvl w:val="1"/>
        <w:rPr>
          <w:rFonts w:ascii="宋体" w:hAnsi="宋体" w:eastAsia="宋体" w:cs="宋体"/>
          <w:b/>
          <w:kern w:val="2"/>
          <w:sz w:val="24"/>
          <w:szCs w:val="24"/>
        </w:rPr>
      </w:pPr>
      <w:bookmarkStart w:id="41" w:name="_Toc23613"/>
      <w:bookmarkStart w:id="42" w:name="_Toc15051"/>
      <w:bookmarkStart w:id="43" w:name="_Toc19396"/>
      <w:bookmarkStart w:id="44" w:name="_Toc30142"/>
      <w:bookmarkStart w:id="45" w:name="_Toc20335"/>
      <w:r>
        <w:rPr>
          <w:rFonts w:hint="eastAsia" w:ascii="宋体" w:hAnsi="宋体" w:eastAsia="宋体" w:cs="宋体"/>
          <w:b/>
          <w:kern w:val="2"/>
          <w:sz w:val="24"/>
          <w:szCs w:val="24"/>
        </w:rPr>
        <w:t>3.6 定标</w:t>
      </w:r>
      <w:bookmarkEnd w:id="41"/>
      <w:bookmarkEnd w:id="42"/>
      <w:bookmarkEnd w:id="43"/>
      <w:bookmarkEnd w:id="44"/>
      <w:bookmarkEnd w:id="45"/>
    </w:p>
    <w:p w14:paraId="4A3A2044">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3.6.1定标原则</w:t>
      </w:r>
    </w:p>
    <w:p w14:paraId="48A59D5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采购人根据评标委员会推荐的中标候选人名单，按顺序确定中标人。</w:t>
      </w:r>
    </w:p>
    <w:p w14:paraId="30BB2351">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3.6.2定标程序</w:t>
      </w:r>
    </w:p>
    <w:p w14:paraId="06D16CC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采购人或者采购代理机构应当自中标人确定之日起2个工作日内，给参加此次招标的所有供应商发布中标结果。</w:t>
      </w:r>
    </w:p>
    <w:p w14:paraId="171FF33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结果公告内容应当包括采购人及其委托的采购代理机构的名称、地址、联系方式，项目名称和招标文件编号，中标人名称、地址和中标金额，主要中标标的名称、规格型号、品牌、数量、单价，中标公告期限以及评审专家名单。</w:t>
      </w:r>
    </w:p>
    <w:p w14:paraId="28D1924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中标公告期限为1个工作日。</w:t>
      </w:r>
    </w:p>
    <w:p w14:paraId="64CE31B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邀请招标采购人采用书面推荐方式产生符合资格条件的潜在投标人的，还应当将所有被推荐供应商名单和推荐理由随中标结果同时公告。</w:t>
      </w:r>
    </w:p>
    <w:p w14:paraId="1B3251BC">
      <w:pPr>
        <w:adjustRightInd/>
        <w:snapToGrid/>
        <w:spacing w:after="0" w:line="480" w:lineRule="exact"/>
        <w:jc w:val="both"/>
        <w:textAlignment w:val="baseline"/>
        <w:outlineLvl w:val="1"/>
        <w:rPr>
          <w:rFonts w:ascii="宋体" w:hAnsi="宋体" w:eastAsia="宋体" w:cs="宋体"/>
          <w:b/>
          <w:kern w:val="2"/>
          <w:sz w:val="24"/>
          <w:szCs w:val="24"/>
        </w:rPr>
      </w:pPr>
      <w:bookmarkStart w:id="46" w:name="_Toc14278"/>
      <w:bookmarkStart w:id="47" w:name="_Toc17774"/>
      <w:bookmarkStart w:id="48" w:name="_Toc27837"/>
      <w:bookmarkStart w:id="49" w:name="_Toc5023"/>
      <w:bookmarkStart w:id="50" w:name="_Toc19134"/>
      <w:r>
        <w:rPr>
          <w:rFonts w:hint="eastAsia" w:ascii="宋体" w:hAnsi="宋体" w:eastAsia="宋体" w:cs="宋体"/>
          <w:b/>
          <w:kern w:val="2"/>
          <w:sz w:val="24"/>
          <w:szCs w:val="24"/>
        </w:rPr>
        <w:t>3.7 中标通知书</w:t>
      </w:r>
      <w:bookmarkEnd w:id="46"/>
      <w:bookmarkEnd w:id="47"/>
      <w:bookmarkEnd w:id="48"/>
      <w:bookmarkEnd w:id="49"/>
      <w:bookmarkEnd w:id="50"/>
    </w:p>
    <w:p w14:paraId="6A27E19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在发布中标结果的同时，采购人或者采购代理机构应当向中标人发出中标通知书；对未通过资格审查的投标人，应当告知其未通过的原因；采用综合评分法评审的，还应当告知未中标人本人的评审得分与排序。</w:t>
      </w:r>
    </w:p>
    <w:p w14:paraId="3EE1D6D1">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中标通知书对采购人和中标人均具有法律效力。中标通知书发出后，采购人改变中标结果，或者中标人无正当理由放弃中标的，应当承担相应的法律责任。</w:t>
      </w:r>
    </w:p>
    <w:p w14:paraId="07F4D19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人的投标文件本应作为无效投标处理或者有政府采购法律法规规章制度规定的中标无效情形的，采购人应当宣布发出的中标通知书无效，并收回发出的中标通知书（中标人也应当交回），依法重新确定中标人或者重新开展采购活动。</w:t>
      </w:r>
    </w:p>
    <w:p w14:paraId="64C800C1">
      <w:pPr>
        <w:adjustRightInd/>
        <w:snapToGrid/>
        <w:spacing w:after="0" w:line="480" w:lineRule="exact"/>
        <w:jc w:val="both"/>
        <w:textAlignment w:val="baseline"/>
        <w:outlineLvl w:val="1"/>
        <w:rPr>
          <w:rFonts w:ascii="宋体" w:hAnsi="宋体" w:eastAsia="宋体" w:cs="宋体"/>
          <w:b/>
          <w:kern w:val="2"/>
          <w:sz w:val="24"/>
          <w:szCs w:val="24"/>
        </w:rPr>
      </w:pPr>
      <w:bookmarkStart w:id="51" w:name="_Toc7448"/>
      <w:bookmarkStart w:id="52" w:name="_Toc4933"/>
      <w:bookmarkStart w:id="53" w:name="_Toc12529"/>
      <w:bookmarkStart w:id="54" w:name="_Toc12761"/>
      <w:bookmarkStart w:id="55" w:name="_Toc26324"/>
      <w:r>
        <w:rPr>
          <w:rFonts w:hint="eastAsia" w:ascii="宋体" w:hAnsi="宋体" w:eastAsia="宋体" w:cs="宋体"/>
          <w:b/>
          <w:kern w:val="2"/>
          <w:sz w:val="24"/>
          <w:szCs w:val="24"/>
        </w:rPr>
        <w:t>3.8 签订政府采购合同</w:t>
      </w:r>
      <w:bookmarkEnd w:id="51"/>
      <w:bookmarkEnd w:id="52"/>
      <w:bookmarkEnd w:id="53"/>
      <w:bookmarkEnd w:id="54"/>
      <w:bookmarkEnd w:id="55"/>
    </w:p>
    <w:p w14:paraId="4D9FE8AE">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3.8.1合同授予原则</w:t>
      </w:r>
    </w:p>
    <w:p w14:paraId="2DD7DB89">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招标人将把合同授予经评标委员会评议推荐采购人确认的投标人。若因中标人违约或因不可抗力等原因不能被授予合同，则合同将授予排序在该投标人之后的下一个投标人。</w:t>
      </w:r>
    </w:p>
    <w:p w14:paraId="5A43CF4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招标人保留在签订合同时调整方案需求和变动所购货物数量的权力。</w:t>
      </w:r>
    </w:p>
    <w:p w14:paraId="3F770FE5">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3.8.2合同的签署、履约及验收</w:t>
      </w:r>
    </w:p>
    <w:p w14:paraId="6D4BF0AF">
      <w:pPr>
        <w:adjustRightInd/>
        <w:snapToGrid/>
        <w:spacing w:after="0" w:line="480" w:lineRule="exact"/>
        <w:ind w:firstLine="482" w:firstLineChars="200"/>
        <w:jc w:val="both"/>
        <w:textAlignment w:val="baseline"/>
        <w:rPr>
          <w:rFonts w:ascii="宋体" w:hAnsi="宋体" w:eastAsia="宋体" w:cs="宋体"/>
          <w:kern w:val="2"/>
          <w:sz w:val="24"/>
          <w:szCs w:val="24"/>
        </w:rPr>
      </w:pPr>
      <w:r>
        <w:rPr>
          <w:rFonts w:hint="eastAsia" w:ascii="宋体" w:hAnsi="宋体" w:eastAsia="宋体" w:cs="宋体"/>
          <w:b/>
          <w:kern w:val="2"/>
          <w:sz w:val="24"/>
          <w:szCs w:val="24"/>
        </w:rPr>
        <w:t>签署：</w:t>
      </w:r>
      <w:r>
        <w:rPr>
          <w:rFonts w:hint="eastAsia" w:ascii="宋体" w:hAnsi="宋体" w:eastAsia="宋体" w:cs="宋体"/>
          <w:kern w:val="2"/>
          <w:sz w:val="24"/>
          <w:szCs w:val="24"/>
        </w:rPr>
        <w:t>中标人于中标通知书中发出之日起10日内，按中标通知书指定的时间、地点与采购人签订政府采购合同。招标文件、中标人的投标文件均为签订合同的依据，需方与中标人是合同权利与义务的直接、全部责任承担人。招标人所发出的中标通知书对需方和中标供应商具有同等法律效力。</w:t>
      </w:r>
    </w:p>
    <w:p w14:paraId="12DF148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通知书发出后，需方拒绝签订供货合同或擅自改变中标内容，按照《中华人民共和国民法典》定金罚则及损害赔偿的原则处罚并办理。若中标人不能在规定时间内与需方签订合同，或拒签、变相签订合同，招标人依监督职能可采取取消其中标资格等措施，并可按照财政部令【2017】第87号第七十一条、第七十二条、第七十三条及《中华人民共和国政府采购法实施条例》第七十二条规定办理。此时可由招标人按照排名顺序与下一投标人签订合同或重新组织招标。</w:t>
      </w:r>
    </w:p>
    <w:p w14:paraId="694861B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如果中标人在规定的合同签订时间内，没有按照招标文件的规定交纳履约保证金，且又无正当理由的，将视为放弃中标。</w:t>
      </w:r>
    </w:p>
    <w:p w14:paraId="5F07053B">
      <w:pPr>
        <w:adjustRightInd/>
        <w:snapToGrid/>
        <w:spacing w:after="0" w:line="480" w:lineRule="exact"/>
        <w:ind w:firstLine="482" w:firstLineChars="200"/>
        <w:jc w:val="both"/>
        <w:textAlignment w:val="baseline"/>
        <w:rPr>
          <w:rFonts w:ascii="宋体" w:hAnsi="宋体" w:eastAsia="宋体" w:cs="宋体"/>
          <w:kern w:val="2"/>
          <w:sz w:val="24"/>
          <w:szCs w:val="24"/>
        </w:rPr>
      </w:pPr>
      <w:r>
        <w:rPr>
          <w:rFonts w:hint="eastAsia" w:ascii="宋体" w:hAnsi="宋体" w:eastAsia="宋体" w:cs="宋体"/>
          <w:b/>
          <w:kern w:val="2"/>
          <w:sz w:val="24"/>
          <w:szCs w:val="24"/>
        </w:rPr>
        <w:t>履约：</w:t>
      </w:r>
      <w:r>
        <w:rPr>
          <w:rFonts w:hint="eastAsia" w:ascii="宋体" w:hAnsi="宋体" w:eastAsia="宋体" w:cs="宋体"/>
          <w:kern w:val="2"/>
          <w:sz w:val="24"/>
          <w:szCs w:val="24"/>
        </w:rPr>
        <w:t>中标人与采购人签订合同后，合同双方应严格执行合同条款，履行合同规定的义务，保证合同的顺利完成。</w:t>
      </w:r>
    </w:p>
    <w:p w14:paraId="0A26E7C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在合同履行过程中，如发生合同纠纷，合同双方应按照《民法典》的有关规定进行处理。</w:t>
      </w:r>
    </w:p>
    <w:p w14:paraId="30C5EDE1">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验收：</w:t>
      </w:r>
    </w:p>
    <w:p w14:paraId="6552F78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（一）验收依据：招标文件、投标文件、服务合同及国家有关的标准规定，均为验收依据。</w:t>
      </w:r>
    </w:p>
    <w:p w14:paraId="032CF0D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（二）供应商必须按要求提供完整的验收资料并办理必要的相关手续。</w:t>
      </w:r>
    </w:p>
    <w:p w14:paraId="461F2FE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（三）乙方按照合同规定时限要求完成项目建设后，向甲方提出书面验收申请，由甲方组织人员进行现场核查验收。</w:t>
      </w:r>
    </w:p>
    <w:p w14:paraId="3FFAF8B9">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（四）如主要项目服务关键技术性能指标达不到招标文件中规定的指标要求，甲方除部分或全部扣除乙方质量保证金外，还将保留继续向乙方进一步索赔有关直接或间接经济损失的权力。</w:t>
      </w:r>
    </w:p>
    <w:p w14:paraId="19DCB78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（五）验收结束后，验收主要负责人应当在采购验收书上签署验收小组的验收意见。《政府采购项目验收单》一式四份，采购人、供应商、政府采购办、采购代理机构执一份。</w:t>
      </w:r>
    </w:p>
    <w:p w14:paraId="2FA8EC3D">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（六）供应商不符合以上要求，则采购人有权取消供应商的中标资格，供应商须退回采购人已付的支付款及承当相应的法律责任。</w:t>
      </w:r>
    </w:p>
    <w:p w14:paraId="0B4CFE00">
      <w:pPr>
        <w:adjustRightInd/>
        <w:snapToGrid/>
        <w:spacing w:after="0" w:line="480" w:lineRule="exact"/>
        <w:jc w:val="both"/>
        <w:textAlignment w:val="baseline"/>
        <w:outlineLvl w:val="1"/>
        <w:rPr>
          <w:rFonts w:ascii="宋体" w:hAnsi="宋体" w:eastAsia="宋体" w:cs="宋体"/>
          <w:b/>
          <w:kern w:val="2"/>
          <w:sz w:val="24"/>
          <w:szCs w:val="24"/>
        </w:rPr>
      </w:pPr>
      <w:bookmarkStart w:id="56" w:name="_Toc7545"/>
      <w:bookmarkStart w:id="57" w:name="_Toc21357"/>
      <w:bookmarkStart w:id="58" w:name="_Toc5455"/>
      <w:bookmarkStart w:id="59" w:name="_Toc20880"/>
      <w:bookmarkStart w:id="60" w:name="_Toc18017"/>
      <w:r>
        <w:rPr>
          <w:rFonts w:hint="eastAsia" w:ascii="宋体" w:hAnsi="宋体" w:eastAsia="宋体" w:cs="宋体"/>
          <w:b/>
          <w:kern w:val="2"/>
          <w:sz w:val="24"/>
          <w:szCs w:val="24"/>
        </w:rPr>
        <w:t>3.9 其他</w:t>
      </w:r>
      <w:bookmarkEnd w:id="56"/>
      <w:bookmarkEnd w:id="57"/>
      <w:bookmarkEnd w:id="58"/>
      <w:bookmarkEnd w:id="59"/>
      <w:bookmarkEnd w:id="60"/>
    </w:p>
    <w:p w14:paraId="3D797C7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中标后招标文件和投标文件未尽事宜另行商定。本招标文件由招标人负责解释。</w:t>
      </w:r>
    </w:p>
    <w:p w14:paraId="190D7363">
      <w:pPr>
        <w:adjustRightInd/>
        <w:snapToGrid/>
        <w:spacing w:after="0" w:line="480" w:lineRule="exact"/>
        <w:jc w:val="both"/>
        <w:textAlignment w:val="baseline"/>
        <w:outlineLvl w:val="1"/>
        <w:rPr>
          <w:rFonts w:ascii="宋体" w:hAnsi="宋体" w:eastAsia="宋体" w:cs="宋体"/>
          <w:b/>
          <w:kern w:val="2"/>
          <w:sz w:val="24"/>
          <w:szCs w:val="24"/>
        </w:rPr>
      </w:pPr>
      <w:bookmarkStart w:id="61" w:name="_Toc4820"/>
      <w:bookmarkStart w:id="62" w:name="_Toc1010"/>
      <w:bookmarkStart w:id="63" w:name="_Toc32002"/>
      <w:bookmarkStart w:id="64" w:name="_Toc4601"/>
      <w:bookmarkStart w:id="65" w:name="_Toc19650"/>
      <w:r>
        <w:rPr>
          <w:rFonts w:hint="eastAsia" w:ascii="宋体" w:hAnsi="宋体" w:eastAsia="宋体" w:cs="宋体"/>
          <w:b/>
          <w:kern w:val="2"/>
          <w:sz w:val="24"/>
          <w:szCs w:val="24"/>
        </w:rPr>
        <w:t>3.10 澄清与质疑</w:t>
      </w:r>
      <w:bookmarkEnd w:id="61"/>
      <w:bookmarkEnd w:id="62"/>
      <w:bookmarkEnd w:id="63"/>
      <w:bookmarkEnd w:id="64"/>
      <w:bookmarkEnd w:id="65"/>
    </w:p>
    <w:p w14:paraId="3782C16C">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3.10.1综合说明</w:t>
      </w:r>
    </w:p>
    <w:p w14:paraId="6E834DA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供应商对政府采购活动事项有疑问的，可以向招标人提出询问，招标人应当及时予以答复，但答复的内容不得涉及商业秘密。供应商认为招标文件、招标过程或中标结果使自己权益受到损害的，可以在规定期限内，以书面形式向招标人提出质疑。供应商质疑实行实名制，质疑应当有事实根据，不得进行虚假、恶意质疑，干扰政府采购正常工作秩序。</w:t>
      </w:r>
    </w:p>
    <w:p w14:paraId="78411654">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3.10.2澄清或质疑答复的时限</w:t>
      </w:r>
    </w:p>
    <w:p w14:paraId="1707441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（1）潜在供应商对政府采购活动事项有疑问的，可以向采购人或采购代理机构提出询问，采购人或采购代理机构将在3个工作日内作出答复。</w:t>
      </w:r>
    </w:p>
    <w:p w14:paraId="375CA7B5">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（2）供应商若认为采购文件、采购过程、中标或成交结果使自己的权益受到损害的，应当在下列时间内以书面形式向采购人或采购代理机构提出：</w:t>
      </w:r>
    </w:p>
    <w:p w14:paraId="3AEBE37F">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①关于招标文件的质疑，应在收到招标文件之日或者招标文件公告期限届满之日起7个工作日内提出。</w:t>
      </w:r>
    </w:p>
    <w:p w14:paraId="55705D64">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②关于采购过程的质疑，应在采购程序环节结束之日起7个工作日内提出。</w:t>
      </w:r>
    </w:p>
    <w:p w14:paraId="61B4AFF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③关于中标结果的质疑，应在中标结果信息发布后7个工作日内提出。</w:t>
      </w:r>
    </w:p>
    <w:p w14:paraId="43582D8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（3）采购人应当在收到供应商的书面质疑后7个工作日内作出答复。</w:t>
      </w:r>
    </w:p>
    <w:p w14:paraId="62D2989B">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3.10.3供应商提起质疑应当符合下列条件：</w:t>
      </w:r>
    </w:p>
    <w:p w14:paraId="080F7366">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（1）必须是参与被质疑项目的投标人；</w:t>
      </w:r>
    </w:p>
    <w:p w14:paraId="2C1E3FD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（2）必须在规定的质疑有效期内提起质疑；</w:t>
      </w:r>
    </w:p>
    <w:p w14:paraId="7DF2DBE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（3）政府采购监督管理部门规定的其他条件。</w:t>
      </w:r>
    </w:p>
    <w:p w14:paraId="7E7DBA30">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3.10.4质疑函的递交及地点</w:t>
      </w:r>
    </w:p>
    <w:p w14:paraId="36E488FD">
      <w:pPr>
        <w:adjustRightInd/>
        <w:snapToGrid/>
        <w:spacing w:after="0" w:line="480" w:lineRule="exact"/>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（1）供应商提出质疑应当提交质疑函和必要的证明材料，质疑函应当包括下列主要内容：</w:t>
      </w:r>
    </w:p>
    <w:p w14:paraId="0B3C8922">
      <w:pPr>
        <w:numPr>
          <w:ilvl w:val="0"/>
          <w:numId w:val="5"/>
        </w:numPr>
        <w:adjustRightInd/>
        <w:snapToGrid/>
        <w:spacing w:after="0" w:line="480" w:lineRule="exact"/>
        <w:jc w:val="both"/>
        <w:rPr>
          <w:rFonts w:ascii="宋体" w:hAnsi="宋体" w:eastAsia="宋体" w:cs="宋体"/>
          <w:kern w:val="2"/>
          <w:sz w:val="24"/>
          <w:szCs w:val="24"/>
        </w:rPr>
      </w:pPr>
      <w:r>
        <w:rPr>
          <w:rFonts w:hint="eastAsia" w:ascii="宋体" w:hAnsi="宋体" w:eastAsia="宋体" w:cs="宋体"/>
          <w:kern w:val="2"/>
          <w:sz w:val="24"/>
          <w:szCs w:val="24"/>
        </w:rPr>
        <w:t>供应商的姓名或者名称、地址、邮编、联系人及联系电话；</w:t>
      </w:r>
    </w:p>
    <w:p w14:paraId="77247F1E">
      <w:pPr>
        <w:numPr>
          <w:ilvl w:val="0"/>
          <w:numId w:val="5"/>
        </w:numPr>
        <w:adjustRightInd/>
        <w:snapToGrid/>
        <w:spacing w:after="0" w:line="480" w:lineRule="exact"/>
        <w:jc w:val="both"/>
        <w:rPr>
          <w:rFonts w:ascii="宋体" w:hAnsi="宋体" w:eastAsia="宋体" w:cs="宋体"/>
          <w:kern w:val="2"/>
          <w:sz w:val="24"/>
          <w:szCs w:val="24"/>
        </w:rPr>
      </w:pPr>
      <w:r>
        <w:rPr>
          <w:rFonts w:hint="eastAsia" w:ascii="宋体" w:hAnsi="宋体" w:eastAsia="宋体" w:cs="宋体"/>
          <w:kern w:val="2"/>
          <w:sz w:val="24"/>
          <w:szCs w:val="24"/>
        </w:rPr>
        <w:t>质疑项目的名称、编号；</w:t>
      </w:r>
    </w:p>
    <w:p w14:paraId="20CEF1B7">
      <w:pPr>
        <w:numPr>
          <w:ilvl w:val="0"/>
          <w:numId w:val="5"/>
        </w:numPr>
        <w:adjustRightInd/>
        <w:snapToGrid/>
        <w:spacing w:after="0" w:line="480" w:lineRule="exact"/>
        <w:jc w:val="both"/>
        <w:rPr>
          <w:rFonts w:ascii="宋体" w:hAnsi="宋体" w:eastAsia="宋体" w:cs="宋体"/>
          <w:kern w:val="2"/>
          <w:sz w:val="24"/>
          <w:szCs w:val="24"/>
        </w:rPr>
      </w:pPr>
      <w:r>
        <w:rPr>
          <w:rFonts w:hint="eastAsia" w:ascii="宋体" w:hAnsi="宋体" w:eastAsia="宋体" w:cs="宋体"/>
          <w:kern w:val="2"/>
          <w:sz w:val="24"/>
          <w:szCs w:val="24"/>
        </w:rPr>
        <w:t>具体、明确的质疑事项和与质疑事项相关的请求；</w:t>
      </w:r>
    </w:p>
    <w:p w14:paraId="0FF181F0">
      <w:pPr>
        <w:numPr>
          <w:ilvl w:val="0"/>
          <w:numId w:val="5"/>
        </w:numPr>
        <w:adjustRightInd/>
        <w:snapToGrid/>
        <w:spacing w:after="0" w:line="480" w:lineRule="exact"/>
        <w:jc w:val="both"/>
        <w:rPr>
          <w:rFonts w:ascii="宋体" w:hAnsi="宋体" w:eastAsia="宋体" w:cs="宋体"/>
          <w:kern w:val="2"/>
          <w:sz w:val="24"/>
          <w:szCs w:val="24"/>
        </w:rPr>
      </w:pPr>
      <w:r>
        <w:rPr>
          <w:rFonts w:hint="eastAsia" w:ascii="宋体" w:hAnsi="宋体" w:eastAsia="宋体" w:cs="宋体"/>
          <w:kern w:val="2"/>
          <w:sz w:val="24"/>
          <w:szCs w:val="24"/>
        </w:rPr>
        <w:t>事实依据；</w:t>
      </w:r>
    </w:p>
    <w:p w14:paraId="56E19EBF">
      <w:pPr>
        <w:numPr>
          <w:ilvl w:val="0"/>
          <w:numId w:val="5"/>
        </w:numPr>
        <w:adjustRightInd/>
        <w:snapToGrid/>
        <w:spacing w:after="0" w:line="480" w:lineRule="exact"/>
        <w:jc w:val="both"/>
        <w:rPr>
          <w:rFonts w:ascii="宋体" w:hAnsi="宋体" w:eastAsia="宋体" w:cs="宋体"/>
          <w:kern w:val="2"/>
          <w:sz w:val="24"/>
          <w:szCs w:val="24"/>
        </w:rPr>
      </w:pPr>
      <w:r>
        <w:rPr>
          <w:rFonts w:hint="eastAsia" w:ascii="宋体" w:hAnsi="宋体" w:eastAsia="宋体" w:cs="宋体"/>
          <w:kern w:val="2"/>
          <w:sz w:val="24"/>
          <w:szCs w:val="24"/>
        </w:rPr>
        <w:t>必要的法律依据；</w:t>
      </w:r>
    </w:p>
    <w:p w14:paraId="3289C0B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⑥ 提出质疑的日期。</w:t>
      </w:r>
    </w:p>
    <w:p w14:paraId="26F501A3">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质疑函应当由投标人法定代表人或其授权的代理人签字并加盖投标人单位公章，质疑函由授权的代理人签字的应附投标人法定代表人委托授权书。</w:t>
      </w:r>
    </w:p>
    <w:p w14:paraId="567A2C7B">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质疑函递交地点：甘肃鑫畅达工程咨询有限公司</w:t>
      </w:r>
    </w:p>
    <w:p w14:paraId="15F80C06">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 xml:space="preserve">（2）质疑函的递交应当采取当面递交的形式。 </w:t>
      </w:r>
    </w:p>
    <w:p w14:paraId="3B04697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宋体" w:hAnsi="宋体" w:eastAsia="宋体" w:cs="宋体"/>
          <w:bCs/>
          <w:kern w:val="2"/>
          <w:sz w:val="24"/>
          <w:szCs w:val="24"/>
        </w:rPr>
        <w:t>XXX</w:t>
      </w:r>
      <w:r>
        <w:rPr>
          <w:rFonts w:hint="eastAsia" w:ascii="宋体" w:hAnsi="宋体" w:eastAsia="宋体" w:cs="宋体"/>
          <w:kern w:val="2"/>
          <w:sz w:val="24"/>
          <w:szCs w:val="24"/>
        </w:rPr>
        <w:t>项目质疑使用”字样，并由身份证持有人签字确认。上述资料均须加盖公章。</w:t>
      </w:r>
    </w:p>
    <w:p w14:paraId="51AFEE46">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（3）采购人或采购代理机构收到质疑函后，应当向质疑供应商签收回执。</w:t>
      </w:r>
    </w:p>
    <w:p w14:paraId="2936C68D">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3.10.5对供应商质疑的答复</w:t>
      </w:r>
    </w:p>
    <w:p w14:paraId="35B2A992">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人应在收到质疑函7个工作日内根据澄清或质疑函的具体内容相应作出答复或不予答复，答复内容不得涉及商业秘密。作出答复的将以书面形式通知提出澄清或质疑的投标人和其他有关投标人，或在指定媒体上予以公布。</w:t>
      </w:r>
    </w:p>
    <w:p w14:paraId="32AA19BE">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递交质疑的供应商和其他有关供应商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501FF97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供应商对评审过程、中标或者成交结果提出质疑的，采购人、采购代理机构可以组织原评标委员会、谈判小组、询价小组或者竞争性投标小组协助答复质疑。</w:t>
      </w:r>
    </w:p>
    <w:p w14:paraId="231D1C88">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质疑答复应当包括下列内容：</w:t>
      </w:r>
    </w:p>
    <w:p w14:paraId="27851F4C">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（1）质疑供应商的姓名或者名称；</w:t>
      </w:r>
    </w:p>
    <w:p w14:paraId="75F3E42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（2）收到质疑函的日期、质疑项目名称及编号；</w:t>
      </w:r>
    </w:p>
    <w:p w14:paraId="5BD5E447">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（3）质疑事项、质疑答复的具体内容、事实依据和法律依据；</w:t>
      </w:r>
    </w:p>
    <w:p w14:paraId="045C742D">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（4）告知质疑供应商依法投诉的权利；</w:t>
      </w:r>
    </w:p>
    <w:p w14:paraId="2540D5A9">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（5）质疑答复人名称；</w:t>
      </w:r>
    </w:p>
    <w:p w14:paraId="2D69A1BA">
      <w:pPr>
        <w:adjustRightInd/>
        <w:snapToGrid/>
        <w:spacing w:after="0" w:line="480" w:lineRule="exact"/>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（6）答复质疑的日期。</w:t>
      </w:r>
    </w:p>
    <w:p w14:paraId="016980E0">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3.10.6澄清或质疑不予受理的情况</w:t>
      </w:r>
    </w:p>
    <w:p w14:paraId="40204C7B">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rPr>
        <w:t>有下列情形之一的，属于无效质疑，被质疑人不予受理，</w:t>
      </w:r>
      <w:r>
        <w:rPr>
          <w:rFonts w:hint="eastAsia" w:ascii="宋体" w:hAnsi="宋体" w:eastAsia="宋体" w:cs="宋体"/>
          <w:kern w:val="2"/>
          <w:sz w:val="24"/>
          <w:szCs w:val="24"/>
        </w:rPr>
        <w:t>由此产生的影响由供应商自行承担</w:t>
      </w:r>
      <w:r>
        <w:rPr>
          <w:rFonts w:hint="eastAsia" w:ascii="宋体" w:hAnsi="宋体" w:eastAsia="宋体" w:cs="宋体"/>
          <w:sz w:val="24"/>
          <w:szCs w:val="24"/>
        </w:rPr>
        <w:t>：</w:t>
      </w:r>
    </w:p>
    <w:p w14:paraId="53F9DE22">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（1）</w:t>
      </w:r>
      <w:r>
        <w:rPr>
          <w:rFonts w:hint="eastAsia" w:ascii="宋体" w:hAnsi="宋体" w:eastAsia="宋体" w:cs="宋体"/>
          <w:sz w:val="24"/>
          <w:szCs w:val="24"/>
        </w:rPr>
        <w:t>不是参与该政府采购项目活动供应商的；</w:t>
      </w:r>
    </w:p>
    <w:p w14:paraId="40894DDC">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（2）</w:t>
      </w:r>
      <w:r>
        <w:rPr>
          <w:rFonts w:hint="eastAsia" w:ascii="宋体" w:hAnsi="宋体" w:eastAsia="宋体" w:cs="宋体"/>
          <w:sz w:val="24"/>
          <w:szCs w:val="24"/>
        </w:rPr>
        <w:t>被质疑人为采购人或政府采购代理机构之外的；</w:t>
      </w:r>
    </w:p>
    <w:p w14:paraId="7377759E">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（3）</w:t>
      </w:r>
      <w:r>
        <w:rPr>
          <w:rFonts w:hint="eastAsia" w:ascii="宋体" w:hAnsi="宋体" w:eastAsia="宋体" w:cs="宋体"/>
          <w:sz w:val="24"/>
          <w:szCs w:val="24"/>
        </w:rPr>
        <w:t>所有质疑事项超过质疑有效期的；</w:t>
      </w:r>
    </w:p>
    <w:p w14:paraId="0D05F570">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（4）</w:t>
      </w:r>
      <w:r>
        <w:rPr>
          <w:rFonts w:hint="eastAsia" w:ascii="宋体" w:hAnsi="宋体" w:eastAsia="宋体" w:cs="宋体"/>
          <w:sz w:val="24"/>
          <w:szCs w:val="24"/>
        </w:rPr>
        <w:t>以具有法律效力的文书送达之外方式提出的；</w:t>
      </w:r>
    </w:p>
    <w:p w14:paraId="02B59714">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（5）未按上述规定递交澄清或质疑函的</w:t>
      </w:r>
      <w:r>
        <w:rPr>
          <w:rFonts w:hint="eastAsia" w:ascii="宋体" w:hAnsi="宋体" w:eastAsia="宋体" w:cs="宋体"/>
          <w:sz w:val="24"/>
          <w:szCs w:val="24"/>
        </w:rPr>
        <w:t>；</w:t>
      </w:r>
    </w:p>
    <w:p w14:paraId="76FBC9A5">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kern w:val="2"/>
          <w:sz w:val="24"/>
          <w:szCs w:val="24"/>
        </w:rPr>
        <w:t>（6）</w:t>
      </w:r>
      <w:r>
        <w:rPr>
          <w:rFonts w:hint="eastAsia" w:ascii="宋体" w:hAnsi="宋体" w:eastAsia="宋体" w:cs="宋体"/>
          <w:sz w:val="24"/>
          <w:szCs w:val="24"/>
        </w:rPr>
        <w:t>其它不符合受理条件的情形。</w:t>
      </w:r>
    </w:p>
    <w:p w14:paraId="6E5B3DDB">
      <w:pPr>
        <w:adjustRightInd/>
        <w:snapToGrid/>
        <w:spacing w:after="0" w:line="480" w:lineRule="exact"/>
        <w:ind w:firstLine="482" w:firstLine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3.10.7投诉</w:t>
      </w:r>
    </w:p>
    <w:p w14:paraId="3B541423">
      <w:pPr>
        <w:adjustRightInd/>
        <w:snapToGrid/>
        <w:spacing w:after="0" w:line="480" w:lineRule="exact"/>
        <w:ind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rPr>
        <w:t>质疑供应商对采购人或采购代理机构的答复不满意，或采购人或采购代理机构未在规定的期限作出答复的，可在答复期满后15个工作日内，按政府采购相关法律法规规章的规定及程序，向同级财政部门提出投诉，15个工作日过后视为放弃投诉。</w:t>
      </w:r>
    </w:p>
    <w:p w14:paraId="2894F275">
      <w:pPr>
        <w:adjustRightInd/>
        <w:snapToGrid/>
        <w:spacing w:after="0" w:line="480" w:lineRule="exact"/>
        <w:ind w:firstLine="480" w:firstLineChars="200"/>
        <w:jc w:val="both"/>
        <w:textAlignment w:val="baseline"/>
        <w:rPr>
          <w:rFonts w:ascii="宋体" w:hAnsi="宋体" w:eastAsia="宋体" w:cs="宋体"/>
          <w:kern w:val="2"/>
          <w:sz w:val="24"/>
          <w:szCs w:val="24"/>
        </w:rPr>
        <w:sectPr>
          <w:pgSz w:w="11906" w:h="16838"/>
          <w:pgMar w:top="1417" w:right="1361" w:bottom="1417" w:left="1417" w:header="851" w:footer="851" w:gutter="0"/>
          <w:cols w:space="720" w:num="1"/>
          <w:titlePg/>
          <w:docGrid w:linePitch="312" w:charSpace="0"/>
        </w:sectPr>
      </w:pPr>
    </w:p>
    <w:p w14:paraId="457F225F">
      <w:pPr>
        <w:adjustRightInd/>
        <w:snapToGrid/>
        <w:spacing w:after="0" w:line="360" w:lineRule="auto"/>
        <w:jc w:val="center"/>
        <w:textAlignment w:val="baseline"/>
        <w:outlineLvl w:val="0"/>
        <w:rPr>
          <w:rFonts w:hAnsi="宋体" w:eastAsia="宋体" w:cs="宋体"/>
          <w:sz w:val="24"/>
          <w:szCs w:val="24"/>
        </w:rPr>
      </w:pPr>
      <w:bookmarkStart w:id="66" w:name="_Toc18521"/>
      <w:bookmarkStart w:id="67" w:name="_Toc16235"/>
      <w:r>
        <w:rPr>
          <w:rFonts w:hint="eastAsia" w:ascii="宋体" w:hAnsi="宋体" w:eastAsia="宋体" w:cs="Times New Roman"/>
          <w:b/>
          <w:bCs/>
          <w:kern w:val="44"/>
          <w:sz w:val="30"/>
        </w:rPr>
        <w:t>第四章</w:t>
      </w:r>
      <w:bookmarkEnd w:id="66"/>
      <w:r>
        <w:rPr>
          <w:rFonts w:hint="eastAsia" w:ascii="宋体" w:hAnsi="宋体" w:eastAsia="宋体" w:cs="Times New Roman"/>
          <w:b/>
          <w:bCs/>
          <w:kern w:val="44"/>
          <w:sz w:val="30"/>
        </w:rPr>
        <w:t>、</w:t>
      </w:r>
      <w:bookmarkStart w:id="68" w:name="_Toc12953"/>
      <w:r>
        <w:rPr>
          <w:rFonts w:hint="eastAsia" w:ascii="宋体" w:hAnsi="宋体" w:eastAsia="宋体" w:cs="Times New Roman"/>
          <w:b/>
          <w:bCs/>
          <w:kern w:val="44"/>
          <w:sz w:val="30"/>
        </w:rPr>
        <w:t>采购需求</w:t>
      </w:r>
      <w:bookmarkEnd w:id="67"/>
      <w:bookmarkEnd w:id="68"/>
    </w:p>
    <w:p w14:paraId="4A2D316C">
      <w:pPr>
        <w:widowControl w:val="0"/>
        <w:adjustRightInd/>
        <w:snapToGrid/>
        <w:spacing w:line="480" w:lineRule="exact"/>
        <w:ind w:firstLine="803" w:firstLineChars="200"/>
        <w:jc w:val="center"/>
        <w:rPr>
          <w:rFonts w:ascii="宋体" w:hAnsi="宋体" w:eastAsia="宋体" w:cs="宋体"/>
          <w:b/>
          <w:bCs/>
          <w:sz w:val="40"/>
          <w:szCs w:val="40"/>
        </w:rPr>
      </w:pPr>
      <w:r>
        <w:rPr>
          <w:rFonts w:hint="eastAsia" w:ascii="宋体" w:hAnsi="宋体" w:eastAsia="宋体" w:cs="宋体"/>
          <w:b/>
          <w:bCs/>
          <w:sz w:val="40"/>
          <w:szCs w:val="40"/>
        </w:rPr>
        <w:t>具体参数及技术要求</w:t>
      </w:r>
    </w:p>
    <w:p w14:paraId="0AC4520E">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.1电子数据获取</w:t>
      </w:r>
    </w:p>
    <w:tbl>
      <w:tblPr>
        <w:tblStyle w:val="15"/>
        <w:tblW w:w="5000" w:type="pct"/>
        <w:tblInd w:w="0" w:type="dxa"/>
        <w:tblLayout w:type="autofit"/>
        <w:tblCellMar>
          <w:top w:w="15" w:type="dxa"/>
          <w:left w:w="15" w:type="dxa"/>
          <w:bottom w:w="15" w:type="dxa"/>
          <w:right w:w="15" w:type="dxa"/>
        </w:tblCellMar>
      </w:tblPr>
      <w:tblGrid>
        <w:gridCol w:w="1438"/>
        <w:gridCol w:w="1421"/>
        <w:gridCol w:w="2775"/>
        <w:gridCol w:w="2702"/>
      </w:tblGrid>
      <w:tr w14:paraId="4E24ADF9">
        <w:tblPrEx>
          <w:tblCellMar>
            <w:top w:w="15" w:type="dxa"/>
            <w:left w:w="15" w:type="dxa"/>
            <w:bottom w:w="15" w:type="dxa"/>
            <w:right w:w="15" w:type="dxa"/>
          </w:tblCellMar>
        </w:tblPrEx>
        <w:trPr>
          <w:trHeight w:val="720" w:hRule="atLeast"/>
        </w:trPr>
        <w:tc>
          <w:tcPr>
            <w:tcW w:w="863" w:type="pct"/>
            <w:tcBorders>
              <w:top w:val="single" w:color="000000" w:sz="4" w:space="0"/>
              <w:left w:val="single" w:color="000000" w:sz="4" w:space="0"/>
              <w:bottom w:val="single" w:color="000000" w:sz="4" w:space="0"/>
              <w:right w:val="single" w:color="000000" w:sz="4" w:space="0"/>
            </w:tcBorders>
            <w:vAlign w:val="center"/>
          </w:tcPr>
          <w:p w14:paraId="17B2C06C">
            <w:pPr>
              <w:jc w:val="center"/>
              <w:textAlignment w:val="center"/>
              <w:rPr>
                <w:rFonts w:ascii="等线" w:hAnsi="等线" w:eastAsia="等线" w:cs="等线"/>
                <w:b/>
                <w:color w:val="000000"/>
                <w:szCs w:val="21"/>
              </w:rPr>
            </w:pPr>
            <w:r>
              <w:rPr>
                <w:rFonts w:ascii="等线" w:hAnsi="等线" w:eastAsia="等线" w:cs="等线"/>
                <w:b/>
                <w:color w:val="000000"/>
                <w:szCs w:val="21"/>
                <w:lang w:bidi="ar"/>
              </w:rPr>
              <w:t>服务类别</w:t>
            </w:r>
          </w:p>
        </w:tc>
        <w:tc>
          <w:tcPr>
            <w:tcW w:w="852" w:type="pct"/>
            <w:tcBorders>
              <w:top w:val="single" w:color="000000" w:sz="4" w:space="0"/>
              <w:left w:val="single" w:color="000000" w:sz="4" w:space="0"/>
              <w:bottom w:val="single" w:color="000000" w:sz="4" w:space="0"/>
              <w:right w:val="single" w:color="000000" w:sz="4" w:space="0"/>
            </w:tcBorders>
            <w:vAlign w:val="center"/>
          </w:tcPr>
          <w:p w14:paraId="3A499529">
            <w:pPr>
              <w:jc w:val="center"/>
              <w:textAlignment w:val="center"/>
              <w:rPr>
                <w:rFonts w:ascii="等线" w:hAnsi="等线" w:eastAsia="等线" w:cs="等线"/>
                <w:b/>
                <w:color w:val="000000"/>
                <w:szCs w:val="21"/>
              </w:rPr>
            </w:pPr>
            <w:r>
              <w:rPr>
                <w:rFonts w:ascii="等线" w:hAnsi="等线" w:eastAsia="等线" w:cs="等线"/>
                <w:b/>
                <w:color w:val="000000"/>
                <w:szCs w:val="21"/>
                <w:lang w:bidi="ar"/>
              </w:rPr>
              <w:t>服务项目</w:t>
            </w:r>
          </w:p>
        </w:tc>
        <w:tc>
          <w:tcPr>
            <w:tcW w:w="1664" w:type="pct"/>
            <w:tcBorders>
              <w:top w:val="single" w:color="000000" w:sz="4" w:space="0"/>
              <w:left w:val="single" w:color="000000" w:sz="4" w:space="0"/>
              <w:bottom w:val="single" w:color="000000" w:sz="4" w:space="0"/>
              <w:right w:val="single" w:color="000000" w:sz="4" w:space="0"/>
            </w:tcBorders>
            <w:vAlign w:val="center"/>
          </w:tcPr>
          <w:p w14:paraId="72F0C657">
            <w:pPr>
              <w:jc w:val="center"/>
              <w:textAlignment w:val="center"/>
              <w:rPr>
                <w:rFonts w:ascii="等线" w:hAnsi="等线" w:eastAsia="等线" w:cs="等线"/>
                <w:b/>
                <w:color w:val="000000"/>
                <w:szCs w:val="21"/>
              </w:rPr>
            </w:pPr>
            <w:r>
              <w:rPr>
                <w:rFonts w:ascii="等线" w:hAnsi="等线" w:eastAsia="等线" w:cs="等线"/>
                <w:b/>
                <w:color w:val="000000"/>
                <w:szCs w:val="21"/>
                <w:lang w:bidi="ar"/>
              </w:rPr>
              <w:t>服务内容</w:t>
            </w:r>
          </w:p>
        </w:tc>
        <w:tc>
          <w:tcPr>
            <w:tcW w:w="1620" w:type="pct"/>
            <w:tcBorders>
              <w:top w:val="single" w:color="000000" w:sz="4" w:space="0"/>
              <w:left w:val="single" w:color="000000" w:sz="4" w:space="0"/>
              <w:bottom w:val="single" w:color="000000" w:sz="4" w:space="0"/>
              <w:right w:val="single" w:color="000000" w:sz="4" w:space="0"/>
            </w:tcBorders>
            <w:vAlign w:val="center"/>
          </w:tcPr>
          <w:p w14:paraId="06E1EA5C">
            <w:pPr>
              <w:jc w:val="center"/>
              <w:textAlignment w:val="center"/>
              <w:rPr>
                <w:rFonts w:ascii="等线" w:hAnsi="等线" w:eastAsia="等线" w:cs="等线"/>
                <w:b/>
                <w:color w:val="000000"/>
                <w:szCs w:val="21"/>
              </w:rPr>
            </w:pPr>
            <w:r>
              <w:rPr>
                <w:rFonts w:ascii="等线" w:hAnsi="等线" w:eastAsia="等线" w:cs="等线"/>
                <w:b/>
                <w:color w:val="000000"/>
                <w:szCs w:val="21"/>
                <w:lang w:bidi="ar"/>
              </w:rPr>
              <w:t>交付成果</w:t>
            </w:r>
          </w:p>
        </w:tc>
      </w:tr>
      <w:tr w14:paraId="51E0CCF0">
        <w:tblPrEx>
          <w:tblCellMar>
            <w:top w:w="15" w:type="dxa"/>
            <w:left w:w="15" w:type="dxa"/>
            <w:bottom w:w="15" w:type="dxa"/>
            <w:right w:w="15" w:type="dxa"/>
          </w:tblCellMar>
        </w:tblPrEx>
        <w:trPr>
          <w:trHeight w:val="984" w:hRule="atLeast"/>
        </w:trPr>
        <w:tc>
          <w:tcPr>
            <w:tcW w:w="863" w:type="pct"/>
            <w:tcBorders>
              <w:top w:val="single" w:color="000000" w:sz="4" w:space="0"/>
              <w:left w:val="single" w:color="000000" w:sz="4" w:space="0"/>
              <w:bottom w:val="single" w:color="000000" w:sz="4" w:space="0"/>
              <w:right w:val="single" w:color="000000" w:sz="4" w:space="0"/>
            </w:tcBorders>
            <w:vAlign w:val="center"/>
          </w:tcPr>
          <w:p w14:paraId="2D98AEC5">
            <w:pPr>
              <w:jc w:val="center"/>
              <w:textAlignment w:val="center"/>
              <w:rPr>
                <w:rFonts w:ascii="宋体" w:hAnsi="宋体" w:cs="宋体"/>
                <w:color w:val="000000"/>
                <w:szCs w:val="21"/>
              </w:rPr>
            </w:pPr>
            <w:r>
              <w:rPr>
                <w:rFonts w:hint="eastAsia" w:ascii="宋体" w:hAnsi="宋体" w:cs="宋体"/>
                <w:color w:val="000000"/>
                <w:lang w:bidi="ar"/>
              </w:rPr>
              <w:t>电子数据获取</w:t>
            </w:r>
          </w:p>
        </w:tc>
        <w:tc>
          <w:tcPr>
            <w:tcW w:w="852" w:type="pct"/>
            <w:tcBorders>
              <w:top w:val="single" w:color="000000" w:sz="4" w:space="0"/>
              <w:left w:val="single" w:color="000000" w:sz="4" w:space="0"/>
              <w:bottom w:val="single" w:color="000000" w:sz="4" w:space="0"/>
              <w:right w:val="single" w:color="000000" w:sz="4" w:space="0"/>
            </w:tcBorders>
            <w:vAlign w:val="center"/>
          </w:tcPr>
          <w:p w14:paraId="38D79494">
            <w:pPr>
              <w:jc w:val="center"/>
              <w:textAlignment w:val="center"/>
              <w:rPr>
                <w:rFonts w:ascii="宋体" w:hAnsi="宋体" w:cs="宋体"/>
                <w:color w:val="000000"/>
                <w:szCs w:val="21"/>
              </w:rPr>
            </w:pPr>
            <w:r>
              <w:rPr>
                <w:rFonts w:hint="eastAsia" w:ascii="宋体" w:hAnsi="宋体" w:cs="宋体"/>
                <w:color w:val="000000"/>
                <w:lang w:bidi="ar"/>
              </w:rPr>
              <w:t>数据提取支撑</w:t>
            </w:r>
          </w:p>
        </w:tc>
        <w:tc>
          <w:tcPr>
            <w:tcW w:w="1664" w:type="pct"/>
            <w:tcBorders>
              <w:top w:val="single" w:color="000000" w:sz="4" w:space="0"/>
              <w:left w:val="single" w:color="000000" w:sz="4" w:space="0"/>
              <w:bottom w:val="single" w:color="000000" w:sz="4" w:space="0"/>
            </w:tcBorders>
            <w:vAlign w:val="center"/>
          </w:tcPr>
          <w:p w14:paraId="093F1DC6">
            <w:pPr>
              <w:jc w:val="center"/>
              <w:textAlignment w:val="center"/>
              <w:rPr>
                <w:rFonts w:ascii="等线" w:hAnsi="等线" w:eastAsia="等线" w:cs="等线"/>
                <w:color w:val="000000"/>
                <w:szCs w:val="21"/>
              </w:rPr>
            </w:pPr>
            <w:r>
              <w:rPr>
                <w:rFonts w:ascii="等线" w:hAnsi="等线" w:eastAsia="等线" w:cs="等线"/>
                <w:color w:val="000000"/>
                <w:lang w:bidi="ar"/>
              </w:rPr>
              <w:t>数据获取服务</w:t>
            </w:r>
          </w:p>
        </w:tc>
        <w:tc>
          <w:tcPr>
            <w:tcW w:w="1620" w:type="pct"/>
            <w:tcBorders>
              <w:top w:val="single" w:color="000000" w:sz="4" w:space="0"/>
              <w:left w:val="single" w:color="000000" w:sz="4" w:space="0"/>
              <w:bottom w:val="single" w:color="000000" w:sz="4" w:space="0"/>
              <w:right w:val="single" w:color="000000" w:sz="4" w:space="0"/>
            </w:tcBorders>
            <w:vAlign w:val="center"/>
          </w:tcPr>
          <w:p w14:paraId="2CBE5C9D">
            <w:pPr>
              <w:jc w:val="center"/>
              <w:textAlignment w:val="center"/>
              <w:rPr>
                <w:rFonts w:ascii="等线" w:hAnsi="等线" w:eastAsia="等线" w:cs="等线"/>
                <w:color w:val="000000"/>
                <w:szCs w:val="21"/>
              </w:rPr>
            </w:pPr>
            <w:r>
              <w:rPr>
                <w:rFonts w:ascii="等线" w:hAnsi="等线" w:eastAsia="等线" w:cs="等线"/>
                <w:color w:val="000000"/>
                <w:lang w:bidi="ar"/>
              </w:rPr>
              <w:t>获取完整的平台数据</w:t>
            </w:r>
          </w:p>
        </w:tc>
      </w:tr>
    </w:tbl>
    <w:p w14:paraId="1963E9F8">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.2</w:t>
      </w:r>
      <w:r>
        <w:rPr>
          <w:rFonts w:hint="eastAsia" w:ascii="宋体" w:hAnsi="宋体" w:cs="宋体"/>
          <w:color w:val="000000"/>
          <w:sz w:val="24"/>
        </w:rPr>
        <w:t>电子数据提取分析</w:t>
      </w:r>
    </w:p>
    <w:tbl>
      <w:tblPr>
        <w:tblStyle w:val="15"/>
        <w:tblW w:w="5000" w:type="pct"/>
        <w:tblInd w:w="0" w:type="dxa"/>
        <w:tblLayout w:type="autofit"/>
        <w:tblCellMar>
          <w:top w:w="15" w:type="dxa"/>
          <w:left w:w="15" w:type="dxa"/>
          <w:bottom w:w="15" w:type="dxa"/>
          <w:right w:w="15" w:type="dxa"/>
        </w:tblCellMar>
      </w:tblPr>
      <w:tblGrid>
        <w:gridCol w:w="1427"/>
        <w:gridCol w:w="1445"/>
        <w:gridCol w:w="2749"/>
        <w:gridCol w:w="2715"/>
      </w:tblGrid>
      <w:tr w14:paraId="78611182">
        <w:tblPrEx>
          <w:tblCellMar>
            <w:top w:w="15" w:type="dxa"/>
            <w:left w:w="15" w:type="dxa"/>
            <w:bottom w:w="15" w:type="dxa"/>
            <w:right w:w="15" w:type="dxa"/>
          </w:tblCellMar>
        </w:tblPrEx>
        <w:trPr>
          <w:trHeight w:val="720" w:hRule="atLeast"/>
        </w:trPr>
        <w:tc>
          <w:tcPr>
            <w:tcW w:w="856" w:type="pct"/>
            <w:tcBorders>
              <w:top w:val="single" w:color="000000" w:sz="4" w:space="0"/>
              <w:left w:val="single" w:color="000000" w:sz="4" w:space="0"/>
              <w:bottom w:val="single" w:color="000000" w:sz="4" w:space="0"/>
              <w:right w:val="single" w:color="000000" w:sz="4" w:space="0"/>
            </w:tcBorders>
            <w:vAlign w:val="center"/>
          </w:tcPr>
          <w:p w14:paraId="425E83E5">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服务类别</w:t>
            </w:r>
          </w:p>
        </w:tc>
        <w:tc>
          <w:tcPr>
            <w:tcW w:w="867" w:type="pct"/>
            <w:tcBorders>
              <w:top w:val="single" w:color="000000" w:sz="4" w:space="0"/>
              <w:left w:val="single" w:color="000000" w:sz="4" w:space="0"/>
              <w:bottom w:val="single" w:color="000000" w:sz="4" w:space="0"/>
              <w:right w:val="single" w:color="000000" w:sz="4" w:space="0"/>
            </w:tcBorders>
            <w:vAlign w:val="center"/>
          </w:tcPr>
          <w:p w14:paraId="6151BA0B">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服务项目</w:t>
            </w:r>
          </w:p>
        </w:tc>
        <w:tc>
          <w:tcPr>
            <w:tcW w:w="1649" w:type="pct"/>
            <w:tcBorders>
              <w:top w:val="single" w:color="000000" w:sz="4" w:space="0"/>
              <w:left w:val="single" w:color="000000" w:sz="4" w:space="0"/>
              <w:bottom w:val="single" w:color="000000" w:sz="4" w:space="0"/>
              <w:right w:val="single" w:color="000000" w:sz="4" w:space="0"/>
            </w:tcBorders>
            <w:vAlign w:val="center"/>
          </w:tcPr>
          <w:p w14:paraId="1453BB8C">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乙方服务内容</w:t>
            </w:r>
          </w:p>
        </w:tc>
        <w:tc>
          <w:tcPr>
            <w:tcW w:w="1628" w:type="pct"/>
            <w:tcBorders>
              <w:top w:val="single" w:color="000000" w:sz="4" w:space="0"/>
              <w:left w:val="single" w:color="000000" w:sz="4" w:space="0"/>
              <w:bottom w:val="single" w:color="000000" w:sz="4" w:space="0"/>
              <w:right w:val="single" w:color="000000" w:sz="4" w:space="0"/>
            </w:tcBorders>
            <w:vAlign w:val="center"/>
          </w:tcPr>
          <w:p w14:paraId="1A1ABBFA">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交付成果</w:t>
            </w:r>
          </w:p>
        </w:tc>
      </w:tr>
      <w:tr w14:paraId="441CA912">
        <w:tblPrEx>
          <w:tblCellMar>
            <w:top w:w="15" w:type="dxa"/>
            <w:left w:w="15" w:type="dxa"/>
            <w:bottom w:w="15" w:type="dxa"/>
            <w:right w:w="15" w:type="dxa"/>
          </w:tblCellMar>
        </w:tblPrEx>
        <w:trPr>
          <w:trHeight w:val="3285" w:hRule="atLeast"/>
        </w:trPr>
        <w:tc>
          <w:tcPr>
            <w:tcW w:w="856" w:type="pct"/>
            <w:tcBorders>
              <w:top w:val="single" w:color="000000" w:sz="4" w:space="0"/>
              <w:left w:val="single" w:color="000000" w:sz="4" w:space="0"/>
              <w:bottom w:val="single" w:color="000000" w:sz="4" w:space="0"/>
              <w:right w:val="single" w:color="000000" w:sz="4" w:space="0"/>
            </w:tcBorders>
            <w:vAlign w:val="center"/>
          </w:tcPr>
          <w:p w14:paraId="22FD4381">
            <w:pPr>
              <w:jc w:val="center"/>
              <w:textAlignment w:val="center"/>
              <w:rPr>
                <w:rFonts w:ascii="宋体" w:hAnsi="宋体" w:cs="宋体"/>
                <w:color w:val="000000"/>
              </w:rPr>
            </w:pPr>
            <w:r>
              <w:rPr>
                <w:rFonts w:hint="eastAsia" w:ascii="宋体" w:hAnsi="宋体" w:cs="宋体"/>
                <w:color w:val="000000"/>
                <w:lang w:bidi="ar"/>
              </w:rPr>
              <w:t>平台数据分析</w:t>
            </w:r>
          </w:p>
        </w:tc>
        <w:tc>
          <w:tcPr>
            <w:tcW w:w="867" w:type="pct"/>
            <w:tcBorders>
              <w:top w:val="single" w:color="000000" w:sz="4" w:space="0"/>
              <w:left w:val="single" w:color="000000" w:sz="4" w:space="0"/>
              <w:bottom w:val="single" w:color="000000" w:sz="4" w:space="0"/>
              <w:right w:val="single" w:color="000000" w:sz="4" w:space="0"/>
            </w:tcBorders>
            <w:vAlign w:val="center"/>
          </w:tcPr>
          <w:p w14:paraId="0FEE9593">
            <w:pPr>
              <w:jc w:val="center"/>
              <w:textAlignment w:val="center"/>
              <w:rPr>
                <w:rFonts w:ascii="宋体" w:hAnsi="宋体" w:cs="宋体"/>
                <w:color w:val="000000"/>
              </w:rPr>
            </w:pPr>
            <w:r>
              <w:rPr>
                <w:rFonts w:hint="eastAsia" w:ascii="宋体" w:hAnsi="宋体" w:cs="宋体"/>
                <w:color w:val="000000"/>
                <w:lang w:bidi="ar"/>
              </w:rPr>
              <w:t>数据分析支撑</w:t>
            </w:r>
          </w:p>
        </w:tc>
        <w:tc>
          <w:tcPr>
            <w:tcW w:w="1649" w:type="pct"/>
            <w:tcBorders>
              <w:top w:val="single" w:color="000000" w:sz="4" w:space="0"/>
              <w:left w:val="single" w:color="000000" w:sz="4" w:space="0"/>
              <w:bottom w:val="single" w:color="000000" w:sz="4" w:space="0"/>
            </w:tcBorders>
            <w:vAlign w:val="center"/>
          </w:tcPr>
          <w:p w14:paraId="61862200">
            <w:pPr>
              <w:textAlignment w:val="center"/>
              <w:rPr>
                <w:rFonts w:ascii="等线" w:hAnsi="等线" w:eastAsia="等线" w:cs="等线"/>
                <w:color w:val="000000"/>
                <w:lang w:bidi="ar"/>
              </w:rPr>
            </w:pPr>
          </w:p>
          <w:p w14:paraId="2D248729">
            <w:pPr>
              <w:textAlignment w:val="center"/>
              <w:rPr>
                <w:rFonts w:ascii="等线" w:hAnsi="等线" w:eastAsia="等线" w:cs="等线"/>
                <w:color w:val="000000"/>
                <w:lang w:bidi="ar"/>
              </w:rPr>
            </w:pPr>
            <w:r>
              <w:rPr>
                <w:rFonts w:ascii="等线" w:hAnsi="等线" w:eastAsia="等线" w:cs="等线"/>
                <w:color w:val="000000"/>
                <w:lang w:bidi="ar"/>
              </w:rPr>
              <w:t>1.经营模式分析：分析数据库结构、表结构、反编译。</w:t>
            </w:r>
          </w:p>
          <w:p w14:paraId="6CCC31AE">
            <w:pPr>
              <w:textAlignment w:val="center"/>
              <w:rPr>
                <w:rFonts w:ascii="等线" w:hAnsi="等线" w:eastAsia="等线" w:cs="等线"/>
                <w:color w:val="000000"/>
                <w:lang w:bidi="ar"/>
              </w:rPr>
            </w:pPr>
            <w:r>
              <w:rPr>
                <w:rFonts w:ascii="等线" w:hAnsi="等线" w:eastAsia="等线" w:cs="等线"/>
                <w:color w:val="000000"/>
                <w:lang w:bidi="ar"/>
              </w:rPr>
              <w:t>2.会员分析（去重）：会员总览，会员层级分析，会员地理分布情况，各类型（等级）会员分析及地理分布情况，核心人员情况。</w:t>
            </w:r>
          </w:p>
          <w:p w14:paraId="71205EF7">
            <w:pPr>
              <w:textAlignment w:val="center"/>
              <w:rPr>
                <w:rFonts w:ascii="等线" w:hAnsi="等线" w:eastAsia="等线" w:cs="等线"/>
                <w:color w:val="000000"/>
                <w:lang w:bidi="ar"/>
              </w:rPr>
            </w:pPr>
            <w:r>
              <w:rPr>
                <w:rFonts w:ascii="等线" w:hAnsi="等线" w:eastAsia="等线" w:cs="等线"/>
                <w:color w:val="000000"/>
                <w:lang w:bidi="ar"/>
              </w:rPr>
              <w:t>3.平台中资金、积分分析：会员分析平台的积分数据，分析平台的充值数据，分析平台的提现数据，分析平台的未提现数据，分析平台的会员等级数据，资金通道及总量分析。</w:t>
            </w:r>
          </w:p>
          <w:p w14:paraId="6839A844">
            <w:pPr>
              <w:textAlignment w:val="center"/>
              <w:rPr>
                <w:rFonts w:ascii="等线" w:hAnsi="等线" w:eastAsia="等线" w:cs="等线"/>
                <w:color w:val="000000"/>
              </w:rPr>
            </w:pPr>
            <w:r>
              <w:rPr>
                <w:rFonts w:ascii="等线" w:hAnsi="等线" w:eastAsia="等线" w:cs="等线"/>
                <w:color w:val="000000"/>
                <w:lang w:bidi="ar"/>
              </w:rPr>
              <w:t>4.涉稳分析：大额会员及地理分布情况，亏损人员及地理分布情况</w:t>
            </w:r>
          </w:p>
        </w:tc>
        <w:tc>
          <w:tcPr>
            <w:tcW w:w="1628" w:type="pct"/>
            <w:tcBorders>
              <w:top w:val="single" w:color="000000" w:sz="4" w:space="0"/>
              <w:left w:val="single" w:color="000000" w:sz="4" w:space="0"/>
              <w:bottom w:val="single" w:color="000000" w:sz="4" w:space="0"/>
              <w:right w:val="single" w:color="000000" w:sz="4" w:space="0"/>
            </w:tcBorders>
            <w:vAlign w:val="center"/>
          </w:tcPr>
          <w:p w14:paraId="3D149991">
            <w:pPr>
              <w:jc w:val="center"/>
              <w:textAlignment w:val="center"/>
              <w:rPr>
                <w:rFonts w:ascii="等线" w:hAnsi="等线" w:eastAsia="等线" w:cs="等线"/>
                <w:color w:val="000000"/>
              </w:rPr>
            </w:pPr>
            <w:r>
              <w:rPr>
                <w:rFonts w:ascii="等线" w:hAnsi="等线" w:eastAsia="等线" w:cs="等线"/>
                <w:color w:val="000000"/>
                <w:lang w:bidi="ar"/>
              </w:rPr>
              <w:t>经营模式分析结构.docx；会员分析（总览、分布）.docx；会员总表.xlsx；会员层级表.xlsx；核心会员表.xlsx；资金分析.docx；订单.xlsx；大额会员.xlsx；亏损人员.xlsx；</w:t>
            </w:r>
          </w:p>
        </w:tc>
      </w:tr>
    </w:tbl>
    <w:p w14:paraId="4FCDD8F2">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.3</w:t>
      </w:r>
      <w:r>
        <w:rPr>
          <w:rFonts w:hint="eastAsia" w:ascii="宋体" w:hAnsi="宋体" w:cs="宋体"/>
          <w:color w:val="000000"/>
          <w:sz w:val="24"/>
        </w:rPr>
        <w:t>电子数据司法鉴定报告</w:t>
      </w:r>
    </w:p>
    <w:tbl>
      <w:tblPr>
        <w:tblStyle w:val="15"/>
        <w:tblW w:w="9030" w:type="dxa"/>
        <w:tblInd w:w="0" w:type="dxa"/>
        <w:tblLayout w:type="fixed"/>
        <w:tblCellMar>
          <w:top w:w="15" w:type="dxa"/>
          <w:left w:w="15" w:type="dxa"/>
          <w:bottom w:w="15" w:type="dxa"/>
          <w:right w:w="15" w:type="dxa"/>
        </w:tblCellMar>
      </w:tblPr>
      <w:tblGrid>
        <w:gridCol w:w="1517"/>
        <w:gridCol w:w="1701"/>
        <w:gridCol w:w="2126"/>
        <w:gridCol w:w="3686"/>
      </w:tblGrid>
      <w:tr w14:paraId="3536B4A2">
        <w:trPr>
          <w:trHeight w:val="72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400F9420">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服务类别</w:t>
            </w:r>
          </w:p>
        </w:tc>
        <w:tc>
          <w:tcPr>
            <w:tcW w:w="1701" w:type="dxa"/>
            <w:tcBorders>
              <w:top w:val="single" w:color="000000" w:sz="4" w:space="0"/>
              <w:left w:val="single" w:color="000000" w:sz="4" w:space="0"/>
              <w:bottom w:val="single" w:color="000000" w:sz="4" w:space="0"/>
              <w:right w:val="single" w:color="000000" w:sz="4" w:space="0"/>
            </w:tcBorders>
            <w:vAlign w:val="center"/>
          </w:tcPr>
          <w:p w14:paraId="5D410362">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服务项目</w:t>
            </w:r>
          </w:p>
        </w:tc>
        <w:tc>
          <w:tcPr>
            <w:tcW w:w="2126" w:type="dxa"/>
            <w:tcBorders>
              <w:top w:val="single" w:color="000000" w:sz="4" w:space="0"/>
              <w:left w:val="single" w:color="000000" w:sz="4" w:space="0"/>
              <w:bottom w:val="single" w:color="000000" w:sz="4" w:space="0"/>
              <w:right w:val="single" w:color="000000" w:sz="4" w:space="0"/>
            </w:tcBorders>
            <w:vAlign w:val="center"/>
          </w:tcPr>
          <w:p w14:paraId="5305A140">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乙方服务内容</w:t>
            </w:r>
          </w:p>
        </w:tc>
        <w:tc>
          <w:tcPr>
            <w:tcW w:w="3686" w:type="dxa"/>
            <w:tcBorders>
              <w:top w:val="single" w:color="000000" w:sz="4" w:space="0"/>
              <w:left w:val="single" w:color="000000" w:sz="4" w:space="0"/>
              <w:bottom w:val="single" w:color="000000" w:sz="4" w:space="0"/>
              <w:right w:val="single" w:color="000000" w:sz="4" w:space="0"/>
            </w:tcBorders>
            <w:vAlign w:val="center"/>
          </w:tcPr>
          <w:p w14:paraId="68742025">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交付成果</w:t>
            </w:r>
          </w:p>
        </w:tc>
      </w:tr>
      <w:tr w14:paraId="0CEE394C">
        <w:tblPrEx>
          <w:tblCellMar>
            <w:top w:w="15" w:type="dxa"/>
            <w:left w:w="15" w:type="dxa"/>
            <w:bottom w:w="15" w:type="dxa"/>
            <w:right w:w="15" w:type="dxa"/>
          </w:tblCellMar>
        </w:tblPrEx>
        <w:trPr>
          <w:trHeight w:val="132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0F0C9FCE">
            <w:pPr>
              <w:jc w:val="center"/>
              <w:textAlignment w:val="center"/>
              <w:rPr>
                <w:rFonts w:ascii="宋体" w:hAnsi="宋体" w:cs="宋体"/>
                <w:color w:val="000000"/>
              </w:rPr>
            </w:pPr>
            <w:r>
              <w:rPr>
                <w:rFonts w:hint="eastAsia" w:ascii="宋体" w:hAnsi="宋体" w:cs="宋体"/>
                <w:color w:val="000000"/>
                <w:lang w:bidi="ar"/>
              </w:rPr>
              <w:t>数据平台司法鉴定报告</w:t>
            </w:r>
          </w:p>
        </w:tc>
        <w:tc>
          <w:tcPr>
            <w:tcW w:w="1701" w:type="dxa"/>
            <w:tcBorders>
              <w:top w:val="single" w:color="000000" w:sz="4" w:space="0"/>
              <w:left w:val="single" w:color="000000" w:sz="4" w:space="0"/>
              <w:bottom w:val="single" w:color="000000" w:sz="4" w:space="0"/>
              <w:right w:val="single" w:color="000000" w:sz="4" w:space="0"/>
            </w:tcBorders>
            <w:vAlign w:val="center"/>
          </w:tcPr>
          <w:p w14:paraId="5FE933B4">
            <w:pPr>
              <w:jc w:val="center"/>
              <w:textAlignment w:val="center"/>
              <w:rPr>
                <w:rFonts w:ascii="宋体" w:hAnsi="宋体" w:cs="宋体"/>
                <w:color w:val="000000"/>
              </w:rPr>
            </w:pPr>
            <w:r>
              <w:rPr>
                <w:rFonts w:hint="eastAsia" w:ascii="宋体" w:hAnsi="宋体" w:cs="宋体"/>
                <w:color w:val="000000"/>
                <w:lang w:bidi="ar"/>
              </w:rPr>
              <w:t>数据平台司法鉴定报告</w:t>
            </w:r>
          </w:p>
        </w:tc>
        <w:tc>
          <w:tcPr>
            <w:tcW w:w="2126" w:type="dxa"/>
            <w:tcBorders>
              <w:top w:val="single" w:color="000000" w:sz="4" w:space="0"/>
              <w:left w:val="single" w:color="000000" w:sz="4" w:space="0"/>
              <w:bottom w:val="single" w:color="000000" w:sz="4" w:space="0"/>
              <w:right w:val="single" w:color="000000" w:sz="4" w:space="0"/>
            </w:tcBorders>
            <w:vAlign w:val="center"/>
          </w:tcPr>
          <w:p w14:paraId="57E3AB11">
            <w:pPr>
              <w:jc w:val="center"/>
              <w:textAlignment w:val="center"/>
              <w:rPr>
                <w:rFonts w:ascii="等线" w:hAnsi="等线" w:eastAsia="等线" w:cs="等线"/>
                <w:color w:val="000000"/>
              </w:rPr>
            </w:pPr>
            <w:r>
              <w:rPr>
                <w:rFonts w:ascii="等线" w:hAnsi="等线" w:eastAsia="等线" w:cs="等线"/>
                <w:color w:val="000000"/>
                <w:lang w:bidi="ar"/>
              </w:rPr>
              <w:t>根据分析内容出具司法鉴定报告</w:t>
            </w:r>
          </w:p>
        </w:tc>
        <w:tc>
          <w:tcPr>
            <w:tcW w:w="3686" w:type="dxa"/>
            <w:tcBorders>
              <w:top w:val="single" w:color="000000" w:sz="4" w:space="0"/>
              <w:left w:val="single" w:color="000000" w:sz="4" w:space="0"/>
              <w:bottom w:val="single" w:color="000000" w:sz="4" w:space="0"/>
              <w:right w:val="single" w:color="000000" w:sz="4" w:space="0"/>
            </w:tcBorders>
            <w:vAlign w:val="center"/>
          </w:tcPr>
          <w:p w14:paraId="02E3FCF0">
            <w:pPr>
              <w:jc w:val="center"/>
              <w:textAlignment w:val="center"/>
              <w:rPr>
                <w:rFonts w:ascii="等线" w:hAnsi="等线" w:eastAsia="等线" w:cs="等线"/>
                <w:color w:val="000000"/>
              </w:rPr>
            </w:pPr>
            <w:r>
              <w:rPr>
                <w:rFonts w:ascii="等线" w:hAnsi="等线" w:eastAsia="等线" w:cs="等线"/>
                <w:color w:val="000000"/>
                <w:lang w:bidi="ar"/>
              </w:rPr>
              <w:t>数据平台司法鉴定报告</w:t>
            </w:r>
          </w:p>
        </w:tc>
      </w:tr>
      <w:tr w14:paraId="316CB867">
        <w:tblPrEx>
          <w:tblCellMar>
            <w:top w:w="15" w:type="dxa"/>
            <w:left w:w="15" w:type="dxa"/>
            <w:bottom w:w="15" w:type="dxa"/>
            <w:right w:w="15" w:type="dxa"/>
          </w:tblCellMar>
        </w:tblPrEx>
        <w:trPr>
          <w:trHeight w:val="825"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223AAA9D">
            <w:pPr>
              <w:jc w:val="center"/>
              <w:textAlignment w:val="center"/>
              <w:rPr>
                <w:rFonts w:ascii="宋体" w:hAnsi="宋体" w:cs="宋体"/>
                <w:color w:val="000000"/>
              </w:rPr>
            </w:pPr>
            <w:r>
              <w:rPr>
                <w:rFonts w:hint="eastAsia" w:ascii="宋体" w:hAnsi="宋体" w:cs="宋体"/>
                <w:color w:val="000000"/>
                <w:lang w:bidi="ar"/>
              </w:rPr>
              <w:t>个人鉴定报告</w:t>
            </w:r>
          </w:p>
        </w:tc>
        <w:tc>
          <w:tcPr>
            <w:tcW w:w="1701" w:type="dxa"/>
            <w:tcBorders>
              <w:top w:val="single" w:color="000000" w:sz="4" w:space="0"/>
              <w:left w:val="single" w:color="000000" w:sz="4" w:space="0"/>
              <w:bottom w:val="single" w:color="000000" w:sz="4" w:space="0"/>
              <w:right w:val="single" w:color="000000" w:sz="4" w:space="0"/>
            </w:tcBorders>
            <w:vAlign w:val="center"/>
          </w:tcPr>
          <w:p w14:paraId="7D159547">
            <w:pPr>
              <w:jc w:val="center"/>
              <w:textAlignment w:val="center"/>
              <w:rPr>
                <w:rFonts w:ascii="宋体" w:hAnsi="宋体" w:cs="宋体"/>
                <w:color w:val="000000"/>
              </w:rPr>
            </w:pPr>
            <w:r>
              <w:rPr>
                <w:rFonts w:hint="eastAsia" w:ascii="宋体" w:hAnsi="宋体" w:cs="宋体"/>
                <w:color w:val="000000"/>
                <w:lang w:bidi="ar"/>
              </w:rPr>
              <w:t>涉案嫌疑人个人鉴定报告</w:t>
            </w:r>
          </w:p>
        </w:tc>
        <w:tc>
          <w:tcPr>
            <w:tcW w:w="2126" w:type="dxa"/>
            <w:tcBorders>
              <w:top w:val="single" w:color="000000" w:sz="4" w:space="0"/>
              <w:left w:val="single" w:color="000000" w:sz="4" w:space="0"/>
              <w:bottom w:val="single" w:color="000000" w:sz="4" w:space="0"/>
              <w:right w:val="single" w:color="000000" w:sz="4" w:space="0"/>
            </w:tcBorders>
            <w:vAlign w:val="center"/>
          </w:tcPr>
          <w:p w14:paraId="5BA4CBA4">
            <w:pPr>
              <w:jc w:val="center"/>
              <w:textAlignment w:val="center"/>
              <w:rPr>
                <w:rFonts w:ascii="等线" w:hAnsi="等线" w:eastAsia="等线" w:cs="等线"/>
                <w:color w:val="000000"/>
              </w:rPr>
            </w:pPr>
            <w:r>
              <w:rPr>
                <w:rFonts w:ascii="等线" w:hAnsi="等线" w:eastAsia="等线" w:cs="等线"/>
                <w:color w:val="000000"/>
                <w:lang w:bidi="ar"/>
              </w:rPr>
              <w:t>根据分析内容出具司法鉴定报告</w:t>
            </w:r>
          </w:p>
        </w:tc>
        <w:tc>
          <w:tcPr>
            <w:tcW w:w="3686" w:type="dxa"/>
            <w:tcBorders>
              <w:top w:val="single" w:color="000000" w:sz="4" w:space="0"/>
              <w:left w:val="single" w:color="000000" w:sz="4" w:space="0"/>
              <w:bottom w:val="single" w:color="000000" w:sz="4" w:space="0"/>
              <w:right w:val="single" w:color="000000" w:sz="4" w:space="0"/>
            </w:tcBorders>
            <w:vAlign w:val="center"/>
          </w:tcPr>
          <w:p w14:paraId="1EB0466A">
            <w:pPr>
              <w:jc w:val="center"/>
              <w:textAlignment w:val="center"/>
              <w:rPr>
                <w:rFonts w:ascii="等线" w:hAnsi="等线" w:eastAsia="等线" w:cs="等线"/>
                <w:color w:val="000000"/>
              </w:rPr>
            </w:pPr>
            <w:r>
              <w:rPr>
                <w:rFonts w:ascii="等线" w:hAnsi="等线" w:eastAsia="等线" w:cs="等线"/>
                <w:color w:val="000000"/>
                <w:lang w:bidi="ar"/>
              </w:rPr>
              <w:t>涉案嫌疑人个人司法鉴定报告</w:t>
            </w:r>
          </w:p>
        </w:tc>
      </w:tr>
    </w:tbl>
    <w:p w14:paraId="53B648DF">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.4</w:t>
      </w:r>
      <w:r>
        <w:rPr>
          <w:rFonts w:hint="eastAsia" w:ascii="宋体" w:hAnsi="宋体" w:cs="宋体"/>
          <w:color w:val="000000"/>
          <w:sz w:val="24"/>
        </w:rPr>
        <w:t>资金穿透分析</w:t>
      </w:r>
    </w:p>
    <w:tbl>
      <w:tblPr>
        <w:tblStyle w:val="15"/>
        <w:tblW w:w="9030" w:type="dxa"/>
        <w:tblInd w:w="0" w:type="dxa"/>
        <w:tblLayout w:type="fixed"/>
        <w:tblCellMar>
          <w:top w:w="15" w:type="dxa"/>
          <w:left w:w="15" w:type="dxa"/>
          <w:bottom w:w="15" w:type="dxa"/>
          <w:right w:w="15" w:type="dxa"/>
        </w:tblCellMar>
      </w:tblPr>
      <w:tblGrid>
        <w:gridCol w:w="1517"/>
        <w:gridCol w:w="1701"/>
        <w:gridCol w:w="3206"/>
        <w:gridCol w:w="2606"/>
      </w:tblGrid>
      <w:tr w14:paraId="1575EF57">
        <w:tblPrEx>
          <w:tblCellMar>
            <w:top w:w="15" w:type="dxa"/>
            <w:left w:w="15" w:type="dxa"/>
            <w:bottom w:w="15" w:type="dxa"/>
            <w:right w:w="15" w:type="dxa"/>
          </w:tblCellMar>
        </w:tblPrEx>
        <w:trPr>
          <w:trHeight w:val="72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3364EBAC">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服务类别</w:t>
            </w:r>
          </w:p>
        </w:tc>
        <w:tc>
          <w:tcPr>
            <w:tcW w:w="1701" w:type="dxa"/>
            <w:tcBorders>
              <w:top w:val="single" w:color="000000" w:sz="4" w:space="0"/>
              <w:left w:val="single" w:color="000000" w:sz="4" w:space="0"/>
              <w:bottom w:val="single" w:color="000000" w:sz="4" w:space="0"/>
              <w:right w:val="single" w:color="000000" w:sz="4" w:space="0"/>
            </w:tcBorders>
            <w:vAlign w:val="center"/>
          </w:tcPr>
          <w:p w14:paraId="667E6D1E">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服务项目</w:t>
            </w:r>
          </w:p>
        </w:tc>
        <w:tc>
          <w:tcPr>
            <w:tcW w:w="3206" w:type="dxa"/>
            <w:tcBorders>
              <w:top w:val="single" w:color="000000" w:sz="4" w:space="0"/>
              <w:left w:val="single" w:color="000000" w:sz="4" w:space="0"/>
              <w:bottom w:val="single" w:color="000000" w:sz="4" w:space="0"/>
              <w:right w:val="single" w:color="000000" w:sz="4" w:space="0"/>
            </w:tcBorders>
            <w:vAlign w:val="center"/>
          </w:tcPr>
          <w:p w14:paraId="256406DE">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乙方服务内容</w:t>
            </w:r>
          </w:p>
        </w:tc>
        <w:tc>
          <w:tcPr>
            <w:tcW w:w="2606" w:type="dxa"/>
            <w:tcBorders>
              <w:top w:val="single" w:color="000000" w:sz="4" w:space="0"/>
              <w:left w:val="single" w:color="000000" w:sz="4" w:space="0"/>
              <w:bottom w:val="single" w:color="000000" w:sz="4" w:space="0"/>
              <w:right w:val="single" w:color="000000" w:sz="4" w:space="0"/>
            </w:tcBorders>
            <w:vAlign w:val="center"/>
          </w:tcPr>
          <w:p w14:paraId="79D0D505">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交付成果</w:t>
            </w:r>
          </w:p>
        </w:tc>
      </w:tr>
      <w:tr w14:paraId="308A3DB5">
        <w:tblPrEx>
          <w:tblCellMar>
            <w:top w:w="15" w:type="dxa"/>
            <w:left w:w="15" w:type="dxa"/>
            <w:bottom w:w="15" w:type="dxa"/>
            <w:right w:w="15" w:type="dxa"/>
          </w:tblCellMar>
        </w:tblPrEx>
        <w:trPr>
          <w:trHeight w:val="132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68CA8AF2">
            <w:pPr>
              <w:jc w:val="center"/>
              <w:textAlignment w:val="center"/>
              <w:rPr>
                <w:rFonts w:ascii="宋体" w:hAnsi="宋体" w:cs="宋体"/>
                <w:color w:val="000000"/>
              </w:rPr>
            </w:pPr>
            <w:r>
              <w:rPr>
                <w:rFonts w:ascii="宋体" w:hAnsi="宋体" w:eastAsia="宋体" w:cs="宋体"/>
                <w:color w:val="000000"/>
              </w:rPr>
              <w:t>涉案资金数据分析</w:t>
            </w:r>
          </w:p>
        </w:tc>
        <w:tc>
          <w:tcPr>
            <w:tcW w:w="1701" w:type="dxa"/>
            <w:tcBorders>
              <w:top w:val="single" w:color="000000" w:sz="4" w:space="0"/>
              <w:left w:val="single" w:color="000000" w:sz="4" w:space="0"/>
              <w:bottom w:val="single" w:color="000000" w:sz="4" w:space="0"/>
              <w:right w:val="single" w:color="000000" w:sz="4" w:space="0"/>
            </w:tcBorders>
            <w:vAlign w:val="center"/>
          </w:tcPr>
          <w:p w14:paraId="32BB665B">
            <w:pPr>
              <w:jc w:val="center"/>
              <w:textAlignment w:val="center"/>
              <w:rPr>
                <w:rFonts w:ascii="宋体" w:hAnsi="宋体" w:cs="宋体"/>
                <w:color w:val="000000"/>
              </w:rPr>
            </w:pPr>
            <w:r>
              <w:rPr>
                <w:rFonts w:ascii="宋体" w:hAnsi="宋体" w:cs="宋体"/>
                <w:color w:val="000000"/>
                <w:lang w:bidi="ar"/>
              </w:rPr>
              <w:t>涉案资金分析</w:t>
            </w:r>
          </w:p>
        </w:tc>
        <w:tc>
          <w:tcPr>
            <w:tcW w:w="3206" w:type="dxa"/>
            <w:tcBorders>
              <w:top w:val="single" w:color="000000" w:sz="4" w:space="0"/>
              <w:left w:val="single" w:color="000000" w:sz="4" w:space="0"/>
              <w:bottom w:val="single" w:color="000000" w:sz="4" w:space="0"/>
              <w:right w:val="single" w:color="000000" w:sz="4" w:space="0"/>
            </w:tcBorders>
            <w:vAlign w:val="center"/>
          </w:tcPr>
          <w:p w14:paraId="002F55C8">
            <w:pPr>
              <w:rPr>
                <w:rFonts w:ascii="Calibri" w:hAnsi="Calibri" w:eastAsia="宋体" w:cs="Times New Roman"/>
                <w:color w:val="000000"/>
              </w:rPr>
            </w:pPr>
            <w:r>
              <w:rPr>
                <w:rFonts w:hint="eastAsia" w:ascii="Calibri" w:hAnsi="Calibri" w:eastAsia="宋体" w:cs="Times New Roman"/>
                <w:color w:val="000000"/>
              </w:rPr>
              <w:t>1</w:t>
            </w:r>
            <w:r>
              <w:rPr>
                <w:rFonts w:ascii="Calibri" w:hAnsi="Calibri" w:eastAsia="宋体" w:cs="Times New Roman"/>
                <w:color w:val="000000"/>
              </w:rPr>
              <w:t>.</w:t>
            </w:r>
            <w:r>
              <w:rPr>
                <w:rFonts w:hint="eastAsia" w:ascii="Calibri" w:hAnsi="Calibri" w:eastAsia="宋体" w:cs="Times New Roman"/>
                <w:color w:val="000000"/>
              </w:rPr>
              <w:t>入库</w:t>
            </w:r>
            <w:r>
              <w:rPr>
                <w:rFonts w:ascii="Calibri" w:hAnsi="Calibri" w:eastAsia="宋体" w:cs="Times New Roman"/>
                <w:color w:val="000000"/>
              </w:rPr>
              <w:t>：</w:t>
            </w:r>
          </w:p>
          <w:p w14:paraId="1697F4F7">
            <w:pPr>
              <w:numPr>
                <w:ilvl w:val="0"/>
                <w:numId w:val="6"/>
              </w:numPr>
              <w:ind w:firstLine="420"/>
              <w:rPr>
                <w:rFonts w:ascii="Calibri" w:hAnsi="Calibri" w:eastAsia="宋体" w:cs="Times New Roman"/>
                <w:color w:val="000000"/>
              </w:rPr>
            </w:pPr>
            <w:r>
              <w:rPr>
                <w:rFonts w:hint="eastAsia" w:ascii="Calibri" w:hAnsi="Calibri" w:eastAsia="宋体" w:cs="Times New Roman"/>
                <w:color w:val="000000"/>
              </w:rPr>
              <w:t>资金流水表格查验</w:t>
            </w:r>
            <w:r>
              <w:rPr>
                <w:rFonts w:ascii="Calibri" w:hAnsi="Calibri" w:eastAsia="宋体" w:cs="Times New Roman"/>
                <w:color w:val="000000"/>
              </w:rPr>
              <w:t>；</w:t>
            </w:r>
          </w:p>
          <w:p w14:paraId="7A78913C">
            <w:pPr>
              <w:numPr>
                <w:ilvl w:val="0"/>
                <w:numId w:val="6"/>
              </w:numPr>
              <w:ind w:firstLine="420"/>
              <w:rPr>
                <w:rFonts w:ascii="Calibri" w:hAnsi="Calibri" w:eastAsia="宋体" w:cs="Times New Roman"/>
                <w:color w:val="000000"/>
              </w:rPr>
            </w:pPr>
            <w:r>
              <w:rPr>
                <w:rFonts w:hint="eastAsia" w:ascii="Calibri" w:hAnsi="Calibri" w:eastAsia="宋体" w:cs="Times New Roman"/>
                <w:color w:val="000000"/>
              </w:rPr>
              <w:t>数据表格统一格式化</w:t>
            </w:r>
            <w:r>
              <w:rPr>
                <w:rFonts w:ascii="Calibri" w:hAnsi="Calibri" w:eastAsia="宋体" w:cs="Times New Roman"/>
                <w:color w:val="000000"/>
              </w:rPr>
              <w:t>；</w:t>
            </w:r>
          </w:p>
          <w:p w14:paraId="3E6DB866">
            <w:pPr>
              <w:numPr>
                <w:ilvl w:val="0"/>
                <w:numId w:val="6"/>
              </w:numPr>
              <w:ind w:firstLine="420"/>
              <w:rPr>
                <w:rFonts w:ascii="Calibri" w:hAnsi="Calibri" w:eastAsia="宋体" w:cs="Times New Roman"/>
                <w:color w:val="000000"/>
              </w:rPr>
            </w:pPr>
            <w:r>
              <w:rPr>
                <w:rFonts w:hint="eastAsia" w:ascii="Calibri" w:hAnsi="Calibri" w:eastAsia="宋体" w:cs="Times New Roman"/>
                <w:color w:val="000000"/>
              </w:rPr>
              <w:t>数据内容格式化</w:t>
            </w:r>
            <w:r>
              <w:rPr>
                <w:rFonts w:ascii="Calibri" w:hAnsi="Calibri" w:eastAsia="宋体" w:cs="Times New Roman"/>
                <w:color w:val="000000"/>
              </w:rPr>
              <w:t>；</w:t>
            </w:r>
          </w:p>
          <w:p w14:paraId="4C13A75F">
            <w:pPr>
              <w:numPr>
                <w:ilvl w:val="0"/>
                <w:numId w:val="6"/>
              </w:numPr>
              <w:ind w:firstLine="420"/>
              <w:rPr>
                <w:rFonts w:ascii="Calibri" w:hAnsi="Calibri" w:eastAsia="宋体" w:cs="Times New Roman"/>
                <w:color w:val="000000"/>
              </w:rPr>
            </w:pPr>
            <w:r>
              <w:rPr>
                <w:rFonts w:hint="eastAsia" w:ascii="Calibri" w:hAnsi="Calibri" w:eastAsia="宋体" w:cs="Times New Roman"/>
                <w:color w:val="000000"/>
              </w:rPr>
              <w:t>格式化入库</w:t>
            </w:r>
            <w:r>
              <w:rPr>
                <w:rFonts w:ascii="Calibri" w:hAnsi="Calibri" w:eastAsia="宋体" w:cs="Times New Roman"/>
                <w:color w:val="000000"/>
              </w:rPr>
              <w:t>。</w:t>
            </w:r>
          </w:p>
          <w:p w14:paraId="2AC67D33">
            <w:pPr>
              <w:rPr>
                <w:rFonts w:ascii="Calibri" w:hAnsi="Calibri" w:eastAsia="宋体" w:cs="Times New Roman"/>
                <w:color w:val="000000"/>
              </w:rPr>
            </w:pPr>
            <w:r>
              <w:rPr>
                <w:rFonts w:hint="eastAsia" w:ascii="Calibri" w:hAnsi="Calibri" w:eastAsia="宋体" w:cs="Times New Roman"/>
                <w:color w:val="000000"/>
              </w:rPr>
              <w:t>2</w:t>
            </w:r>
            <w:r>
              <w:rPr>
                <w:rFonts w:ascii="Calibri" w:hAnsi="Calibri" w:eastAsia="宋体" w:cs="Times New Roman"/>
                <w:color w:val="000000"/>
              </w:rPr>
              <w:t>.</w:t>
            </w:r>
            <w:r>
              <w:rPr>
                <w:rFonts w:hint="eastAsia" w:ascii="Calibri" w:hAnsi="Calibri" w:eastAsia="宋体" w:cs="Times New Roman"/>
                <w:color w:val="000000"/>
              </w:rPr>
              <w:t>数据分析统计</w:t>
            </w:r>
            <w:r>
              <w:rPr>
                <w:rFonts w:ascii="Calibri" w:hAnsi="Calibri" w:eastAsia="宋体" w:cs="Times New Roman"/>
                <w:color w:val="000000"/>
              </w:rPr>
              <w:t>：</w:t>
            </w:r>
          </w:p>
          <w:p w14:paraId="372BDBA0">
            <w:pPr>
              <w:numPr>
                <w:ilvl w:val="0"/>
                <w:numId w:val="7"/>
              </w:numPr>
              <w:ind w:firstLine="420"/>
              <w:rPr>
                <w:rFonts w:ascii="Calibri" w:hAnsi="Calibri" w:eastAsia="宋体" w:cs="Times New Roman"/>
                <w:color w:val="000000"/>
              </w:rPr>
            </w:pPr>
            <w:r>
              <w:rPr>
                <w:rFonts w:hint="eastAsia" w:ascii="Calibri" w:hAnsi="Calibri" w:eastAsia="宋体" w:cs="Times New Roman"/>
                <w:color w:val="000000"/>
              </w:rPr>
              <w:t>资金明细补全数据缺失重要部分</w:t>
            </w:r>
            <w:r>
              <w:rPr>
                <w:rFonts w:ascii="Calibri" w:hAnsi="Calibri" w:eastAsia="宋体" w:cs="Times New Roman"/>
                <w:color w:val="000000"/>
              </w:rPr>
              <w:t>；</w:t>
            </w:r>
          </w:p>
          <w:p w14:paraId="70C8D43D">
            <w:pPr>
              <w:numPr>
                <w:ilvl w:val="0"/>
                <w:numId w:val="7"/>
              </w:numPr>
              <w:ind w:firstLine="420"/>
              <w:rPr>
                <w:rFonts w:ascii="Calibri" w:hAnsi="Calibri" w:eastAsia="宋体" w:cs="Times New Roman"/>
                <w:color w:val="000000"/>
              </w:rPr>
            </w:pPr>
            <w:r>
              <w:rPr>
                <w:rFonts w:hint="eastAsia" w:ascii="Calibri" w:hAnsi="Calibri" w:eastAsia="宋体" w:cs="Times New Roman"/>
                <w:color w:val="000000"/>
              </w:rPr>
              <w:t>账号补全数据缺失部分</w:t>
            </w:r>
            <w:r>
              <w:rPr>
                <w:rFonts w:ascii="Calibri" w:hAnsi="Calibri" w:eastAsia="宋体" w:cs="Times New Roman"/>
                <w:color w:val="000000"/>
              </w:rPr>
              <w:t>；</w:t>
            </w:r>
          </w:p>
          <w:p w14:paraId="31A30225">
            <w:pPr>
              <w:numPr>
                <w:ilvl w:val="0"/>
                <w:numId w:val="7"/>
              </w:numPr>
              <w:ind w:firstLine="420"/>
              <w:rPr>
                <w:rFonts w:ascii="Calibri" w:hAnsi="Calibri" w:eastAsia="宋体" w:cs="Times New Roman"/>
                <w:color w:val="000000"/>
              </w:rPr>
            </w:pPr>
            <w:r>
              <w:rPr>
                <w:rFonts w:hint="eastAsia" w:ascii="Calibri" w:hAnsi="Calibri" w:eastAsia="宋体" w:cs="Times New Roman"/>
                <w:color w:val="000000"/>
              </w:rPr>
              <w:t>数据按维度统计分析</w:t>
            </w:r>
            <w:r>
              <w:rPr>
                <w:rFonts w:ascii="Calibri" w:hAnsi="Calibri" w:eastAsia="宋体" w:cs="Times New Roman"/>
                <w:color w:val="000000"/>
              </w:rPr>
              <w:t>；</w:t>
            </w:r>
          </w:p>
          <w:p w14:paraId="6F4CD2A3">
            <w:pPr>
              <w:numPr>
                <w:ilvl w:val="0"/>
                <w:numId w:val="7"/>
              </w:numPr>
              <w:ind w:firstLine="420"/>
              <w:rPr>
                <w:rFonts w:ascii="Calibri" w:hAnsi="Calibri" w:eastAsia="宋体" w:cs="Times New Roman"/>
                <w:color w:val="000000"/>
              </w:rPr>
            </w:pPr>
            <w:r>
              <w:rPr>
                <w:rFonts w:hint="eastAsia" w:ascii="Calibri" w:hAnsi="Calibri" w:eastAsia="宋体" w:cs="Times New Roman"/>
                <w:color w:val="000000"/>
              </w:rPr>
              <w:t>去重</w:t>
            </w:r>
            <w:r>
              <w:rPr>
                <w:rFonts w:ascii="Calibri" w:hAnsi="Calibri" w:eastAsia="宋体" w:cs="Times New Roman"/>
                <w:color w:val="000000"/>
              </w:rPr>
              <w:t>。</w:t>
            </w:r>
          </w:p>
          <w:p w14:paraId="2B747469">
            <w:pPr>
              <w:numPr>
                <w:ilvl w:val="0"/>
                <w:numId w:val="8"/>
              </w:numPr>
              <w:rPr>
                <w:rFonts w:ascii="Calibri" w:hAnsi="Calibri" w:eastAsia="宋体" w:cs="Times New Roman"/>
                <w:color w:val="000000"/>
              </w:rPr>
            </w:pPr>
            <w:r>
              <w:rPr>
                <w:rFonts w:hint="eastAsia" w:ascii="Calibri" w:hAnsi="Calibri" w:eastAsia="宋体" w:cs="Times New Roman"/>
                <w:color w:val="000000"/>
              </w:rPr>
              <w:t>分析重点人</w:t>
            </w:r>
            <w:r>
              <w:rPr>
                <w:rFonts w:ascii="Calibri" w:hAnsi="Calibri" w:eastAsia="宋体" w:cs="Times New Roman"/>
                <w:color w:val="000000"/>
              </w:rPr>
              <w:t>员</w:t>
            </w:r>
            <w:r>
              <w:rPr>
                <w:rFonts w:hint="eastAsia" w:ascii="Calibri" w:hAnsi="Calibri" w:eastAsia="宋体" w:cs="Times New Roman"/>
                <w:color w:val="000000"/>
              </w:rPr>
              <w:t>的取现资金和交易资金图。分析资金流水关系，重点人物分析报告，重点人物资金流向关系图</w:t>
            </w:r>
            <w:r>
              <w:rPr>
                <w:rFonts w:ascii="Calibri" w:hAnsi="Calibri" w:eastAsia="宋体" w:cs="Times New Roman"/>
                <w:color w:val="000000"/>
              </w:rPr>
              <w:t>。</w:t>
            </w:r>
          </w:p>
          <w:p w14:paraId="520F9B48">
            <w:pPr>
              <w:numPr>
                <w:ilvl w:val="0"/>
                <w:numId w:val="8"/>
              </w:numPr>
              <w:rPr>
                <w:rFonts w:ascii="Calibri" w:hAnsi="Calibri" w:eastAsia="宋体" w:cs="Times New Roman"/>
                <w:color w:val="000000"/>
              </w:rPr>
            </w:pPr>
            <w:r>
              <w:rPr>
                <w:rFonts w:hint="eastAsia" w:ascii="Calibri" w:hAnsi="Calibri" w:eastAsia="宋体" w:cs="Times New Roman"/>
                <w:color w:val="000000"/>
              </w:rPr>
              <w:t>分析</w:t>
            </w:r>
            <w:r>
              <w:rPr>
                <w:rFonts w:ascii="Calibri" w:hAnsi="Calibri" w:eastAsia="宋体" w:cs="Times New Roman"/>
                <w:color w:val="000000"/>
              </w:rPr>
              <w:t>企业</w:t>
            </w:r>
            <w:r>
              <w:rPr>
                <w:rFonts w:hint="eastAsia" w:ascii="Calibri" w:hAnsi="Calibri" w:eastAsia="宋体" w:cs="Times New Roman"/>
                <w:color w:val="000000"/>
              </w:rPr>
              <w:t>与重点人的关系图，</w:t>
            </w:r>
            <w:r>
              <w:rPr>
                <w:rFonts w:ascii="Calibri" w:hAnsi="Calibri" w:eastAsia="宋体" w:cs="Times New Roman"/>
                <w:color w:val="000000"/>
              </w:rPr>
              <w:t>企业</w:t>
            </w:r>
            <w:r>
              <w:rPr>
                <w:rFonts w:hint="eastAsia" w:ascii="Calibri" w:hAnsi="Calibri" w:eastAsia="宋体" w:cs="Times New Roman"/>
                <w:color w:val="000000"/>
              </w:rPr>
              <w:t>与重点人的资金关系。</w:t>
            </w:r>
          </w:p>
          <w:p w14:paraId="0CF4C323">
            <w:pPr>
              <w:numPr>
                <w:ilvl w:val="0"/>
                <w:numId w:val="8"/>
              </w:numPr>
              <w:rPr>
                <w:rFonts w:ascii="Calibri" w:hAnsi="Calibri" w:eastAsia="宋体" w:cs="Times New Roman"/>
                <w:color w:val="000000"/>
              </w:rPr>
            </w:pPr>
            <w:r>
              <w:rPr>
                <w:rFonts w:hint="eastAsia" w:ascii="Calibri" w:hAnsi="Calibri" w:eastAsia="宋体" w:cs="Times New Roman"/>
                <w:color w:val="000000"/>
              </w:rPr>
              <w:t>分析调大额单进单出的数据，资金特征, 小金额可能存在走账情况。</w:t>
            </w:r>
          </w:p>
          <w:p w14:paraId="0723C091">
            <w:pPr>
              <w:numPr>
                <w:ilvl w:val="0"/>
                <w:numId w:val="8"/>
              </w:numPr>
              <w:rPr>
                <w:rFonts w:ascii="Calibri" w:hAnsi="Calibri" w:eastAsia="宋体" w:cs="Times New Roman"/>
                <w:color w:val="000000"/>
              </w:rPr>
            </w:pPr>
            <w:r>
              <w:rPr>
                <w:rFonts w:hint="eastAsia" w:ascii="Calibri" w:hAnsi="Calibri" w:eastAsia="宋体" w:cs="Times New Roman"/>
                <w:color w:val="000000"/>
              </w:rPr>
              <w:t>分析存取现交易异常账号。</w:t>
            </w:r>
          </w:p>
          <w:p w14:paraId="65F71C4F">
            <w:pPr>
              <w:numPr>
                <w:ilvl w:val="0"/>
                <w:numId w:val="8"/>
              </w:numPr>
              <w:rPr>
                <w:rFonts w:ascii="Calibri" w:hAnsi="Calibri" w:eastAsia="宋体" w:cs="Times New Roman"/>
                <w:color w:val="000000"/>
              </w:rPr>
            </w:pPr>
            <w:r>
              <w:rPr>
                <w:rFonts w:hint="eastAsia" w:ascii="Calibri" w:hAnsi="Calibri" w:eastAsia="宋体" w:cs="Times New Roman"/>
                <w:color w:val="000000"/>
              </w:rPr>
              <w:t>同IP同MAC交易的情况。（筛选重点人物异常关系）</w:t>
            </w:r>
          </w:p>
          <w:p w14:paraId="61372B3E">
            <w:pPr>
              <w:numPr>
                <w:ilvl w:val="0"/>
                <w:numId w:val="8"/>
              </w:numPr>
              <w:rPr>
                <w:rFonts w:ascii="Calibri" w:hAnsi="Calibri" w:eastAsia="宋体" w:cs="Times New Roman"/>
                <w:color w:val="000000"/>
              </w:rPr>
            </w:pPr>
            <w:r>
              <w:rPr>
                <w:rFonts w:hint="eastAsia" w:ascii="Calibri" w:hAnsi="Calibri" w:eastAsia="宋体" w:cs="Times New Roman"/>
                <w:color w:val="000000"/>
              </w:rPr>
              <w:t>重点人物现金交易前三，总资金流水前三分析</w:t>
            </w:r>
            <w:r>
              <w:rPr>
                <w:rFonts w:ascii="Calibri" w:hAnsi="Calibri" w:eastAsia="宋体" w:cs="Times New Roman"/>
                <w:color w:val="000000"/>
              </w:rPr>
              <w:t>。</w:t>
            </w:r>
            <w:r>
              <w:rPr>
                <w:rFonts w:hint="eastAsia" w:ascii="Calibri" w:hAnsi="Calibri" w:eastAsia="宋体" w:cs="Times New Roman"/>
                <w:color w:val="000000"/>
              </w:rPr>
              <w:t>所有重点人物之间资金流水形成的关系图</w:t>
            </w:r>
            <w:r>
              <w:rPr>
                <w:rFonts w:ascii="Calibri" w:hAnsi="Calibri" w:eastAsia="宋体" w:cs="Times New Roman"/>
                <w:color w:val="000000"/>
              </w:rPr>
              <w:t>。</w:t>
            </w:r>
          </w:p>
          <w:p w14:paraId="70625606">
            <w:pPr>
              <w:numPr>
                <w:ilvl w:val="0"/>
                <w:numId w:val="8"/>
              </w:numPr>
              <w:rPr>
                <w:rFonts w:ascii="Calibri" w:hAnsi="Calibri" w:eastAsia="宋体" w:cs="Times New Roman"/>
                <w:color w:val="000000"/>
              </w:rPr>
            </w:pPr>
            <w:r>
              <w:rPr>
                <w:rFonts w:ascii="Calibri" w:hAnsi="Calibri" w:eastAsia="宋体" w:cs="Times New Roman"/>
                <w:color w:val="000000"/>
              </w:rPr>
              <w:t>资金池分析工作。</w:t>
            </w:r>
          </w:p>
        </w:tc>
        <w:tc>
          <w:tcPr>
            <w:tcW w:w="2606" w:type="dxa"/>
            <w:tcBorders>
              <w:top w:val="single" w:color="000000" w:sz="4" w:space="0"/>
              <w:left w:val="single" w:color="000000" w:sz="4" w:space="0"/>
              <w:bottom w:val="single" w:color="000000" w:sz="4" w:space="0"/>
              <w:right w:val="single" w:color="000000" w:sz="4" w:space="0"/>
            </w:tcBorders>
            <w:vAlign w:val="center"/>
          </w:tcPr>
          <w:p w14:paraId="2A37239E">
            <w:pPr>
              <w:jc w:val="center"/>
              <w:textAlignment w:val="center"/>
              <w:rPr>
                <w:rFonts w:ascii="等线" w:hAnsi="等线" w:eastAsia="等线" w:cs="等线"/>
                <w:color w:val="000000"/>
                <w:lang w:bidi="ar"/>
              </w:rPr>
            </w:pPr>
            <w:r>
              <w:rPr>
                <w:rFonts w:ascii="等线" w:hAnsi="等线" w:eastAsia="等线" w:cs="等线"/>
                <w:color w:val="000000"/>
                <w:lang w:bidi="ar"/>
              </w:rPr>
              <w:t>涉案资金研判报告</w:t>
            </w:r>
          </w:p>
          <w:p w14:paraId="1274D50B">
            <w:pPr>
              <w:jc w:val="center"/>
              <w:textAlignment w:val="center"/>
              <w:rPr>
                <w:rFonts w:ascii="等线" w:hAnsi="等线" w:eastAsia="等线" w:cs="等线"/>
                <w:color w:val="000000"/>
                <w:lang w:bidi="ar"/>
              </w:rPr>
            </w:pPr>
            <w:r>
              <w:rPr>
                <w:rFonts w:hint="eastAsia" w:ascii="等线" w:hAnsi="等线" w:eastAsia="等线" w:cs="等线"/>
                <w:color w:val="000000"/>
                <w:lang w:bidi="ar"/>
              </w:rPr>
              <w:t>涉案账户资金说明</w:t>
            </w:r>
          </w:p>
          <w:p w14:paraId="63DBEAF8">
            <w:pPr>
              <w:jc w:val="center"/>
              <w:textAlignment w:val="center"/>
              <w:rPr>
                <w:rFonts w:ascii="等线" w:hAnsi="等线" w:eastAsia="等线" w:cs="等线"/>
                <w:color w:val="000000"/>
              </w:rPr>
            </w:pPr>
            <w:r>
              <w:rPr>
                <w:rFonts w:hint="eastAsia" w:ascii="等线" w:hAnsi="等线" w:eastAsia="等线" w:cs="等线"/>
                <w:color w:val="000000"/>
                <w:lang w:bidi="ar"/>
              </w:rPr>
              <w:t>一人一档资金情况说明</w:t>
            </w:r>
          </w:p>
        </w:tc>
      </w:tr>
    </w:tbl>
    <w:p w14:paraId="44B30F91">
      <w:pPr>
        <w:spacing w:line="360" w:lineRule="auto"/>
        <w:rPr>
          <w:rFonts w:ascii="宋体" w:hAnsi="宋体" w:cs="宋体"/>
          <w:color w:val="000000"/>
          <w:sz w:val="24"/>
        </w:rPr>
      </w:pPr>
    </w:p>
    <w:p w14:paraId="63ECD2F9">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.5</w:t>
      </w:r>
      <w:r>
        <w:rPr>
          <w:rFonts w:hint="eastAsia" w:ascii="宋体" w:hAnsi="宋体" w:cs="宋体"/>
          <w:color w:val="000000"/>
          <w:sz w:val="24"/>
        </w:rPr>
        <w:t>资金审计报告</w:t>
      </w:r>
    </w:p>
    <w:tbl>
      <w:tblPr>
        <w:tblStyle w:val="15"/>
        <w:tblW w:w="9030" w:type="dxa"/>
        <w:tblInd w:w="0" w:type="dxa"/>
        <w:tblLayout w:type="fixed"/>
        <w:tblCellMar>
          <w:top w:w="15" w:type="dxa"/>
          <w:left w:w="15" w:type="dxa"/>
          <w:bottom w:w="15" w:type="dxa"/>
          <w:right w:w="15" w:type="dxa"/>
        </w:tblCellMar>
      </w:tblPr>
      <w:tblGrid>
        <w:gridCol w:w="1517"/>
        <w:gridCol w:w="1701"/>
        <w:gridCol w:w="3206"/>
        <w:gridCol w:w="2606"/>
      </w:tblGrid>
      <w:tr w14:paraId="3C9D4703">
        <w:tblPrEx>
          <w:tblCellMar>
            <w:top w:w="15" w:type="dxa"/>
            <w:left w:w="15" w:type="dxa"/>
            <w:bottom w:w="15" w:type="dxa"/>
            <w:right w:w="15" w:type="dxa"/>
          </w:tblCellMar>
        </w:tblPrEx>
        <w:trPr>
          <w:trHeight w:val="72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0E5CFE03">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服务类别</w:t>
            </w:r>
          </w:p>
        </w:tc>
        <w:tc>
          <w:tcPr>
            <w:tcW w:w="1701" w:type="dxa"/>
            <w:tcBorders>
              <w:top w:val="single" w:color="000000" w:sz="4" w:space="0"/>
              <w:left w:val="single" w:color="000000" w:sz="4" w:space="0"/>
              <w:bottom w:val="single" w:color="000000" w:sz="4" w:space="0"/>
              <w:right w:val="single" w:color="000000" w:sz="4" w:space="0"/>
            </w:tcBorders>
            <w:vAlign w:val="center"/>
          </w:tcPr>
          <w:p w14:paraId="360FA7FA">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服务项目</w:t>
            </w:r>
          </w:p>
        </w:tc>
        <w:tc>
          <w:tcPr>
            <w:tcW w:w="3206" w:type="dxa"/>
            <w:tcBorders>
              <w:top w:val="single" w:color="000000" w:sz="4" w:space="0"/>
              <w:left w:val="single" w:color="000000" w:sz="4" w:space="0"/>
              <w:bottom w:val="single" w:color="000000" w:sz="4" w:space="0"/>
              <w:right w:val="single" w:color="000000" w:sz="4" w:space="0"/>
            </w:tcBorders>
            <w:vAlign w:val="center"/>
          </w:tcPr>
          <w:p w14:paraId="688785FA">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乙方服务内容</w:t>
            </w:r>
          </w:p>
        </w:tc>
        <w:tc>
          <w:tcPr>
            <w:tcW w:w="2606" w:type="dxa"/>
            <w:tcBorders>
              <w:top w:val="single" w:color="000000" w:sz="4" w:space="0"/>
              <w:left w:val="single" w:color="000000" w:sz="4" w:space="0"/>
              <w:bottom w:val="single" w:color="000000" w:sz="4" w:space="0"/>
              <w:right w:val="single" w:color="000000" w:sz="4" w:space="0"/>
            </w:tcBorders>
            <w:vAlign w:val="center"/>
          </w:tcPr>
          <w:p w14:paraId="0DB17291">
            <w:pPr>
              <w:jc w:val="center"/>
              <w:textAlignment w:val="center"/>
              <w:rPr>
                <w:rFonts w:ascii="等线" w:hAnsi="等线" w:eastAsia="等线" w:cs="等线"/>
                <w:b/>
                <w:color w:val="000000"/>
                <w:szCs w:val="21"/>
                <w:lang w:bidi="ar"/>
              </w:rPr>
            </w:pPr>
            <w:r>
              <w:rPr>
                <w:rFonts w:ascii="等线" w:hAnsi="等线" w:eastAsia="等线" w:cs="等线"/>
                <w:b/>
                <w:color w:val="000000"/>
                <w:szCs w:val="21"/>
                <w:lang w:bidi="ar"/>
              </w:rPr>
              <w:t>交付成果</w:t>
            </w:r>
          </w:p>
        </w:tc>
      </w:tr>
      <w:tr w14:paraId="7845AEA5">
        <w:tblPrEx>
          <w:tblCellMar>
            <w:top w:w="15" w:type="dxa"/>
            <w:left w:w="15" w:type="dxa"/>
            <w:bottom w:w="15" w:type="dxa"/>
            <w:right w:w="15" w:type="dxa"/>
          </w:tblCellMar>
        </w:tblPrEx>
        <w:trPr>
          <w:trHeight w:val="825"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0D3381BA">
            <w:pPr>
              <w:jc w:val="center"/>
              <w:textAlignment w:val="center"/>
              <w:rPr>
                <w:rFonts w:ascii="宋体" w:hAnsi="宋体" w:cs="宋体"/>
                <w:color w:val="000000"/>
              </w:rPr>
            </w:pPr>
            <w:r>
              <w:rPr>
                <w:rFonts w:ascii="宋体" w:hAnsi="宋体" w:eastAsia="宋体" w:cs="宋体"/>
                <w:color w:val="000000"/>
              </w:rPr>
              <w:t>涉案相关资金数据审计</w:t>
            </w:r>
          </w:p>
        </w:tc>
        <w:tc>
          <w:tcPr>
            <w:tcW w:w="1701" w:type="dxa"/>
            <w:tcBorders>
              <w:top w:val="single" w:color="000000" w:sz="4" w:space="0"/>
              <w:left w:val="single" w:color="000000" w:sz="4" w:space="0"/>
              <w:bottom w:val="single" w:color="000000" w:sz="4" w:space="0"/>
              <w:right w:val="single" w:color="000000" w:sz="4" w:space="0"/>
            </w:tcBorders>
            <w:vAlign w:val="center"/>
          </w:tcPr>
          <w:p w14:paraId="3639F62A">
            <w:pPr>
              <w:jc w:val="center"/>
              <w:textAlignment w:val="center"/>
              <w:rPr>
                <w:rFonts w:ascii="宋体" w:hAnsi="宋体" w:cs="宋体"/>
                <w:color w:val="000000"/>
              </w:rPr>
            </w:pPr>
            <w:r>
              <w:rPr>
                <w:rFonts w:ascii="宋体" w:hAnsi="宋体" w:cs="宋体"/>
                <w:color w:val="000000"/>
              </w:rPr>
              <w:t>涉案人员资金审计报告</w:t>
            </w:r>
          </w:p>
        </w:tc>
        <w:tc>
          <w:tcPr>
            <w:tcW w:w="3206" w:type="dxa"/>
            <w:tcBorders>
              <w:top w:val="single" w:color="000000" w:sz="4" w:space="0"/>
              <w:left w:val="single" w:color="000000" w:sz="4" w:space="0"/>
              <w:bottom w:val="single" w:color="000000" w:sz="4" w:space="0"/>
              <w:right w:val="single" w:color="000000" w:sz="4" w:space="0"/>
            </w:tcBorders>
            <w:vAlign w:val="center"/>
          </w:tcPr>
          <w:p w14:paraId="632E6302">
            <w:pPr>
              <w:numPr>
                <w:ilvl w:val="0"/>
                <w:numId w:val="9"/>
              </w:numPr>
              <w:rPr>
                <w:rFonts w:ascii="宋体" w:hAnsi="宋体" w:eastAsia="宋体" w:cs="宋体"/>
                <w:color w:val="000000"/>
              </w:rPr>
            </w:pPr>
            <w:r>
              <w:rPr>
                <w:rFonts w:hint="eastAsia" w:ascii="宋体" w:hAnsi="宋体" w:eastAsia="宋体" w:cs="宋体"/>
                <w:color w:val="000000"/>
              </w:rPr>
              <w:t>根据案情，完成涉案</w:t>
            </w:r>
            <w:r>
              <w:rPr>
                <w:rFonts w:ascii="宋体" w:hAnsi="宋体" w:eastAsia="宋体" w:cs="宋体"/>
                <w:color w:val="000000"/>
              </w:rPr>
              <w:t>资金</w:t>
            </w:r>
            <w:r>
              <w:rPr>
                <w:rFonts w:hint="eastAsia" w:ascii="宋体" w:hAnsi="宋体" w:eastAsia="宋体" w:cs="宋体"/>
                <w:color w:val="000000"/>
              </w:rPr>
              <w:t>的评估</w:t>
            </w:r>
            <w:r>
              <w:rPr>
                <w:rFonts w:ascii="宋体" w:hAnsi="宋体" w:eastAsia="宋体" w:cs="宋体"/>
                <w:color w:val="000000"/>
              </w:rPr>
              <w:t>。</w:t>
            </w:r>
          </w:p>
          <w:p w14:paraId="776CED6F">
            <w:pPr>
              <w:numPr>
                <w:ilvl w:val="0"/>
                <w:numId w:val="9"/>
              </w:numPr>
              <w:rPr>
                <w:rFonts w:ascii="宋体" w:hAnsi="宋体" w:eastAsia="宋体" w:cs="宋体"/>
                <w:color w:val="000000"/>
              </w:rPr>
            </w:pPr>
            <w:r>
              <w:rPr>
                <w:rFonts w:hint="eastAsia" w:ascii="宋体" w:hAnsi="宋体" w:eastAsia="宋体" w:cs="宋体"/>
                <w:color w:val="000000"/>
              </w:rPr>
              <w:t>根据案件情况，确认涉案非法所得，</w:t>
            </w:r>
            <w:r>
              <w:rPr>
                <w:rFonts w:ascii="宋体" w:hAnsi="宋体" w:eastAsia="宋体" w:cs="宋体"/>
                <w:color w:val="000000"/>
              </w:rPr>
              <w:t>完成涉案</w:t>
            </w:r>
            <w:r>
              <w:rPr>
                <w:rFonts w:hint="eastAsia" w:ascii="宋体" w:hAnsi="宋体" w:eastAsia="宋体" w:cs="宋体"/>
                <w:color w:val="000000"/>
              </w:rPr>
              <w:t>企业的</w:t>
            </w:r>
            <w:r>
              <w:rPr>
                <w:rFonts w:ascii="宋体" w:hAnsi="宋体" w:eastAsia="宋体" w:cs="宋体"/>
                <w:color w:val="000000"/>
              </w:rPr>
              <w:t>非法所得资金审计报告。</w:t>
            </w:r>
          </w:p>
          <w:p w14:paraId="526F6F67">
            <w:pPr>
              <w:numPr>
                <w:ilvl w:val="0"/>
                <w:numId w:val="9"/>
              </w:numPr>
              <w:rPr>
                <w:rFonts w:ascii="宋体" w:hAnsi="宋体" w:eastAsia="宋体" w:cs="宋体"/>
                <w:color w:val="000000"/>
              </w:rPr>
            </w:pPr>
            <w:r>
              <w:rPr>
                <w:rFonts w:hint="eastAsia" w:ascii="宋体" w:hAnsi="宋体" w:eastAsia="宋体" w:cs="宋体"/>
                <w:color w:val="000000"/>
              </w:rPr>
              <w:t>根据案件情况，确认涉案非法所得，</w:t>
            </w:r>
            <w:r>
              <w:rPr>
                <w:rFonts w:ascii="宋体" w:hAnsi="宋体" w:eastAsia="宋体" w:cs="宋体"/>
                <w:color w:val="000000"/>
              </w:rPr>
              <w:t>完成涉案</w:t>
            </w:r>
            <w:r>
              <w:rPr>
                <w:rFonts w:hint="eastAsia" w:ascii="宋体" w:hAnsi="宋体" w:eastAsia="宋体" w:cs="宋体"/>
                <w:color w:val="000000"/>
              </w:rPr>
              <w:t>个人的</w:t>
            </w:r>
            <w:r>
              <w:rPr>
                <w:rFonts w:ascii="宋体" w:hAnsi="宋体" w:eastAsia="宋体" w:cs="宋体"/>
                <w:color w:val="000000"/>
              </w:rPr>
              <w:t>非法所得资金审计报告。</w:t>
            </w:r>
          </w:p>
          <w:p w14:paraId="08E8E34A">
            <w:pPr>
              <w:numPr>
                <w:ilvl w:val="0"/>
                <w:numId w:val="9"/>
              </w:numPr>
              <w:rPr>
                <w:rFonts w:ascii="等线" w:hAnsi="等线" w:eastAsia="等线" w:cs="等线"/>
                <w:color w:val="000000"/>
              </w:rPr>
            </w:pPr>
            <w:r>
              <w:rPr>
                <w:rFonts w:hint="eastAsia" w:ascii="宋体" w:hAnsi="宋体" w:eastAsia="宋体" w:cs="宋体"/>
                <w:color w:val="000000"/>
              </w:rPr>
              <w:t>涉案现场账本等的统计</w:t>
            </w:r>
            <w:r>
              <w:rPr>
                <w:rFonts w:ascii="宋体" w:hAnsi="宋体" w:eastAsia="宋体" w:cs="宋体"/>
                <w:color w:val="000000"/>
              </w:rPr>
              <w:t>。</w:t>
            </w:r>
          </w:p>
          <w:p w14:paraId="170E488E">
            <w:pPr>
              <w:rPr>
                <w:rFonts w:ascii="等线" w:hAnsi="等线" w:eastAsia="等线" w:cs="等线"/>
                <w:color w:val="000000"/>
              </w:rPr>
            </w:pPr>
          </w:p>
        </w:tc>
        <w:tc>
          <w:tcPr>
            <w:tcW w:w="2606" w:type="dxa"/>
            <w:tcBorders>
              <w:top w:val="single" w:color="000000" w:sz="4" w:space="0"/>
              <w:left w:val="single" w:color="000000" w:sz="4" w:space="0"/>
              <w:bottom w:val="single" w:color="000000" w:sz="4" w:space="0"/>
              <w:right w:val="single" w:color="000000" w:sz="4" w:space="0"/>
            </w:tcBorders>
            <w:vAlign w:val="center"/>
          </w:tcPr>
          <w:p w14:paraId="04767739">
            <w:pPr>
              <w:jc w:val="center"/>
              <w:textAlignment w:val="center"/>
              <w:rPr>
                <w:rFonts w:ascii="等线" w:hAnsi="等线" w:eastAsia="等线" w:cs="等线"/>
                <w:color w:val="000000"/>
              </w:rPr>
            </w:pPr>
            <w:r>
              <w:rPr>
                <w:rFonts w:ascii="等线" w:hAnsi="等线" w:eastAsia="等线" w:cs="等线"/>
                <w:color w:val="000000"/>
                <w:lang w:bidi="ar"/>
              </w:rPr>
              <w:t>资金审计报告</w:t>
            </w:r>
          </w:p>
        </w:tc>
      </w:tr>
    </w:tbl>
    <w:p w14:paraId="35F45851">
      <w:pPr>
        <w:rPr>
          <w:color w:val="000000"/>
        </w:rPr>
      </w:pPr>
    </w:p>
    <w:p w14:paraId="414DD1B6">
      <w:pPr>
        <w:rPr>
          <w:color w:val="000000"/>
        </w:rPr>
      </w:pPr>
      <w:r>
        <w:rPr>
          <w:rFonts w:hint="eastAsia"/>
          <w:color w:val="000000"/>
        </w:rPr>
        <w:t>技术服务项：</w:t>
      </w:r>
    </w:p>
    <w:p w14:paraId="6E9174D0">
      <w:pPr>
        <w:rPr>
          <w:rFonts w:ascii="Calibri" w:hAnsi="Calibri" w:eastAsia="仿宋" w:cs="Times New Roman"/>
          <w:b/>
          <w:bCs/>
          <w:color w:val="000000"/>
          <w:spacing w:val="-12"/>
          <w:w w:val="99"/>
          <w:kern w:val="44"/>
          <w:sz w:val="30"/>
          <w:szCs w:val="44"/>
        </w:rPr>
      </w:pPr>
    </w:p>
    <w:p w14:paraId="017D64C0">
      <w:pPr>
        <w:spacing w:line="360" w:lineRule="auto"/>
        <w:ind w:firstLine="480" w:firstLineChars="200"/>
        <w:rPr>
          <w:rFonts w:ascii="宋体" w:hAnsi="宋体" w:cs="宋体"/>
          <w:color w:val="000000"/>
          <w:sz w:val="24"/>
        </w:rPr>
      </w:pPr>
      <w:r>
        <w:rPr>
          <w:rFonts w:hint="eastAsia" w:ascii="宋体" w:hAnsi="宋体" w:cs="宋体"/>
          <w:color w:val="000000"/>
          <w:sz w:val="24"/>
        </w:rPr>
        <w:t>1 发现违法网站、查找漏洞，通过网络技术做到案件取证阶段对网站可控；</w:t>
      </w:r>
    </w:p>
    <w:p w14:paraId="3971E2A6">
      <w:pPr>
        <w:spacing w:line="360" w:lineRule="auto"/>
        <w:ind w:firstLine="480" w:firstLineChars="200"/>
        <w:rPr>
          <w:rFonts w:ascii="宋体" w:hAnsi="宋体" w:cs="宋体"/>
          <w:color w:val="000000"/>
          <w:sz w:val="24"/>
        </w:rPr>
      </w:pPr>
      <w:r>
        <w:rPr>
          <w:rFonts w:hint="eastAsia" w:ascii="宋体" w:hAnsi="宋体" w:cs="宋体"/>
          <w:color w:val="000000"/>
          <w:sz w:val="24"/>
        </w:rPr>
        <w:t>2  配合公安机关完成对违法网站电子数据的勘验工作。为公安机关提供可以支撑立案的电子证据和相关线索。</w:t>
      </w:r>
    </w:p>
    <w:p w14:paraId="23F9DA99">
      <w:pPr>
        <w:spacing w:line="360" w:lineRule="auto"/>
        <w:ind w:firstLine="480" w:firstLineChars="200"/>
        <w:rPr>
          <w:rFonts w:ascii="宋体" w:hAnsi="宋体" w:cs="宋体"/>
          <w:color w:val="000000"/>
          <w:sz w:val="24"/>
        </w:rPr>
      </w:pPr>
      <w:r>
        <w:rPr>
          <w:rFonts w:hint="eastAsia" w:ascii="宋体" w:hAnsi="宋体" w:cs="宋体"/>
          <w:color w:val="000000"/>
          <w:sz w:val="24"/>
        </w:rPr>
        <w:t>3  获取违法网站的相关电子数据，包含但不限于：会员银行卡、手机号、姓名、用户名等信息，获取会员网站充值、提款记录等。</w:t>
      </w:r>
    </w:p>
    <w:p w14:paraId="2FF07EA5">
      <w:pPr>
        <w:spacing w:line="360" w:lineRule="auto"/>
        <w:ind w:firstLine="480" w:firstLineChars="200"/>
        <w:rPr>
          <w:rFonts w:ascii="宋体" w:hAnsi="宋体" w:cs="宋体"/>
          <w:color w:val="000000"/>
          <w:sz w:val="24"/>
        </w:rPr>
      </w:pPr>
      <w:r>
        <w:rPr>
          <w:rFonts w:hint="eastAsia" w:ascii="宋体" w:hAnsi="宋体" w:cs="宋体"/>
          <w:color w:val="000000"/>
          <w:sz w:val="24"/>
        </w:rPr>
        <w:t>4 配合公安机关对违法网站的资金流水进行分析，有条件情况下，获取第三方支付、第四方支付和地下钱庄线索。协助公安机关梳理被冻结的银行卡信息</w:t>
      </w:r>
    </w:p>
    <w:p w14:paraId="1FA29703">
      <w:pPr>
        <w:spacing w:line="360" w:lineRule="auto"/>
        <w:ind w:firstLine="480" w:firstLineChars="200"/>
        <w:rPr>
          <w:rFonts w:ascii="宋体" w:hAnsi="宋体" w:cs="宋体"/>
          <w:color w:val="000000"/>
          <w:sz w:val="24"/>
        </w:rPr>
      </w:pPr>
      <w:r>
        <w:rPr>
          <w:rFonts w:hint="eastAsia" w:ascii="宋体" w:hAnsi="宋体" w:cs="宋体"/>
          <w:color w:val="000000"/>
          <w:sz w:val="24"/>
        </w:rPr>
        <w:t>5  获取网站代理银行卡、手机号、姓名、用户名等信息；代理下线人员和充值、提款记录；代理返佣记录（如有）。</w:t>
      </w:r>
    </w:p>
    <w:p w14:paraId="0691AE36">
      <w:pPr>
        <w:spacing w:line="360" w:lineRule="auto"/>
        <w:ind w:firstLine="480" w:firstLineChars="200"/>
        <w:rPr>
          <w:rFonts w:ascii="宋体" w:hAnsi="宋体" w:cs="宋体"/>
          <w:color w:val="000000"/>
          <w:sz w:val="24"/>
        </w:rPr>
      </w:pPr>
      <w:r>
        <w:rPr>
          <w:rFonts w:hint="eastAsia" w:ascii="宋体" w:hAnsi="宋体" w:cs="宋体"/>
          <w:color w:val="000000"/>
          <w:sz w:val="24"/>
        </w:rPr>
        <w:t>6 获取网站客服虚拟身份，有条件情况下，获取网站运营人员虚拟身份信息。</w:t>
      </w:r>
    </w:p>
    <w:p w14:paraId="5E931BA7">
      <w:pPr>
        <w:spacing w:line="360" w:lineRule="auto"/>
        <w:ind w:firstLine="480" w:firstLineChars="200"/>
        <w:rPr>
          <w:rFonts w:ascii="宋体" w:hAnsi="宋体" w:cs="宋体"/>
          <w:color w:val="000000"/>
          <w:sz w:val="24"/>
        </w:rPr>
      </w:pPr>
      <w:r>
        <w:rPr>
          <w:rFonts w:hint="eastAsia" w:ascii="宋体" w:hAnsi="宋体" w:cs="宋体"/>
          <w:color w:val="000000"/>
          <w:sz w:val="24"/>
        </w:rPr>
        <w:t>7 配合整理讯（询）问笔录和送检材料。</w:t>
      </w:r>
    </w:p>
    <w:p w14:paraId="40C7A49B">
      <w:pPr>
        <w:pStyle w:val="3"/>
        <w:spacing w:after="0" w:line="360" w:lineRule="auto"/>
        <w:ind w:firstLine="480" w:firstLineChars="200"/>
        <w:rPr>
          <w:rFonts w:ascii="宋体" w:hAnsi="宋体" w:cs="宋体"/>
          <w:sz w:val="24"/>
        </w:rPr>
      </w:pPr>
    </w:p>
    <w:p w14:paraId="1DD882BD">
      <w:pPr>
        <w:pStyle w:val="2"/>
        <w:ind w:left="440" w:leftChars="200" w:firstLine="0" w:firstLineChars="0"/>
        <w:rPr>
          <w:rFonts w:hAnsi="宋体" w:eastAsia="宋体" w:cs="宋体"/>
          <w:sz w:val="24"/>
          <w:szCs w:val="24"/>
          <w:lang w:eastAsia="zh-CN" w:bidi="ar-SA"/>
        </w:rPr>
      </w:pPr>
      <w:r>
        <w:rPr>
          <w:rFonts w:hint="eastAsia" w:hAnsi="宋体" w:eastAsia="宋体" w:cs="宋体"/>
          <w:sz w:val="24"/>
          <w:szCs w:val="24"/>
          <w:lang w:eastAsia="zh-CN" w:bidi="ar-SA"/>
        </w:rPr>
        <w:t xml:space="preserve">                       </w:t>
      </w:r>
    </w:p>
    <w:p w14:paraId="305200DB">
      <w:pPr>
        <w:pStyle w:val="14"/>
        <w:ind w:left="880" w:leftChars="400" w:firstLine="0" w:firstLineChars="0"/>
        <w:rPr>
          <w:rFonts w:ascii="宋体" w:hAnsi="宋体" w:eastAsia="宋体" w:cs="宋体"/>
          <w:sz w:val="24"/>
          <w:szCs w:val="24"/>
        </w:rPr>
      </w:pPr>
    </w:p>
    <w:p w14:paraId="58B6E9A9">
      <w:pPr>
        <w:autoSpaceDE w:val="0"/>
        <w:autoSpaceDN w:val="0"/>
        <w:rPr>
          <w:rStyle w:val="20"/>
          <w:rFonts w:ascii="宋体" w:hAnsi="宋体" w:cs="宋体"/>
          <w:b w:val="0"/>
          <w:sz w:val="24"/>
          <w:szCs w:val="24"/>
        </w:rPr>
      </w:pPr>
    </w:p>
    <w:p w14:paraId="4D973C28">
      <w:pPr>
        <w:pStyle w:val="14"/>
        <w:ind w:left="0" w:leftChars="0" w:firstLine="0" w:firstLineChars="0"/>
        <w:rPr>
          <w:rFonts w:ascii="宋体" w:hAnsi="宋体" w:eastAsia="宋体" w:cs="宋体"/>
          <w:sz w:val="24"/>
          <w:szCs w:val="24"/>
        </w:rPr>
        <w:sectPr>
          <w:footerReference r:id="rId8" w:type="default"/>
          <w:pgSz w:w="11906" w:h="16838"/>
          <w:pgMar w:top="1440" w:right="1800" w:bottom="1440" w:left="1800" w:header="850" w:footer="850" w:gutter="0"/>
          <w:cols w:space="720" w:num="1"/>
          <w:docGrid w:type="lines" w:linePitch="312" w:charSpace="0"/>
        </w:sectPr>
      </w:pPr>
    </w:p>
    <w:p w14:paraId="394F8FE6">
      <w:pPr>
        <w:jc w:val="center"/>
        <w:outlineLvl w:val="0"/>
        <w:rPr>
          <w:rFonts w:ascii="宋体" w:hAnsi="宋体" w:eastAsia="宋体" w:cs="仿宋"/>
          <w:b/>
          <w:bCs/>
          <w:sz w:val="36"/>
          <w:szCs w:val="36"/>
        </w:rPr>
      </w:pPr>
      <w:bookmarkStart w:id="69" w:name="_Toc282"/>
      <w:bookmarkStart w:id="70" w:name="_Toc21374"/>
      <w:bookmarkStart w:id="71" w:name="_Toc14161"/>
      <w:bookmarkStart w:id="72" w:name="_Toc30123"/>
      <w:bookmarkStart w:id="73" w:name="_Toc9260"/>
      <w:r>
        <w:rPr>
          <w:rFonts w:hint="eastAsia" w:ascii="宋体" w:hAnsi="宋体" w:eastAsia="宋体" w:cs="Times New Roman"/>
          <w:b/>
          <w:bCs/>
          <w:kern w:val="44"/>
          <w:sz w:val="30"/>
        </w:rPr>
        <w:t>第五章</w:t>
      </w:r>
      <w:bookmarkEnd w:id="69"/>
      <w:r>
        <w:rPr>
          <w:rFonts w:hint="eastAsia" w:ascii="宋体" w:hAnsi="宋体" w:eastAsia="宋体" w:cs="Times New Roman"/>
          <w:b/>
          <w:bCs/>
          <w:kern w:val="44"/>
          <w:sz w:val="30"/>
        </w:rPr>
        <w:t>、</w:t>
      </w:r>
      <w:bookmarkEnd w:id="70"/>
      <w:bookmarkEnd w:id="71"/>
      <w:bookmarkEnd w:id="72"/>
      <w:bookmarkEnd w:id="73"/>
      <w:bookmarkStart w:id="74" w:name="_Toc9413"/>
      <w:r>
        <w:rPr>
          <w:rFonts w:hint="eastAsia" w:ascii="宋体" w:hAnsi="宋体" w:eastAsia="宋体" w:cs="Times New Roman"/>
          <w:b/>
          <w:bCs/>
          <w:kern w:val="44"/>
          <w:sz w:val="30"/>
        </w:rPr>
        <w:t>评标原则及办法</w:t>
      </w:r>
      <w:bookmarkEnd w:id="74"/>
    </w:p>
    <w:p w14:paraId="649161EE">
      <w:pPr>
        <w:outlineLvl w:val="1"/>
        <w:rPr>
          <w:rFonts w:ascii="宋体" w:hAnsi="宋体" w:eastAsia="宋体" w:cs="宋体"/>
          <w:b/>
          <w:bCs/>
          <w:sz w:val="24"/>
          <w:szCs w:val="24"/>
          <w:lang w:val="zh-CN"/>
        </w:rPr>
      </w:pPr>
      <w:bookmarkStart w:id="75" w:name="_Toc5229"/>
      <w:bookmarkStart w:id="76" w:name="_Toc10095"/>
      <w:r>
        <w:rPr>
          <w:rFonts w:hint="eastAsia" w:ascii="宋体" w:hAnsi="宋体" w:eastAsia="宋体" w:cs="宋体"/>
          <w:b/>
          <w:bCs/>
          <w:sz w:val="24"/>
          <w:szCs w:val="24"/>
          <w:lang w:val="zh-CN"/>
        </w:rPr>
        <w:t>5.1 评标工作中的原则及组织</w:t>
      </w:r>
      <w:bookmarkEnd w:id="75"/>
      <w:bookmarkEnd w:id="76"/>
    </w:p>
    <w:p w14:paraId="5AA693B8">
      <w:pPr>
        <w:adjustRightInd/>
        <w:snapToGrid/>
        <w:spacing w:after="0" w:line="360" w:lineRule="auto"/>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5.1.1原则</w:t>
      </w:r>
    </w:p>
    <w:p w14:paraId="5B4F4405">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招标人组织评标，在监督部门监督下,根据《中华人民共和国政府采购法》组建评标委员会，成员人数应当为3人以上单数（包含3人），由采购人代表和评标专家共同组成，评标委员会成员应坚持“公开、公平、公正”的宗旨,认真细致地做好评标工作。</w:t>
      </w:r>
    </w:p>
    <w:p w14:paraId="71F2F46D">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1）评标委员会成员人数为单数，其中技术、经济等方面的专家不少于成员总数的三分之二。</w:t>
      </w:r>
    </w:p>
    <w:p w14:paraId="4A3225DE">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2）评标委员会成员应当客观、公正的履行职责，遵守职业道德，对所提出的评审意见承担个人责任。</w:t>
      </w:r>
    </w:p>
    <w:p w14:paraId="3941F811">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3）评标委员会成员和与评标活动有关的工作人员不得透露对投标文件的评审和比较、中标候选人的推荐情况以及与评标有关的其他情况。</w:t>
      </w:r>
    </w:p>
    <w:p w14:paraId="590C43C3">
      <w:pPr>
        <w:adjustRightInd/>
        <w:spacing w:after="0" w:line="360" w:lineRule="auto"/>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5.1.2组织</w:t>
      </w:r>
    </w:p>
    <w:p w14:paraId="5F558164">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1）评标委员会：由采购人代表从政府采购地方专家库抽取的专家组成评标委员会。评标委员会根据招标文件要求负责投标文件的商务审核和技术评价。</w:t>
      </w:r>
    </w:p>
    <w:p w14:paraId="7EB26BCA">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招标代理机构：由甘肃鑫畅达工程咨询有限公司工作人员组成，负责招标文件的制作，对外联系，开标、评标的会务工作,整理并向评标组分发招标资料、招标文件；做好招标开标和评标会议记录；对评标过程中的原始文件进行归档；随时印发需要的文件资料,对各种咨询函件及档案文件的统收统发，负责对评标委员会推荐的拟中标结果进行审核。</w:t>
      </w:r>
    </w:p>
    <w:p w14:paraId="27C7B8C5">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3）监督部门：由本级人民政府财政局政府采购办等有关监督部门组成，根据国家有关法律、法规及招标文件的规定,对整个评标过程进行监督,保证评标的公正性,防止违法行为的产生。</w:t>
      </w:r>
    </w:p>
    <w:p w14:paraId="4CF22166">
      <w:pPr>
        <w:outlineLvl w:val="1"/>
        <w:rPr>
          <w:rFonts w:ascii="宋体" w:hAnsi="宋体" w:eastAsia="宋体" w:cs="宋体"/>
          <w:b/>
          <w:bCs/>
          <w:sz w:val="24"/>
          <w:szCs w:val="24"/>
          <w:lang w:val="zh-CN"/>
        </w:rPr>
      </w:pPr>
      <w:bookmarkStart w:id="77" w:name="_Toc32421"/>
      <w:bookmarkStart w:id="78" w:name="_Toc5628"/>
      <w:bookmarkStart w:id="79" w:name="_Toc17638"/>
      <w:bookmarkStart w:id="80" w:name="_Toc16982"/>
      <w:bookmarkStart w:id="81" w:name="_Toc8959"/>
      <w:r>
        <w:rPr>
          <w:rFonts w:hint="eastAsia" w:ascii="宋体" w:hAnsi="宋体" w:eastAsia="宋体" w:cs="宋体"/>
          <w:b/>
          <w:bCs/>
          <w:sz w:val="24"/>
          <w:szCs w:val="24"/>
          <w:lang w:val="zh-CN"/>
        </w:rPr>
        <w:t>5.2 评标内容及标准</w:t>
      </w:r>
      <w:bookmarkEnd w:id="77"/>
      <w:bookmarkEnd w:id="78"/>
      <w:bookmarkEnd w:id="79"/>
      <w:bookmarkEnd w:id="80"/>
      <w:bookmarkEnd w:id="81"/>
    </w:p>
    <w:p w14:paraId="13167F54">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初步评审分为资格性审查和符合性审查。</w:t>
      </w:r>
    </w:p>
    <w:p w14:paraId="6DB4E681">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资格性审查：根据法律法规和招标文件的规定，对投标文件中的资格证明等进行审查，以确定投标人是否具备投标资格。</w:t>
      </w:r>
    </w:p>
    <w:p w14:paraId="57AD8E08">
      <w:pPr>
        <w:spacing w:line="360" w:lineRule="auto"/>
        <w:ind w:firstLine="480" w:firstLineChars="200"/>
        <w:outlineLvl w:val="1"/>
        <w:rPr>
          <w:rFonts w:ascii="宋体" w:hAnsi="宋体" w:eastAsia="宋体" w:cs="宋体"/>
          <w:b/>
          <w:bCs/>
          <w:sz w:val="24"/>
          <w:szCs w:val="24"/>
          <w:lang w:val="zh-CN"/>
        </w:rPr>
      </w:pPr>
      <w:r>
        <w:rPr>
          <w:rFonts w:hint="eastAsia" w:ascii="宋体" w:hAnsi="宋体" w:eastAsia="宋体" w:cs="宋体"/>
          <w:kern w:val="2"/>
          <w:sz w:val="24"/>
          <w:szCs w:val="24"/>
          <w:lang w:val="zh-CN"/>
        </w:rPr>
        <w:t>符合性审查：依据招标文件的规定，从投标文件的有效性、完整性和对招标文件的响应程度进行审查，以确定是否对招标文件的实质性要求作出响应。评标委员会决定投标文件的响应性只根据投标文件本身的内容，而不寻求外部的证据。</w:t>
      </w:r>
    </w:p>
    <w:p w14:paraId="3CB29415">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评标委员会将审查投标书是否完整、有无计算上的错误、是否提交了投标保证金、文件签署是否合格、投标文件的总体编排是否有序。</w:t>
      </w:r>
    </w:p>
    <w:p w14:paraId="03649647">
      <w:pPr>
        <w:adjustRightInd/>
        <w:spacing w:after="0" w:line="360" w:lineRule="auto"/>
        <w:ind w:firstLine="480"/>
        <w:jc w:val="both"/>
        <w:textAlignment w:val="baseline"/>
        <w:rPr>
          <w:rFonts w:ascii="宋体" w:hAnsi="宋体" w:eastAsia="宋体" w:cs="宋体"/>
          <w:kern w:val="2"/>
          <w:sz w:val="24"/>
          <w:szCs w:val="24"/>
        </w:rPr>
      </w:pPr>
      <w:r>
        <w:rPr>
          <w:rFonts w:hint="eastAsia" w:ascii="宋体" w:hAnsi="宋体" w:eastAsia="宋体" w:cs="宋体"/>
          <w:kern w:val="2"/>
          <w:sz w:val="24"/>
          <w:szCs w:val="24"/>
          <w:lang w:val="zh-CN"/>
        </w:rPr>
        <w:t>招标人将组织评标委员会审查投标文件是否完整，审查投标人提供的资格证明文件，评估投标人的财务、技术和生产能力。如果评标委员会认定投标人未完全响应招标文件，其投标将被视为无效投标。</w:t>
      </w:r>
    </w:p>
    <w:p w14:paraId="4DA86F9B">
      <w:pPr>
        <w:tabs>
          <w:tab w:val="left" w:pos="8640"/>
        </w:tabs>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评标委员会可以对确定为实质上响应招标文件要求的投标文件进行校核，修正错误的标准如下：</w:t>
      </w:r>
    </w:p>
    <w:p w14:paraId="30CA37EB">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1）大写金额和小写金额不一致的，以大写金额为准；</w:t>
      </w:r>
    </w:p>
    <w:p w14:paraId="7D8A9873">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2）投标文件中开标一览表（报价表）内容与投标文件中相应内容不一致的，以开标一览表（报价表）为准；</w:t>
      </w:r>
    </w:p>
    <w:p w14:paraId="4E99AC68">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3）总价金额与按单价汇总金额不一致的，以单价金额计算结果为准；</w:t>
      </w:r>
    </w:p>
    <w:p w14:paraId="15D41FE9">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4）单价金额小数点或者百分比有明显错位的，以开标一览表的总价为准，并修改单价。</w:t>
      </w:r>
    </w:p>
    <w:p w14:paraId="6343D807">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如果投标人不接受对其错误的更正，其投标将被视为无效投标。</w:t>
      </w:r>
    </w:p>
    <w:p w14:paraId="4110D4F5">
      <w:pPr>
        <w:tabs>
          <w:tab w:val="left" w:pos="8640"/>
        </w:tabs>
        <w:adjustRightInd/>
        <w:spacing w:after="0" w:line="360" w:lineRule="auto"/>
        <w:ind w:firstLine="480"/>
        <w:jc w:val="both"/>
        <w:textAlignment w:val="baseline"/>
        <w:rPr>
          <w:rFonts w:ascii="宋体" w:hAnsi="宋体" w:eastAsia="宋体" w:cs="宋体"/>
          <w:kern w:val="2"/>
          <w:sz w:val="24"/>
          <w:szCs w:val="24"/>
        </w:rPr>
      </w:pPr>
      <w:r>
        <w:rPr>
          <w:rFonts w:hint="eastAsia" w:ascii="宋体" w:hAnsi="宋体" w:eastAsia="宋体" w:cs="宋体"/>
          <w:kern w:val="2"/>
          <w:sz w:val="24"/>
          <w:szCs w:val="24"/>
          <w:lang w:val="zh-CN"/>
        </w:rPr>
        <w:t>5）对于投标文件中不构成实质性偏差的小的不正规、不一致或不规则，评标委员会可以接受，但这种接受不能损害或影响任何投标人的相对排序。</w:t>
      </w:r>
    </w:p>
    <w:p w14:paraId="4656E978">
      <w:pPr>
        <w:adjustRightInd/>
        <w:spacing w:after="0" w:line="360" w:lineRule="auto"/>
        <w:ind w:firstLine="480"/>
        <w:jc w:val="both"/>
        <w:textAlignment w:val="baseline"/>
        <w:rPr>
          <w:rFonts w:ascii="宋体" w:hAnsi="宋体" w:eastAsia="宋体" w:cs="宋体"/>
          <w:kern w:val="2"/>
          <w:sz w:val="24"/>
          <w:szCs w:val="24"/>
        </w:rPr>
      </w:pPr>
      <w:r>
        <w:rPr>
          <w:rFonts w:hint="eastAsia" w:ascii="宋体" w:hAnsi="宋体" w:eastAsia="宋体" w:cs="宋体"/>
          <w:kern w:val="2"/>
          <w:sz w:val="24"/>
          <w:szCs w:val="24"/>
          <w:lang w:val="zh-CN"/>
        </w:rPr>
        <w:t>6）评标委员会审查每份投标文件是否实质上响应了招标文件的要求。实质上响应的投标文件应该与招标文件要求的全部条款、条件和规格相符，没有重大偏离。评标委员会决定投标文件的响应性只根据投标文件本身的内容，而不寻求外部的证据。</w:t>
      </w:r>
    </w:p>
    <w:p w14:paraId="462659B3">
      <w:pPr>
        <w:tabs>
          <w:tab w:val="left" w:pos="8640"/>
        </w:tabs>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7）如果投标文件实质上没有响应招标文件的要求，其投标将被视为无效投标，投标人不得通过修正或撤消不符合要求的偏离从而使其投标成为实质上响应的投标。</w:t>
      </w:r>
    </w:p>
    <w:p w14:paraId="392CC755">
      <w:pPr>
        <w:outlineLvl w:val="1"/>
        <w:rPr>
          <w:rFonts w:ascii="宋体" w:hAnsi="宋体" w:eastAsia="宋体" w:cs="宋体"/>
          <w:b/>
          <w:bCs/>
          <w:sz w:val="24"/>
          <w:szCs w:val="24"/>
          <w:lang w:val="zh-CN"/>
        </w:rPr>
      </w:pPr>
      <w:bookmarkStart w:id="82" w:name="_Toc10496"/>
      <w:bookmarkStart w:id="83" w:name="_Toc3335"/>
      <w:bookmarkStart w:id="84" w:name="_Toc559"/>
      <w:bookmarkStart w:id="85" w:name="_Toc19513"/>
      <w:bookmarkStart w:id="86" w:name="_Toc28881"/>
      <w:r>
        <w:rPr>
          <w:rFonts w:hint="eastAsia" w:ascii="宋体" w:hAnsi="宋体" w:eastAsia="宋体" w:cs="宋体"/>
          <w:b/>
          <w:bCs/>
          <w:sz w:val="24"/>
          <w:szCs w:val="24"/>
          <w:lang w:val="zh-CN"/>
        </w:rPr>
        <w:t>5.3 评标的程序和方法</w:t>
      </w:r>
      <w:bookmarkEnd w:id="82"/>
      <w:bookmarkEnd w:id="83"/>
      <w:bookmarkEnd w:id="84"/>
      <w:bookmarkEnd w:id="85"/>
      <w:bookmarkEnd w:id="86"/>
    </w:p>
    <w:p w14:paraId="46226A35">
      <w:pPr>
        <w:adjustRightInd/>
        <w:spacing w:after="0" w:line="360" w:lineRule="auto"/>
        <w:ind w:firstLine="236" w:firstLineChars="98"/>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5.3.1评标程序</w:t>
      </w:r>
    </w:p>
    <w:p w14:paraId="5E5B9D5E">
      <w:pPr>
        <w:adjustRightInd/>
        <w:spacing w:after="0" w:line="360" w:lineRule="auto"/>
        <w:ind w:firstLine="480" w:firstLineChars="200"/>
        <w:jc w:val="both"/>
        <w:textAlignment w:val="baseline"/>
        <w:rPr>
          <w:rFonts w:ascii="宋体" w:hAnsi="宋体" w:eastAsia="宋体" w:cs="宋体"/>
          <w:b/>
          <w:kern w:val="2"/>
          <w:sz w:val="24"/>
          <w:szCs w:val="24"/>
        </w:rPr>
      </w:pPr>
      <w:r>
        <w:rPr>
          <w:rFonts w:hint="eastAsia" w:ascii="宋体" w:hAnsi="宋体" w:eastAsia="宋体" w:cs="宋体"/>
          <w:kern w:val="2"/>
          <w:sz w:val="24"/>
          <w:szCs w:val="24"/>
          <w:lang w:val="zh-CN"/>
        </w:rPr>
        <w:t>1、采购人或评标委员会对投标人的投标文件进行资质审查，依据招标文件的规定，对投标文件中提供的资格证明材料进行审查，审查合格者进入符合性审查，审查不合格者将被宣布其为无效投标。</w:t>
      </w:r>
    </w:p>
    <w:p w14:paraId="02A7C839">
      <w:pPr>
        <w:adjustRightInd/>
        <w:spacing w:after="0" w:line="360" w:lineRule="auto"/>
        <w:ind w:firstLine="48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2、评标委员会对资格审查合格的投标文件进行符合性审查。依据招标文件的规定，对投标文件的有效性、完整性和对招标文件规定的格式响应程度进行审查，以确定是否对招标文件做出实质性的响应。对于未响应招标文件的投标商将不再进行商务和技术部分评价；</w:t>
      </w:r>
    </w:p>
    <w:p w14:paraId="25CFAA91">
      <w:pPr>
        <w:adjustRightIn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lang w:val="zh-CN"/>
        </w:rPr>
        <w:t>3、经</w:t>
      </w:r>
      <w:r>
        <w:rPr>
          <w:rFonts w:hint="eastAsia" w:ascii="宋体" w:hAnsi="宋体" w:eastAsia="宋体" w:cs="宋体"/>
          <w:kern w:val="2"/>
          <w:sz w:val="24"/>
          <w:szCs w:val="24"/>
        </w:rPr>
        <w:t>资质审查和符合性审查合格的投标文件（供应商不得少于3家），</w:t>
      </w:r>
      <w:r>
        <w:rPr>
          <w:rFonts w:hint="eastAsia" w:ascii="宋体" w:hAnsi="宋体" w:eastAsia="宋体"/>
          <w:sz w:val="24"/>
          <w:szCs w:val="28"/>
        </w:rPr>
        <w:t>进行第二轮的报价。</w:t>
      </w:r>
      <w:r>
        <w:rPr>
          <w:rFonts w:hint="eastAsia" w:ascii="宋体" w:hAnsi="宋体" w:eastAsia="宋体" w:cs="宋体"/>
          <w:kern w:val="2"/>
          <w:sz w:val="24"/>
          <w:szCs w:val="24"/>
        </w:rPr>
        <w:t>评标委员会将对其商务和技术部分作进一步的综合比较和评价，以综合得分最高的投标人作为中标候选供应商或者中标供应商。得分相同的，按投标报价由低到高顺序排列。得分且投标报价相同的并列。投标文件满足招标文件全部实质性要求，且按照评审因素的量化指标评审得分最高的投标人为排名第一的中标候选人。</w:t>
      </w:r>
    </w:p>
    <w:p w14:paraId="3134A9B4">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4、评标委员会对确定为实质上响应的投标进行政策功能评价，如涉及以下内容，具体标准为：</w:t>
      </w:r>
    </w:p>
    <w:p w14:paraId="6900346D">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1）评标委员会对于节能、环保产品或小型、微型企业或监狱企业的价格扣除，审核投标人填写的《政府采购政策情况表》。</w:t>
      </w:r>
    </w:p>
    <w:p w14:paraId="1561167E">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2）对于非专门面向中小微企业、监狱企业、残疾人福利性单位采购的项目，依照《政府采购促进中小企业发展管理办法》及《财政部关于进一步加大政府采购支持中小企业力度的通知》的规定，凡符合要求的有效投标人，按照10%比例给予相应的价格扣除。</w:t>
      </w:r>
    </w:p>
    <w:p w14:paraId="6F3B418F">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评标价＝总投标报价—小型和微型企业产品的价格×10%</w:t>
      </w:r>
    </w:p>
    <w:p w14:paraId="4A0A7CCE">
      <w:pPr>
        <w:adjustRightInd/>
        <w:spacing w:after="0" w:line="360" w:lineRule="auto"/>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注：①上述评标价仅用于计算价格评分，中标金额以实际投标价为准。</w:t>
      </w:r>
    </w:p>
    <w:p w14:paraId="03A8A430">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②小微企业、监狱企业、残疾人福利性单位是指投标人及其所投产品的制造商均为小微企业、监狱企业、残疾人福利性单位。</w:t>
      </w:r>
    </w:p>
    <w:p w14:paraId="56FF0335">
      <w:pPr>
        <w:adjustRightIn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③在技术、服务等指标同等条件下，结合具有环境标志、节能、自主创新的产品报价占总项目的比例，优先采购具有环境标志、节能、自主创新的产品。环境标志产品是指由财政部、国家环境保护总局制定的《环境标志产品政府采购品目清单》的产品在产品认证证书有效期内的；节能产品是指列入财政部、国家发展改革委制定的《节能产品政府采购品目清单》中的有效期内的产品；自主创新产品是指纳入财政部公布的《政府采购自主创新产品目录》中的有效期内的货物和服务。</w:t>
      </w:r>
    </w:p>
    <w:p w14:paraId="0E9134BD">
      <w:pPr>
        <w:adjustRightInd/>
        <w:spacing w:after="0" w:line="360" w:lineRule="auto"/>
        <w:ind w:firstLine="482"/>
        <w:jc w:val="both"/>
        <w:textAlignment w:val="baseline"/>
        <w:rPr>
          <w:rFonts w:ascii="宋体" w:hAnsi="宋体" w:eastAsia="宋体" w:cs="宋体"/>
          <w:kern w:val="2"/>
          <w:sz w:val="24"/>
          <w:szCs w:val="24"/>
        </w:rPr>
      </w:pPr>
      <w:r>
        <w:rPr>
          <w:rFonts w:hint="eastAsia" w:ascii="宋体" w:hAnsi="宋体" w:eastAsia="宋体" w:cs="宋体"/>
          <w:kern w:val="2"/>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9ABAEC">
      <w:pPr>
        <w:adjustRightInd/>
        <w:spacing w:after="0" w:line="360" w:lineRule="auto"/>
        <w:ind w:firstLine="235" w:firstLineChars="98"/>
        <w:jc w:val="both"/>
        <w:textAlignment w:val="baseline"/>
        <w:rPr>
          <w:rFonts w:ascii="宋体" w:hAnsi="宋体" w:eastAsia="宋体" w:cs="宋体"/>
          <w:kern w:val="2"/>
          <w:sz w:val="24"/>
          <w:szCs w:val="24"/>
        </w:rPr>
      </w:pPr>
      <w:r>
        <w:rPr>
          <w:rFonts w:hint="eastAsia" w:ascii="宋体" w:hAnsi="宋体" w:eastAsia="宋体" w:cs="宋体"/>
          <w:kern w:val="2"/>
          <w:sz w:val="24"/>
          <w:szCs w:val="24"/>
        </w:rPr>
        <w:t>5.3.2评标方法</w:t>
      </w:r>
    </w:p>
    <w:p w14:paraId="4EACB2E0">
      <w:pPr>
        <w:spacing w:after="0" w:line="560" w:lineRule="exact"/>
        <w:ind w:firstLine="480" w:firstLineChars="200"/>
        <w:rPr>
          <w:rFonts w:ascii="宋体" w:hAnsi="宋体" w:eastAsia="宋体"/>
          <w:sz w:val="24"/>
          <w:szCs w:val="28"/>
        </w:rPr>
      </w:pPr>
      <w:r>
        <w:rPr>
          <w:rFonts w:hint="eastAsia" w:ascii="宋体" w:hAnsi="宋体" w:eastAsia="宋体"/>
          <w:sz w:val="24"/>
          <w:szCs w:val="28"/>
        </w:rPr>
        <w:t>通过资格性和符合性审查的投标人在进行第二轮的报价后，采用“综合评分法”，即是指在最大限度地满足招标文件实质性要求前提下，按照招标文件中规定的各项因素进行综合评审后，以评标总得分最高的投标人作为拟中标供应商。综合评分法中的价格分统一采用低价优先法计算，即满足招标文件要求且投标最低的投标报价（优惠率最高）为评标基准价，其价格分为满分。其他投标人的价格分统一按照下列公式计算：</w:t>
      </w:r>
      <w:r>
        <w:rPr>
          <w:rFonts w:hint="eastAsia" w:ascii="宋体" w:hAnsi="宋体" w:eastAsia="宋体"/>
          <w:b/>
          <w:sz w:val="24"/>
          <w:szCs w:val="28"/>
        </w:rPr>
        <w:t>投标报价得分＝（评标基准价</w:t>
      </w:r>
      <w:r>
        <w:rPr>
          <w:rFonts w:ascii="宋体" w:hAnsi="宋体" w:eastAsia="宋体"/>
          <w:b/>
          <w:sz w:val="24"/>
          <w:szCs w:val="28"/>
        </w:rPr>
        <w:t>/</w:t>
      </w:r>
      <w:r>
        <w:rPr>
          <w:rFonts w:hint="eastAsia" w:ascii="宋体" w:hAnsi="宋体" w:eastAsia="宋体"/>
          <w:b/>
          <w:sz w:val="24"/>
          <w:szCs w:val="28"/>
        </w:rPr>
        <w:t>投标报价）×价格权值×</w:t>
      </w:r>
      <w:r>
        <w:rPr>
          <w:rFonts w:ascii="宋体" w:hAnsi="宋体" w:eastAsia="宋体"/>
          <w:b/>
          <w:sz w:val="24"/>
          <w:szCs w:val="28"/>
        </w:rPr>
        <w:t>100</w:t>
      </w:r>
      <w:r>
        <w:rPr>
          <w:rFonts w:hint="eastAsia" w:ascii="宋体" w:hAnsi="宋体" w:eastAsia="宋体"/>
          <w:b/>
          <w:sz w:val="24"/>
          <w:szCs w:val="28"/>
        </w:rPr>
        <w:t>。</w:t>
      </w:r>
      <w:r>
        <w:rPr>
          <w:rFonts w:hint="eastAsia" w:ascii="宋体" w:hAnsi="宋体" w:eastAsia="宋体"/>
          <w:sz w:val="24"/>
          <w:szCs w:val="28"/>
        </w:rPr>
        <w:t>若总得分相等时，投标报价得分最高者优先；若总得分和投标报价得分均相同时，由招标人自行确定。</w:t>
      </w:r>
    </w:p>
    <w:p w14:paraId="50C2E965">
      <w:pPr>
        <w:numPr>
          <w:ilvl w:val="0"/>
          <w:numId w:val="10"/>
        </w:numPr>
        <w:spacing w:line="560" w:lineRule="exact"/>
        <w:rPr>
          <w:rFonts w:ascii="宋体" w:hAnsi="宋体" w:eastAsia="宋体"/>
          <w:sz w:val="24"/>
          <w:szCs w:val="28"/>
        </w:rPr>
      </w:pPr>
      <w:r>
        <w:rPr>
          <w:rFonts w:hint="eastAsia" w:ascii="宋体" w:hAnsi="宋体" w:eastAsia="宋体"/>
          <w:sz w:val="24"/>
          <w:szCs w:val="28"/>
        </w:rPr>
        <w:t>评分标准</w:t>
      </w:r>
    </w:p>
    <w:tbl>
      <w:tblPr>
        <w:tblStyle w:val="15"/>
        <w:tblW w:w="95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567"/>
        <w:gridCol w:w="6049"/>
      </w:tblGrid>
      <w:tr w14:paraId="2D168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Align w:val="center"/>
          </w:tcPr>
          <w:p w14:paraId="5096BE96">
            <w:pPr>
              <w:widowControl w:val="0"/>
              <w:snapToGrid/>
              <w:jc w:val="both"/>
              <w:rPr>
                <w:rFonts w:ascii="宋体" w:hAnsi="宋体" w:eastAsia="宋体" w:cs="宋体"/>
                <w:b/>
                <w:color w:val="000000"/>
                <w:sz w:val="24"/>
                <w:szCs w:val="24"/>
              </w:rPr>
            </w:pPr>
            <w:r>
              <w:rPr>
                <w:rFonts w:hint="eastAsia" w:ascii="宋体" w:hAnsi="宋体" w:eastAsia="宋体" w:cs="宋体"/>
                <w:b/>
                <w:color w:val="000000"/>
                <w:sz w:val="24"/>
                <w:szCs w:val="24"/>
              </w:rPr>
              <w:t>类别</w:t>
            </w:r>
          </w:p>
        </w:tc>
        <w:tc>
          <w:tcPr>
            <w:tcW w:w="1417" w:type="dxa"/>
            <w:vAlign w:val="center"/>
          </w:tcPr>
          <w:p w14:paraId="000EBFD0">
            <w:pPr>
              <w:widowControl w:val="0"/>
              <w:snapToGrid/>
              <w:jc w:val="both"/>
              <w:rPr>
                <w:rFonts w:ascii="宋体" w:hAnsi="宋体" w:eastAsia="宋体" w:cs="宋体"/>
                <w:b/>
                <w:color w:val="000000"/>
                <w:sz w:val="24"/>
                <w:szCs w:val="24"/>
              </w:rPr>
            </w:pPr>
            <w:r>
              <w:rPr>
                <w:rFonts w:hint="eastAsia" w:ascii="宋体" w:hAnsi="宋体" w:eastAsia="宋体" w:cs="宋体"/>
                <w:b/>
                <w:color w:val="000000"/>
                <w:sz w:val="24"/>
                <w:szCs w:val="24"/>
              </w:rPr>
              <w:t>评分项目</w:t>
            </w:r>
          </w:p>
        </w:tc>
        <w:tc>
          <w:tcPr>
            <w:tcW w:w="567" w:type="dxa"/>
            <w:vAlign w:val="center"/>
          </w:tcPr>
          <w:p w14:paraId="262435A8">
            <w:pPr>
              <w:widowControl w:val="0"/>
              <w:snapToGrid/>
              <w:jc w:val="both"/>
              <w:rPr>
                <w:rFonts w:ascii="宋体" w:hAnsi="宋体" w:eastAsia="宋体" w:cs="宋体"/>
                <w:b/>
                <w:color w:val="000000"/>
                <w:sz w:val="24"/>
                <w:szCs w:val="24"/>
              </w:rPr>
            </w:pPr>
            <w:r>
              <w:rPr>
                <w:rFonts w:hint="eastAsia" w:ascii="宋体" w:hAnsi="宋体" w:eastAsia="宋体" w:cs="宋体"/>
                <w:b/>
                <w:color w:val="000000"/>
                <w:sz w:val="24"/>
                <w:szCs w:val="24"/>
              </w:rPr>
              <w:t>分值</w:t>
            </w:r>
          </w:p>
        </w:tc>
        <w:tc>
          <w:tcPr>
            <w:tcW w:w="6049" w:type="dxa"/>
            <w:vAlign w:val="center"/>
          </w:tcPr>
          <w:p w14:paraId="573A6429">
            <w:pPr>
              <w:widowControl w:val="0"/>
              <w:snapToGrid/>
              <w:jc w:val="center"/>
              <w:rPr>
                <w:rFonts w:ascii="宋体" w:hAnsi="宋体" w:eastAsia="宋体" w:cs="宋体"/>
                <w:b/>
                <w:color w:val="000000"/>
                <w:sz w:val="24"/>
                <w:szCs w:val="24"/>
              </w:rPr>
            </w:pPr>
            <w:r>
              <w:rPr>
                <w:rFonts w:hint="eastAsia" w:ascii="宋体" w:hAnsi="宋体" w:eastAsia="宋体" w:cs="宋体"/>
                <w:b/>
                <w:color w:val="000000"/>
                <w:sz w:val="24"/>
                <w:szCs w:val="24"/>
              </w:rPr>
              <w:t>评分参考</w:t>
            </w:r>
          </w:p>
        </w:tc>
      </w:tr>
      <w:tr w14:paraId="1B5A8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Align w:val="center"/>
          </w:tcPr>
          <w:p w14:paraId="20E794EC">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投标报价（总分</w:t>
            </w:r>
            <w:r>
              <w:rPr>
                <w:rFonts w:ascii="宋体" w:hAnsi="宋体" w:eastAsia="宋体" w:cs="宋体"/>
                <w:color w:val="000000"/>
                <w:sz w:val="24"/>
                <w:szCs w:val="24"/>
              </w:rPr>
              <w:t>1</w:t>
            </w:r>
            <w:r>
              <w:rPr>
                <w:rFonts w:hint="eastAsia" w:ascii="宋体" w:hAnsi="宋体" w:eastAsia="宋体" w:cs="宋体"/>
                <w:color w:val="000000"/>
                <w:sz w:val="24"/>
                <w:szCs w:val="24"/>
              </w:rPr>
              <w:t>0分）</w:t>
            </w:r>
          </w:p>
        </w:tc>
        <w:tc>
          <w:tcPr>
            <w:tcW w:w="1417" w:type="dxa"/>
            <w:tcBorders>
              <w:bottom w:val="single" w:color="auto" w:sz="4" w:space="0"/>
            </w:tcBorders>
            <w:vAlign w:val="center"/>
          </w:tcPr>
          <w:p w14:paraId="4AA1264B">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投标报价得分</w:t>
            </w:r>
          </w:p>
        </w:tc>
        <w:tc>
          <w:tcPr>
            <w:tcW w:w="567" w:type="dxa"/>
            <w:vAlign w:val="center"/>
          </w:tcPr>
          <w:p w14:paraId="5D14AB27">
            <w:pPr>
              <w:widowControl w:val="0"/>
              <w:snapToGrid/>
              <w:jc w:val="both"/>
              <w:rPr>
                <w:rFonts w:ascii="宋体" w:hAnsi="宋体" w:eastAsia="宋体" w:cs="宋体"/>
                <w:color w:val="000000"/>
                <w:sz w:val="24"/>
                <w:szCs w:val="24"/>
              </w:rPr>
            </w:pPr>
            <w:r>
              <w:rPr>
                <w:rFonts w:ascii="宋体" w:hAnsi="宋体" w:eastAsia="宋体" w:cs="宋体"/>
                <w:color w:val="000000"/>
                <w:sz w:val="24"/>
                <w:szCs w:val="24"/>
              </w:rPr>
              <w:t>10</w:t>
            </w:r>
          </w:p>
        </w:tc>
        <w:tc>
          <w:tcPr>
            <w:tcW w:w="6049" w:type="dxa"/>
            <w:vAlign w:val="center"/>
          </w:tcPr>
          <w:p w14:paraId="5F84505F">
            <w:pPr>
              <w:widowControl w:val="0"/>
              <w:adjustRightInd/>
              <w:snapToGrid/>
              <w:rPr>
                <w:rFonts w:ascii="宋体" w:hAnsi="宋体" w:eastAsia="宋体" w:cs="宋体"/>
                <w:color w:val="000000"/>
                <w:sz w:val="24"/>
                <w:szCs w:val="24"/>
              </w:rPr>
            </w:pPr>
            <w:r>
              <w:rPr>
                <w:rFonts w:hint="eastAsia" w:ascii="宋体" w:hAnsi="宋体" w:eastAsia="宋体" w:cs="宋体"/>
                <w:color w:val="000000"/>
                <w:sz w:val="24"/>
                <w:szCs w:val="24"/>
              </w:rPr>
              <w:t>1、满足招标文件要求且最后报价最低的投标报价为投标基准价，其价格分为满分。其他供应商的价格分统一按照下列公式计算： 投标报价得分=（投标基准价／投标报价）×100×价格权重 。</w:t>
            </w:r>
          </w:p>
          <w:p w14:paraId="6DDB9D3B">
            <w:pPr>
              <w:widowControl w:val="0"/>
              <w:adjustRightInd/>
              <w:snapToGrid/>
              <w:rPr>
                <w:rFonts w:ascii="宋体" w:hAnsi="宋体" w:eastAsia="宋体" w:cs="宋体"/>
                <w:color w:val="000000"/>
                <w:sz w:val="24"/>
                <w:szCs w:val="24"/>
              </w:rPr>
            </w:pPr>
            <w:r>
              <w:rPr>
                <w:rFonts w:hint="eastAsia" w:ascii="宋体" w:hAnsi="宋体" w:eastAsia="宋体" w:cs="宋体"/>
                <w:color w:val="000000"/>
                <w:sz w:val="24"/>
                <w:szCs w:val="24"/>
              </w:rPr>
              <w:t>备注： 1.投标报价得分四舍五入保留小数点后两位数； 2.若投标报价高于报价上限，则其投标文件按无效投标文件处理。</w:t>
            </w:r>
          </w:p>
        </w:tc>
      </w:tr>
      <w:tr w14:paraId="6058E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Merge w:val="restart"/>
            <w:vAlign w:val="center"/>
          </w:tcPr>
          <w:p w14:paraId="5B5E2CA5">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技术部分（总分</w:t>
            </w:r>
            <w:r>
              <w:rPr>
                <w:rFonts w:ascii="宋体" w:hAnsi="宋体" w:eastAsia="宋体" w:cs="宋体"/>
                <w:color w:val="000000"/>
                <w:sz w:val="24"/>
                <w:szCs w:val="24"/>
              </w:rPr>
              <w:t>75</w:t>
            </w:r>
            <w:r>
              <w:rPr>
                <w:rFonts w:hint="eastAsia" w:ascii="宋体" w:hAnsi="宋体" w:eastAsia="宋体" w:cs="宋体"/>
                <w:color w:val="000000"/>
                <w:sz w:val="24"/>
                <w:szCs w:val="24"/>
              </w:rPr>
              <w:t>分）</w:t>
            </w:r>
          </w:p>
        </w:tc>
        <w:tc>
          <w:tcPr>
            <w:tcW w:w="1417" w:type="dxa"/>
            <w:vAlign w:val="center"/>
          </w:tcPr>
          <w:p w14:paraId="3ECF1EB4">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服务方案完整性</w:t>
            </w:r>
          </w:p>
        </w:tc>
        <w:tc>
          <w:tcPr>
            <w:tcW w:w="567" w:type="dxa"/>
            <w:vAlign w:val="center"/>
          </w:tcPr>
          <w:p w14:paraId="6B3E0C7A">
            <w:pPr>
              <w:widowControl w:val="0"/>
              <w:snapToGrid/>
              <w:jc w:val="both"/>
              <w:rPr>
                <w:rFonts w:ascii="宋体" w:hAnsi="宋体" w:eastAsia="宋体" w:cs="宋体"/>
                <w:color w:val="000000"/>
                <w:sz w:val="24"/>
                <w:szCs w:val="24"/>
              </w:rPr>
            </w:pPr>
            <w:r>
              <w:rPr>
                <w:rFonts w:ascii="宋体" w:hAnsi="宋体" w:eastAsia="宋体" w:cs="宋体"/>
                <w:color w:val="000000"/>
                <w:sz w:val="24"/>
                <w:szCs w:val="24"/>
              </w:rPr>
              <w:t>20</w:t>
            </w:r>
          </w:p>
        </w:tc>
        <w:tc>
          <w:tcPr>
            <w:tcW w:w="6049" w:type="dxa"/>
          </w:tcPr>
          <w:p w14:paraId="3B7B6551">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针对本项目服务的内容、形式、时间，以及计划的周密性、服务保障措施的合理性。:</w:t>
            </w:r>
          </w:p>
          <w:p w14:paraId="0368EBEE">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一档:内容 清晰完整、逻辑清晰，全面、合理，科学、规范、可行性强的得</w:t>
            </w:r>
            <w:r>
              <w:rPr>
                <w:rFonts w:ascii="宋体" w:hAnsi="宋体" w:eastAsia="宋体" w:cs="宋体"/>
                <w:bCs/>
                <w:color w:val="000000"/>
                <w:sz w:val="24"/>
                <w:szCs w:val="24"/>
              </w:rPr>
              <w:t>15</w:t>
            </w:r>
            <w:r>
              <w:rPr>
                <w:rFonts w:hint="eastAsia" w:ascii="宋体" w:hAnsi="宋体" w:eastAsia="宋体" w:cs="宋体"/>
                <w:bCs/>
                <w:color w:val="000000"/>
                <w:sz w:val="24"/>
                <w:szCs w:val="24"/>
              </w:rPr>
              <w:t>-</w:t>
            </w:r>
            <w:r>
              <w:rPr>
                <w:rFonts w:ascii="宋体" w:hAnsi="宋体" w:eastAsia="宋体" w:cs="宋体"/>
                <w:bCs/>
                <w:color w:val="000000"/>
                <w:sz w:val="24"/>
                <w:szCs w:val="24"/>
              </w:rPr>
              <w:t>2</w:t>
            </w:r>
            <w:r>
              <w:rPr>
                <w:rFonts w:hint="eastAsia" w:ascii="宋体" w:hAnsi="宋体" w:eastAsia="宋体" w:cs="宋体"/>
                <w:bCs/>
                <w:color w:val="000000"/>
                <w:sz w:val="24"/>
                <w:szCs w:val="24"/>
              </w:rPr>
              <w:t>0</w:t>
            </w:r>
            <w:r>
              <w:rPr>
                <w:rFonts w:hint="eastAsia" w:ascii="宋体" w:hAnsi="宋体" w:eastAsia="宋体" w:cs="宋体"/>
                <w:color w:val="000000"/>
                <w:sz w:val="24"/>
                <w:szCs w:val="24"/>
              </w:rPr>
              <w:t>分;</w:t>
            </w:r>
          </w:p>
          <w:p w14:paraId="384DFC9F">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二档:内容基本完整、逻辑基本清晰，基本全面、合理，方案可行、较为规范，基本满足采购人项目需求，得</w:t>
            </w:r>
            <w:r>
              <w:rPr>
                <w:rFonts w:ascii="宋体" w:hAnsi="宋体" w:eastAsia="宋体" w:cs="宋体"/>
                <w:color w:val="000000"/>
                <w:sz w:val="24"/>
                <w:szCs w:val="24"/>
              </w:rPr>
              <w:t>10</w:t>
            </w:r>
            <w:r>
              <w:rPr>
                <w:rFonts w:hint="eastAsia" w:ascii="宋体" w:hAnsi="宋体" w:eastAsia="宋体" w:cs="宋体"/>
                <w:color w:val="000000"/>
                <w:sz w:val="24"/>
                <w:szCs w:val="24"/>
              </w:rPr>
              <w:t>-</w:t>
            </w:r>
            <w:r>
              <w:rPr>
                <w:rFonts w:ascii="宋体" w:hAnsi="宋体" w:eastAsia="宋体" w:cs="宋体"/>
                <w:color w:val="000000"/>
                <w:sz w:val="24"/>
                <w:szCs w:val="24"/>
              </w:rPr>
              <w:t>15</w:t>
            </w:r>
            <w:r>
              <w:rPr>
                <w:rFonts w:hint="eastAsia" w:ascii="宋体" w:hAnsi="宋体" w:eastAsia="宋体" w:cs="宋体"/>
                <w:color w:val="000000"/>
                <w:sz w:val="24"/>
                <w:szCs w:val="24"/>
              </w:rPr>
              <w:t>分;</w:t>
            </w:r>
          </w:p>
          <w:p w14:paraId="00E49853">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三档:内容基本完整、逻辑基本清晰，基本全面、合理，方案可行、较为规范，方案不存在严重缺项得1-</w:t>
            </w:r>
            <w:r>
              <w:rPr>
                <w:rFonts w:ascii="宋体" w:hAnsi="宋体" w:eastAsia="宋体" w:cs="宋体"/>
                <w:color w:val="000000"/>
                <w:sz w:val="24"/>
                <w:szCs w:val="24"/>
              </w:rPr>
              <w:t>10</w:t>
            </w:r>
            <w:r>
              <w:rPr>
                <w:rFonts w:hint="eastAsia" w:ascii="宋体" w:hAnsi="宋体" w:eastAsia="宋体" w:cs="宋体"/>
                <w:color w:val="000000"/>
                <w:sz w:val="24"/>
                <w:szCs w:val="24"/>
              </w:rPr>
              <w:t>分:</w:t>
            </w:r>
          </w:p>
          <w:p w14:paraId="5CE97B45">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四档:内容存在严重缺项或不提供，得0分</w:t>
            </w:r>
          </w:p>
        </w:tc>
      </w:tr>
      <w:tr w14:paraId="786ED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Merge w:val="continue"/>
            <w:vAlign w:val="center"/>
          </w:tcPr>
          <w:p w14:paraId="47E1E89D">
            <w:pPr>
              <w:widowControl w:val="0"/>
              <w:snapToGrid/>
              <w:jc w:val="center"/>
              <w:rPr>
                <w:rFonts w:ascii="宋体" w:hAnsi="宋体" w:eastAsia="宋体" w:cs="宋体"/>
                <w:color w:val="000000"/>
                <w:sz w:val="24"/>
                <w:szCs w:val="24"/>
              </w:rPr>
            </w:pPr>
          </w:p>
        </w:tc>
        <w:tc>
          <w:tcPr>
            <w:tcW w:w="1417" w:type="dxa"/>
            <w:tcBorders>
              <w:top w:val="single" w:color="auto" w:sz="4" w:space="0"/>
            </w:tcBorders>
            <w:vAlign w:val="center"/>
          </w:tcPr>
          <w:p w14:paraId="308D3398">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团队人员</w:t>
            </w:r>
          </w:p>
        </w:tc>
        <w:tc>
          <w:tcPr>
            <w:tcW w:w="567" w:type="dxa"/>
            <w:vAlign w:val="center"/>
          </w:tcPr>
          <w:p w14:paraId="67E77FCB">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ascii="宋体" w:hAnsi="宋体" w:eastAsia="宋体" w:cs="宋体"/>
                <w:color w:val="000000"/>
                <w:kern w:val="2"/>
                <w:sz w:val="24"/>
                <w:szCs w:val="24"/>
              </w:rPr>
              <w:t>5</w:t>
            </w:r>
          </w:p>
        </w:tc>
        <w:tc>
          <w:tcPr>
            <w:tcW w:w="6049" w:type="dxa"/>
          </w:tcPr>
          <w:p w14:paraId="229F1E9A">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供应商具有详细、全面、切实可行的项目服务实施技术力量、实施方案和计划、人员安排:</w:t>
            </w:r>
          </w:p>
          <w:p w14:paraId="651A874C">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一档:内容 清晰完整、逻辑清晰，全面、合理，科学、规 范、可行性强的得</w:t>
            </w:r>
            <w:r>
              <w:rPr>
                <w:rFonts w:ascii="宋体" w:hAnsi="宋体" w:eastAsia="宋体" w:cs="宋体"/>
                <w:bCs/>
                <w:color w:val="000000"/>
                <w:sz w:val="24"/>
                <w:szCs w:val="24"/>
              </w:rPr>
              <w:t>10</w:t>
            </w:r>
            <w:r>
              <w:rPr>
                <w:rFonts w:hint="eastAsia" w:ascii="宋体" w:hAnsi="宋体" w:eastAsia="宋体" w:cs="宋体"/>
                <w:bCs/>
                <w:color w:val="000000"/>
                <w:sz w:val="24"/>
                <w:szCs w:val="24"/>
              </w:rPr>
              <w:t>-1</w:t>
            </w:r>
            <w:r>
              <w:rPr>
                <w:rFonts w:ascii="宋体" w:hAnsi="宋体" w:eastAsia="宋体" w:cs="宋体"/>
                <w:bCs/>
                <w:color w:val="000000"/>
                <w:sz w:val="24"/>
                <w:szCs w:val="24"/>
              </w:rPr>
              <w:t>5</w:t>
            </w:r>
            <w:r>
              <w:rPr>
                <w:rFonts w:hint="eastAsia" w:ascii="宋体" w:hAnsi="宋体" w:eastAsia="宋体" w:cs="宋体"/>
                <w:bCs/>
                <w:color w:val="000000"/>
                <w:sz w:val="24"/>
                <w:szCs w:val="24"/>
              </w:rPr>
              <w:t>分;</w:t>
            </w:r>
          </w:p>
          <w:p w14:paraId="7D343EE2">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二档:内容基本完整、逻辑基本清晰，基本全面、合理，方案可行、较为规范，基本满足采购人项目需求，得5-</w:t>
            </w:r>
            <w:r>
              <w:rPr>
                <w:rFonts w:ascii="宋体" w:hAnsi="宋体" w:eastAsia="宋体" w:cs="宋体"/>
                <w:bCs/>
                <w:color w:val="000000"/>
                <w:sz w:val="24"/>
                <w:szCs w:val="24"/>
              </w:rPr>
              <w:t>10</w:t>
            </w:r>
            <w:r>
              <w:rPr>
                <w:rFonts w:hint="eastAsia" w:ascii="宋体" w:hAnsi="宋体" w:eastAsia="宋体" w:cs="宋体"/>
                <w:bCs/>
                <w:color w:val="000000"/>
                <w:sz w:val="24"/>
                <w:szCs w:val="24"/>
              </w:rPr>
              <w:t xml:space="preserve"> 分:</w:t>
            </w:r>
          </w:p>
          <w:p w14:paraId="713BD46D">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三档:内容基本完整、逻辑基本清晰，基本全面、合理，方案可行、较为规范，方案不存在严重缺项得1-</w:t>
            </w:r>
            <w:r>
              <w:rPr>
                <w:rFonts w:ascii="宋体" w:hAnsi="宋体" w:eastAsia="宋体" w:cs="宋体"/>
                <w:bCs/>
                <w:color w:val="000000"/>
                <w:sz w:val="24"/>
                <w:szCs w:val="24"/>
              </w:rPr>
              <w:t>5</w:t>
            </w:r>
            <w:r>
              <w:rPr>
                <w:rFonts w:hint="eastAsia" w:ascii="宋体" w:hAnsi="宋体" w:eastAsia="宋体" w:cs="宋体"/>
                <w:bCs/>
                <w:color w:val="000000"/>
                <w:sz w:val="24"/>
                <w:szCs w:val="24"/>
              </w:rPr>
              <w:t xml:space="preserve"> 分;</w:t>
            </w:r>
          </w:p>
          <w:p w14:paraId="0D2877F8">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四档:内容存在严重缺项或不提供，得0分</w:t>
            </w:r>
          </w:p>
        </w:tc>
      </w:tr>
      <w:tr w14:paraId="76D9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Merge w:val="continue"/>
            <w:vAlign w:val="center"/>
          </w:tcPr>
          <w:p w14:paraId="70C9A98C">
            <w:pPr>
              <w:widowControl w:val="0"/>
              <w:snapToGrid/>
              <w:jc w:val="center"/>
              <w:rPr>
                <w:rFonts w:ascii="宋体" w:hAnsi="宋体" w:eastAsia="宋体" w:cs="宋体"/>
                <w:color w:val="000000"/>
                <w:sz w:val="24"/>
                <w:szCs w:val="24"/>
              </w:rPr>
            </w:pPr>
          </w:p>
        </w:tc>
        <w:tc>
          <w:tcPr>
            <w:tcW w:w="1417" w:type="dxa"/>
            <w:tcBorders>
              <w:top w:val="single" w:color="auto" w:sz="4" w:space="0"/>
            </w:tcBorders>
            <w:vAlign w:val="center"/>
          </w:tcPr>
          <w:p w14:paraId="5A3CF1C6">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服务保密措 施</w:t>
            </w:r>
          </w:p>
        </w:tc>
        <w:tc>
          <w:tcPr>
            <w:tcW w:w="567" w:type="dxa"/>
            <w:vAlign w:val="center"/>
          </w:tcPr>
          <w:p w14:paraId="3F1B1FCB">
            <w:pPr>
              <w:widowControl w:val="0"/>
              <w:snapToGrid/>
              <w:jc w:val="both"/>
              <w:rPr>
                <w:rFonts w:ascii="宋体" w:hAnsi="宋体" w:eastAsia="宋体" w:cs="宋体"/>
                <w:color w:val="000000"/>
                <w:kern w:val="2"/>
                <w:sz w:val="24"/>
                <w:szCs w:val="24"/>
              </w:rPr>
            </w:pPr>
            <w:r>
              <w:rPr>
                <w:rFonts w:ascii="宋体" w:hAnsi="宋体" w:eastAsia="宋体" w:cs="宋体"/>
                <w:color w:val="000000"/>
                <w:kern w:val="2"/>
                <w:sz w:val="24"/>
                <w:szCs w:val="24"/>
              </w:rPr>
              <w:t>2</w:t>
            </w:r>
            <w:r>
              <w:rPr>
                <w:rFonts w:hint="eastAsia" w:ascii="宋体" w:hAnsi="宋体" w:eastAsia="宋体" w:cs="宋体"/>
                <w:color w:val="000000"/>
                <w:kern w:val="2"/>
                <w:sz w:val="24"/>
                <w:szCs w:val="24"/>
              </w:rPr>
              <w:t>0</w:t>
            </w:r>
          </w:p>
        </w:tc>
        <w:tc>
          <w:tcPr>
            <w:tcW w:w="6049" w:type="dxa"/>
          </w:tcPr>
          <w:p w14:paraId="25D15281">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针对本项目的服务，有切实可行的案件信息保密方案和措施:</w:t>
            </w:r>
          </w:p>
          <w:p w14:paraId="5CAAEDDB">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一档:内容 清晰完整、逻辑清晰，全面、合理，科学、规范、可行性强的得</w:t>
            </w:r>
            <w:r>
              <w:rPr>
                <w:rFonts w:ascii="宋体" w:hAnsi="宋体" w:eastAsia="宋体" w:cs="宋体"/>
                <w:bCs/>
                <w:color w:val="000000"/>
                <w:sz w:val="24"/>
                <w:szCs w:val="24"/>
              </w:rPr>
              <w:t>15</w:t>
            </w:r>
            <w:r>
              <w:rPr>
                <w:rFonts w:hint="eastAsia" w:ascii="宋体" w:hAnsi="宋体" w:eastAsia="宋体" w:cs="宋体"/>
                <w:bCs/>
                <w:color w:val="000000"/>
                <w:sz w:val="24"/>
                <w:szCs w:val="24"/>
              </w:rPr>
              <w:t>-</w:t>
            </w:r>
            <w:r>
              <w:rPr>
                <w:rFonts w:ascii="宋体" w:hAnsi="宋体" w:eastAsia="宋体" w:cs="宋体"/>
                <w:bCs/>
                <w:color w:val="000000"/>
                <w:sz w:val="24"/>
                <w:szCs w:val="24"/>
              </w:rPr>
              <w:t>2</w:t>
            </w:r>
            <w:r>
              <w:rPr>
                <w:rFonts w:hint="eastAsia" w:ascii="宋体" w:hAnsi="宋体" w:eastAsia="宋体" w:cs="宋体"/>
                <w:bCs/>
                <w:color w:val="000000"/>
                <w:sz w:val="24"/>
                <w:szCs w:val="24"/>
              </w:rPr>
              <w:t>0分;</w:t>
            </w:r>
          </w:p>
          <w:p w14:paraId="7595FD79">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二档:内容基本完整、逻辑基本清晰，基本全面、合理，方案 和措施 可行、较为规范，基本满足采购人项目需求，得</w:t>
            </w:r>
            <w:r>
              <w:rPr>
                <w:rFonts w:ascii="宋体" w:hAnsi="宋体" w:eastAsia="宋体" w:cs="宋体"/>
                <w:color w:val="000000"/>
                <w:sz w:val="24"/>
                <w:szCs w:val="24"/>
              </w:rPr>
              <w:t>10</w:t>
            </w:r>
            <w:r>
              <w:rPr>
                <w:rFonts w:hint="eastAsia" w:ascii="宋体" w:hAnsi="宋体" w:eastAsia="宋体" w:cs="宋体"/>
                <w:color w:val="000000"/>
                <w:sz w:val="24"/>
                <w:szCs w:val="24"/>
              </w:rPr>
              <w:t>-</w:t>
            </w:r>
            <w:r>
              <w:rPr>
                <w:rFonts w:ascii="宋体" w:hAnsi="宋体" w:eastAsia="宋体" w:cs="宋体"/>
                <w:color w:val="000000"/>
                <w:sz w:val="24"/>
                <w:szCs w:val="24"/>
              </w:rPr>
              <w:t>15</w:t>
            </w:r>
            <w:r>
              <w:rPr>
                <w:rFonts w:hint="eastAsia" w:ascii="宋体" w:hAnsi="宋体" w:eastAsia="宋体" w:cs="宋体"/>
                <w:bCs/>
                <w:color w:val="000000"/>
                <w:sz w:val="24"/>
                <w:szCs w:val="24"/>
              </w:rPr>
              <w:t>分;</w:t>
            </w:r>
          </w:p>
          <w:p w14:paraId="60DB5DB7">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 xml:space="preserve">三档:内容基本完整、逻辑基本清晰，基本全面、合理，方案 和措施可行、较为规范，方案不存在严重缺项得 </w:t>
            </w:r>
            <w:r>
              <w:rPr>
                <w:rFonts w:hint="eastAsia" w:ascii="宋体" w:hAnsi="宋体" w:eastAsia="宋体" w:cs="宋体"/>
                <w:color w:val="000000"/>
                <w:sz w:val="24"/>
                <w:szCs w:val="24"/>
              </w:rPr>
              <w:t>1-</w:t>
            </w:r>
            <w:r>
              <w:rPr>
                <w:rFonts w:ascii="宋体" w:hAnsi="宋体" w:eastAsia="宋体" w:cs="宋体"/>
                <w:color w:val="000000"/>
                <w:sz w:val="24"/>
                <w:szCs w:val="24"/>
              </w:rPr>
              <w:t>10</w:t>
            </w:r>
            <w:r>
              <w:rPr>
                <w:rFonts w:hint="eastAsia" w:ascii="宋体" w:hAnsi="宋体" w:eastAsia="宋体" w:cs="宋体"/>
                <w:bCs/>
                <w:color w:val="000000"/>
                <w:sz w:val="24"/>
                <w:szCs w:val="24"/>
              </w:rPr>
              <w:t>分:</w:t>
            </w:r>
          </w:p>
          <w:p w14:paraId="3853A0CC">
            <w:pPr>
              <w:widowControl w:val="0"/>
              <w:tabs>
                <w:tab w:val="left" w:pos="540"/>
              </w:tabs>
              <w:autoSpaceDE w:val="0"/>
              <w:autoSpaceDN w:val="0"/>
              <w:snapToGrid/>
              <w:rPr>
                <w:rFonts w:ascii="宋体" w:hAnsi="宋体" w:eastAsia="宋体" w:cs="宋体"/>
                <w:bCs/>
                <w:color w:val="000000"/>
                <w:sz w:val="24"/>
                <w:szCs w:val="24"/>
              </w:rPr>
            </w:pPr>
            <w:r>
              <w:rPr>
                <w:rFonts w:hint="eastAsia" w:ascii="宋体" w:hAnsi="宋体" w:eastAsia="宋体" w:cs="宋体"/>
                <w:bCs/>
                <w:color w:val="000000"/>
                <w:sz w:val="24"/>
                <w:szCs w:val="24"/>
              </w:rPr>
              <w:t>四档:内容存在严重缺项或不提供，得0分</w:t>
            </w:r>
          </w:p>
        </w:tc>
      </w:tr>
      <w:tr w14:paraId="07247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Merge w:val="continue"/>
            <w:vAlign w:val="center"/>
          </w:tcPr>
          <w:p w14:paraId="3669499C">
            <w:pPr>
              <w:widowControl w:val="0"/>
              <w:snapToGrid/>
              <w:jc w:val="center"/>
              <w:rPr>
                <w:rFonts w:ascii="宋体" w:hAnsi="宋体" w:eastAsia="宋体" w:cs="宋体"/>
                <w:color w:val="000000"/>
                <w:sz w:val="24"/>
                <w:szCs w:val="24"/>
              </w:rPr>
            </w:pPr>
          </w:p>
        </w:tc>
        <w:tc>
          <w:tcPr>
            <w:tcW w:w="1417" w:type="dxa"/>
            <w:vAlign w:val="center"/>
          </w:tcPr>
          <w:p w14:paraId="39A45AC8">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服务成果保障措施</w:t>
            </w:r>
          </w:p>
        </w:tc>
        <w:tc>
          <w:tcPr>
            <w:tcW w:w="567" w:type="dxa"/>
            <w:vAlign w:val="center"/>
          </w:tcPr>
          <w:p w14:paraId="3C7836AE">
            <w:pPr>
              <w:widowControl w:val="0"/>
              <w:snapToGrid/>
              <w:jc w:val="both"/>
              <w:rPr>
                <w:rFonts w:ascii="宋体" w:hAnsi="宋体" w:eastAsia="宋体" w:cs="宋体"/>
                <w:color w:val="000000"/>
                <w:kern w:val="2"/>
                <w:sz w:val="24"/>
                <w:szCs w:val="24"/>
              </w:rPr>
            </w:pPr>
            <w:r>
              <w:rPr>
                <w:rFonts w:ascii="宋体" w:hAnsi="宋体" w:eastAsia="宋体" w:cs="宋体"/>
                <w:color w:val="000000"/>
                <w:kern w:val="2"/>
                <w:sz w:val="24"/>
                <w:szCs w:val="24"/>
              </w:rPr>
              <w:t>20</w:t>
            </w:r>
          </w:p>
        </w:tc>
        <w:tc>
          <w:tcPr>
            <w:tcW w:w="6049" w:type="dxa"/>
          </w:tcPr>
          <w:p w14:paraId="4008EE4B">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供应商承诺为采购人提供精准资金分析服务的成果，并随时配合采购人行动的服务承诺:</w:t>
            </w:r>
          </w:p>
          <w:p w14:paraId="6A2DC5B1">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一档:内容清晰完整、逻辑清晰，全面、合理，科学、规范、可行性强的得</w:t>
            </w:r>
            <w:r>
              <w:rPr>
                <w:rFonts w:ascii="宋体" w:hAnsi="宋体" w:eastAsia="宋体" w:cs="宋体"/>
                <w:color w:val="000000"/>
                <w:sz w:val="24"/>
                <w:szCs w:val="24"/>
              </w:rPr>
              <w:t>15</w:t>
            </w: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0分:</w:t>
            </w:r>
          </w:p>
          <w:p w14:paraId="1BDD5E93">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二档:内容 基本完整、逻辑基本清晰,基本全面、合理，承诺 可行，基本满足采购人项目需求，得</w:t>
            </w:r>
            <w:r>
              <w:rPr>
                <w:rFonts w:ascii="宋体" w:hAnsi="宋体" w:eastAsia="宋体" w:cs="宋体"/>
                <w:color w:val="000000"/>
                <w:sz w:val="24"/>
                <w:szCs w:val="24"/>
              </w:rPr>
              <w:t>10</w:t>
            </w:r>
            <w:r>
              <w:rPr>
                <w:rFonts w:hint="eastAsia" w:ascii="宋体" w:hAnsi="宋体" w:eastAsia="宋体" w:cs="宋体"/>
                <w:color w:val="000000"/>
                <w:sz w:val="24"/>
                <w:szCs w:val="24"/>
              </w:rPr>
              <w:t>-</w:t>
            </w:r>
            <w:r>
              <w:rPr>
                <w:rFonts w:ascii="宋体" w:hAnsi="宋体" w:eastAsia="宋体" w:cs="宋体"/>
                <w:color w:val="000000"/>
                <w:sz w:val="24"/>
                <w:szCs w:val="24"/>
              </w:rPr>
              <w:t>15</w:t>
            </w:r>
            <w:r>
              <w:rPr>
                <w:rFonts w:hint="eastAsia" w:ascii="宋体" w:hAnsi="宋体" w:eastAsia="宋体" w:cs="宋体"/>
                <w:color w:val="000000"/>
                <w:sz w:val="24"/>
                <w:szCs w:val="24"/>
              </w:rPr>
              <w:t>分;</w:t>
            </w:r>
          </w:p>
          <w:p w14:paraId="473BE217">
            <w:pPr>
              <w:widowControl w:val="0"/>
              <w:tabs>
                <w:tab w:val="left" w:pos="540"/>
              </w:tabs>
              <w:autoSpaceDE w:val="0"/>
              <w:autoSpaceDN w:val="0"/>
              <w:snapToGrid/>
              <w:rPr>
                <w:rFonts w:ascii="宋体" w:hAnsi="宋体" w:eastAsia="宋体" w:cs="宋体"/>
                <w:color w:val="000000"/>
                <w:sz w:val="24"/>
                <w:szCs w:val="24"/>
              </w:rPr>
            </w:pPr>
            <w:r>
              <w:rPr>
                <w:rFonts w:hint="eastAsia" w:ascii="宋体" w:hAnsi="宋体" w:eastAsia="宋体" w:cs="宋体"/>
                <w:color w:val="000000"/>
                <w:sz w:val="24"/>
                <w:szCs w:val="24"/>
              </w:rPr>
              <w:t>三档:内容基本完整、逻辑基本清晰，基本全面、合理，承诺 可行，方案不存在严重缺项得1-</w:t>
            </w:r>
            <w:r>
              <w:rPr>
                <w:rFonts w:ascii="宋体" w:hAnsi="宋体" w:eastAsia="宋体" w:cs="宋体"/>
                <w:color w:val="000000"/>
                <w:sz w:val="24"/>
                <w:szCs w:val="24"/>
              </w:rPr>
              <w:t>10</w:t>
            </w:r>
            <w:r>
              <w:rPr>
                <w:rFonts w:hint="eastAsia" w:ascii="宋体" w:hAnsi="宋体" w:eastAsia="宋体" w:cs="宋体"/>
                <w:color w:val="000000"/>
                <w:sz w:val="24"/>
                <w:szCs w:val="24"/>
              </w:rPr>
              <w:t>分</w:t>
            </w:r>
          </w:p>
          <w:p w14:paraId="24F9AA1E">
            <w:pPr>
              <w:widowControl w:val="0"/>
              <w:tabs>
                <w:tab w:val="left" w:pos="540"/>
              </w:tabs>
              <w:autoSpaceDE w:val="0"/>
              <w:autoSpaceDN w:val="0"/>
              <w:snapToGrid/>
              <w:rPr>
                <w:rFonts w:ascii="宋体" w:hAnsi="宋体" w:eastAsia="宋体" w:cs="宋体"/>
                <w:b/>
                <w:bCs/>
                <w:color w:val="000000"/>
                <w:kern w:val="2"/>
                <w:sz w:val="24"/>
                <w:szCs w:val="24"/>
              </w:rPr>
            </w:pPr>
            <w:r>
              <w:rPr>
                <w:rFonts w:hint="eastAsia" w:ascii="宋体" w:hAnsi="宋体" w:eastAsia="宋体" w:cs="宋体"/>
                <w:color w:val="000000"/>
                <w:sz w:val="24"/>
                <w:szCs w:val="24"/>
              </w:rPr>
              <w:t>四档:内容存在严重缺项或不提供，得0分</w:t>
            </w:r>
          </w:p>
        </w:tc>
      </w:tr>
      <w:tr w14:paraId="3579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blHeader/>
          <w:jc w:val="center"/>
        </w:trPr>
        <w:tc>
          <w:tcPr>
            <w:tcW w:w="1560" w:type="dxa"/>
            <w:vMerge w:val="restart"/>
            <w:vAlign w:val="center"/>
          </w:tcPr>
          <w:p w14:paraId="36CACD5F">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商务部分</w:t>
            </w:r>
          </w:p>
          <w:p w14:paraId="1BE3B12C">
            <w:pPr>
              <w:widowControl w:val="0"/>
              <w:snapToGrid/>
              <w:jc w:val="both"/>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5</w:t>
            </w:r>
            <w:r>
              <w:rPr>
                <w:rFonts w:hint="eastAsia" w:ascii="宋体" w:hAnsi="宋体" w:eastAsia="宋体" w:cs="宋体"/>
                <w:color w:val="000000"/>
                <w:sz w:val="24"/>
                <w:szCs w:val="24"/>
              </w:rPr>
              <w:t>分）</w:t>
            </w:r>
          </w:p>
        </w:tc>
        <w:tc>
          <w:tcPr>
            <w:tcW w:w="1417" w:type="dxa"/>
            <w:vAlign w:val="center"/>
          </w:tcPr>
          <w:p w14:paraId="15C78093">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sz w:val="24"/>
                <w:szCs w:val="24"/>
              </w:rPr>
              <w:t>投标文件制作</w:t>
            </w:r>
          </w:p>
        </w:tc>
        <w:tc>
          <w:tcPr>
            <w:tcW w:w="567" w:type="dxa"/>
            <w:vAlign w:val="center"/>
          </w:tcPr>
          <w:p w14:paraId="5F181B7F">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5</w:t>
            </w:r>
          </w:p>
        </w:tc>
        <w:tc>
          <w:tcPr>
            <w:tcW w:w="6049" w:type="dxa"/>
            <w:vAlign w:val="center"/>
          </w:tcPr>
          <w:p w14:paraId="2227E3DF">
            <w:pPr>
              <w:widowControl w:val="0"/>
              <w:snapToGrid/>
              <w:rPr>
                <w:rFonts w:ascii="宋体" w:hAnsi="宋体" w:eastAsia="宋体" w:cs="宋体"/>
                <w:color w:val="000000"/>
                <w:kern w:val="2"/>
                <w:sz w:val="24"/>
                <w:szCs w:val="24"/>
              </w:rPr>
            </w:pPr>
            <w:r>
              <w:rPr>
                <w:rFonts w:hint="eastAsia" w:ascii="宋体" w:hAnsi="宋体" w:eastAsia="宋体" w:cs="宋体"/>
                <w:color w:val="000000"/>
                <w:sz w:val="24"/>
                <w:szCs w:val="24"/>
              </w:rPr>
              <w:t>投标文件按招标文件规定的格式制作，投标附件资料齐全、详实、充分，顺序编制精美，字迹清晰，书面整洁无涂改，没有缺漏项，价格数量等内容完善、所提供与投标产品相同配置的说明书或彩页能详细反映招标文件技术参数的计3-5分。投标文件的编制规范性一般，文件构成基本完整，条例基本清晰的得1-2分:投标文件的编制规范性差，构成不完整，条例不清晰，文字模糊不得分。</w:t>
            </w:r>
          </w:p>
        </w:tc>
      </w:tr>
      <w:tr w14:paraId="4185D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60" w:type="dxa"/>
            <w:vMerge w:val="continue"/>
            <w:vAlign w:val="center"/>
          </w:tcPr>
          <w:p w14:paraId="5C815C76">
            <w:pPr>
              <w:widowControl w:val="0"/>
              <w:snapToGrid/>
              <w:jc w:val="center"/>
              <w:rPr>
                <w:rFonts w:ascii="宋体" w:hAnsi="宋体" w:eastAsia="宋体" w:cs="宋体"/>
                <w:color w:val="000000"/>
                <w:sz w:val="24"/>
                <w:szCs w:val="24"/>
              </w:rPr>
            </w:pPr>
          </w:p>
        </w:tc>
        <w:tc>
          <w:tcPr>
            <w:tcW w:w="1417" w:type="dxa"/>
            <w:vAlign w:val="center"/>
          </w:tcPr>
          <w:p w14:paraId="0E3F1519">
            <w:pPr>
              <w:widowControl w:val="0"/>
              <w:snapToGrid/>
              <w:jc w:val="both"/>
              <w:rPr>
                <w:rFonts w:ascii="宋体" w:hAnsi="宋体" w:eastAsia="宋体" w:cs="宋体"/>
                <w:color w:val="000000"/>
                <w:kern w:val="2"/>
                <w:sz w:val="24"/>
                <w:szCs w:val="24"/>
              </w:rPr>
            </w:pPr>
            <w:r>
              <w:rPr>
                <w:rFonts w:hint="eastAsia" w:ascii="宋体" w:hAnsi="宋体" w:eastAsia="宋体" w:cs="宋体"/>
                <w:color w:val="000000"/>
                <w:sz w:val="24"/>
                <w:szCs w:val="24"/>
              </w:rPr>
              <w:t>售后服务方案</w:t>
            </w:r>
          </w:p>
        </w:tc>
        <w:tc>
          <w:tcPr>
            <w:tcW w:w="567" w:type="dxa"/>
            <w:vAlign w:val="center"/>
          </w:tcPr>
          <w:p w14:paraId="762A8BDC">
            <w:pPr>
              <w:widowControl w:val="0"/>
              <w:snapToGrid/>
              <w:jc w:val="both"/>
              <w:rPr>
                <w:rFonts w:ascii="宋体" w:hAnsi="宋体" w:eastAsia="宋体" w:cs="宋体"/>
                <w:color w:val="000000"/>
                <w:kern w:val="2"/>
                <w:sz w:val="24"/>
                <w:szCs w:val="24"/>
              </w:rPr>
            </w:pPr>
            <w:r>
              <w:rPr>
                <w:rFonts w:ascii="宋体" w:hAnsi="宋体" w:eastAsia="宋体" w:cs="宋体"/>
                <w:color w:val="000000"/>
                <w:kern w:val="2"/>
                <w:sz w:val="24"/>
                <w:szCs w:val="24"/>
              </w:rPr>
              <w:t>10</w:t>
            </w:r>
          </w:p>
        </w:tc>
        <w:tc>
          <w:tcPr>
            <w:tcW w:w="6049" w:type="dxa"/>
            <w:vAlign w:val="center"/>
          </w:tcPr>
          <w:p w14:paraId="642402F7">
            <w:pPr>
              <w:widowControl w:val="0"/>
              <w:snapToGrid/>
              <w:rPr>
                <w:rFonts w:ascii="宋体" w:hAnsi="宋体" w:eastAsia="宋体" w:cs="宋体"/>
                <w:color w:val="000000"/>
                <w:kern w:val="2"/>
                <w:sz w:val="24"/>
                <w:szCs w:val="24"/>
              </w:rPr>
            </w:pPr>
            <w:r>
              <w:rPr>
                <w:rFonts w:hint="eastAsia" w:ascii="宋体" w:hAnsi="宋体" w:eastAsia="宋体" w:cs="宋体"/>
                <w:color w:val="000000"/>
                <w:kern w:val="2"/>
                <w:sz w:val="24"/>
                <w:szCs w:val="24"/>
              </w:rPr>
              <w:t>针对各投标人提供的售后服务方案（包括但不限于售后服务体系、故障处理、技术咨询方案）进行综合评审：</w:t>
            </w:r>
          </w:p>
          <w:p w14:paraId="403CE0B3">
            <w:pPr>
              <w:widowControl w:val="0"/>
              <w:snapToGrid/>
              <w:rPr>
                <w:rFonts w:ascii="宋体" w:hAnsi="宋体" w:eastAsia="宋体" w:cs="宋体"/>
                <w:color w:val="000000"/>
                <w:kern w:val="2"/>
                <w:sz w:val="24"/>
                <w:szCs w:val="24"/>
              </w:rPr>
            </w:pPr>
            <w:r>
              <w:rPr>
                <w:rFonts w:hint="eastAsia" w:ascii="宋体" w:hAnsi="宋体" w:eastAsia="宋体" w:cs="宋体"/>
                <w:color w:val="000000"/>
                <w:kern w:val="2"/>
                <w:sz w:val="24"/>
                <w:szCs w:val="24"/>
              </w:rPr>
              <w:t>1、售后服务体系、故障处理、技术咨询方案等清晰合理的，得</w:t>
            </w:r>
            <w:r>
              <w:rPr>
                <w:rFonts w:ascii="宋体" w:hAnsi="宋体" w:eastAsia="宋体" w:cs="宋体"/>
                <w:color w:val="000000"/>
                <w:kern w:val="2"/>
                <w:sz w:val="24"/>
                <w:szCs w:val="24"/>
              </w:rPr>
              <w:t>10</w:t>
            </w:r>
            <w:r>
              <w:rPr>
                <w:rFonts w:hint="eastAsia" w:ascii="宋体" w:hAnsi="宋体" w:eastAsia="宋体" w:cs="宋体"/>
                <w:color w:val="000000"/>
                <w:kern w:val="2"/>
                <w:sz w:val="24"/>
                <w:szCs w:val="24"/>
              </w:rPr>
              <w:t>分；</w:t>
            </w:r>
          </w:p>
          <w:p w14:paraId="1F506FB8">
            <w:pPr>
              <w:widowControl w:val="0"/>
              <w:snapToGrid/>
              <w:rPr>
                <w:rFonts w:ascii="宋体" w:hAnsi="宋体" w:eastAsia="宋体" w:cs="宋体"/>
                <w:color w:val="000000"/>
                <w:kern w:val="2"/>
                <w:sz w:val="24"/>
                <w:szCs w:val="24"/>
              </w:rPr>
            </w:pPr>
            <w:r>
              <w:rPr>
                <w:rFonts w:hint="eastAsia" w:ascii="宋体" w:hAnsi="宋体" w:eastAsia="宋体" w:cs="宋体"/>
                <w:color w:val="000000"/>
                <w:kern w:val="2"/>
                <w:sz w:val="24"/>
                <w:szCs w:val="24"/>
              </w:rPr>
              <w:t>2、售后服务体系、故障处理、技术咨询方案等较为清晰合理的，得</w:t>
            </w:r>
            <w:r>
              <w:rPr>
                <w:rFonts w:ascii="宋体" w:hAnsi="宋体" w:eastAsia="宋体" w:cs="宋体"/>
                <w:color w:val="000000"/>
                <w:kern w:val="2"/>
                <w:sz w:val="24"/>
                <w:szCs w:val="24"/>
              </w:rPr>
              <w:t>5</w:t>
            </w:r>
            <w:r>
              <w:rPr>
                <w:rFonts w:hint="eastAsia" w:ascii="宋体" w:hAnsi="宋体" w:eastAsia="宋体" w:cs="宋体"/>
                <w:color w:val="000000"/>
                <w:kern w:val="2"/>
                <w:sz w:val="24"/>
                <w:szCs w:val="24"/>
              </w:rPr>
              <w:t>分；</w:t>
            </w:r>
          </w:p>
          <w:p w14:paraId="7FEF4E95">
            <w:pPr>
              <w:widowControl w:val="0"/>
              <w:snapToGrid/>
              <w:rPr>
                <w:rFonts w:ascii="宋体" w:hAnsi="宋体" w:eastAsia="宋体" w:cs="宋体"/>
                <w:color w:val="000000"/>
                <w:kern w:val="2"/>
                <w:sz w:val="24"/>
                <w:szCs w:val="24"/>
              </w:rPr>
            </w:pPr>
            <w:r>
              <w:rPr>
                <w:rFonts w:hint="eastAsia" w:ascii="宋体" w:hAnsi="宋体" w:eastAsia="宋体" w:cs="宋体"/>
                <w:color w:val="000000"/>
                <w:kern w:val="2"/>
                <w:sz w:val="24"/>
                <w:szCs w:val="24"/>
              </w:rPr>
              <w:t>3、售后服务体系、故障处理、技术咨询方案等基本清晰合理的，得3分；</w:t>
            </w:r>
          </w:p>
          <w:p w14:paraId="2B460B9B">
            <w:pPr>
              <w:widowControl w:val="0"/>
              <w:snapToGrid/>
              <w:rPr>
                <w:rFonts w:ascii="宋体" w:hAnsi="宋体" w:eastAsia="宋体" w:cs="宋体"/>
                <w:color w:val="000000"/>
                <w:kern w:val="2"/>
                <w:sz w:val="24"/>
                <w:szCs w:val="24"/>
              </w:rPr>
            </w:pPr>
            <w:r>
              <w:rPr>
                <w:rFonts w:hint="eastAsia" w:ascii="宋体" w:hAnsi="宋体" w:eastAsia="宋体" w:cs="宋体"/>
                <w:color w:val="000000"/>
                <w:kern w:val="2"/>
                <w:sz w:val="24"/>
                <w:szCs w:val="24"/>
              </w:rPr>
              <w:t>4、售后服务体系、故障处理、技术咨询方案等不够清晰合理的，得1-2分；不提供或其他不得分。</w:t>
            </w:r>
          </w:p>
        </w:tc>
      </w:tr>
    </w:tbl>
    <w:p w14:paraId="332AA79E">
      <w:pPr>
        <w:adjustRightInd/>
        <w:snapToGrid/>
        <w:spacing w:after="0" w:line="360" w:lineRule="auto"/>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5.3.3变更采购方式后采用的评标方法：略。</w:t>
      </w:r>
    </w:p>
    <w:p w14:paraId="5BFA2C30">
      <w:pPr>
        <w:outlineLvl w:val="1"/>
        <w:rPr>
          <w:rFonts w:ascii="宋体" w:hAnsi="宋体" w:eastAsia="宋体" w:cs="宋体"/>
          <w:b/>
          <w:bCs/>
          <w:sz w:val="24"/>
          <w:szCs w:val="24"/>
          <w:lang w:val="zh-CN"/>
        </w:rPr>
      </w:pPr>
      <w:bookmarkStart w:id="87" w:name="_Toc4373"/>
      <w:bookmarkStart w:id="88" w:name="_Toc22084"/>
      <w:bookmarkStart w:id="89" w:name="_Toc3732"/>
      <w:bookmarkStart w:id="90" w:name="_Toc16913"/>
      <w:bookmarkStart w:id="91" w:name="_Toc3381"/>
      <w:r>
        <w:rPr>
          <w:rFonts w:hint="eastAsia" w:ascii="宋体" w:hAnsi="宋体" w:eastAsia="宋体" w:cs="宋体"/>
          <w:b/>
          <w:bCs/>
          <w:sz w:val="24"/>
          <w:szCs w:val="24"/>
          <w:lang w:val="zh-CN"/>
        </w:rPr>
        <w:t>5.4 采购人或者采购代理机构负责组织评标工作，并履行下列职责：</w:t>
      </w:r>
      <w:bookmarkEnd w:id="87"/>
      <w:bookmarkEnd w:id="88"/>
      <w:bookmarkEnd w:id="89"/>
      <w:bookmarkEnd w:id="90"/>
      <w:bookmarkEnd w:id="91"/>
    </w:p>
    <w:p w14:paraId="431FD5DA">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1）核对评审专家身份和采购人代表授权函，对评审专家在政府采购活动中的职责履行情况予以记录，并及时将有关违法违规行为向财政部门报告；</w:t>
      </w:r>
    </w:p>
    <w:p w14:paraId="31683901">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2）宣布评标纪律；</w:t>
      </w:r>
    </w:p>
    <w:p w14:paraId="2C98080D">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3）公布投标人名单，告知评审专家应当回避的情形；</w:t>
      </w:r>
    </w:p>
    <w:p w14:paraId="5AA3A6C5">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4）组织评标委员会推选评标组长，采购人代表不得担任组长；</w:t>
      </w:r>
    </w:p>
    <w:p w14:paraId="01ECEC1A">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5）在评标期间采取必要的通讯管理措施，保证评标活动不受外界干扰；</w:t>
      </w:r>
    </w:p>
    <w:p w14:paraId="005B016F">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6）根据评标委员会的要求介绍政府采购相关政策法规、招标文件；</w:t>
      </w:r>
    </w:p>
    <w:p w14:paraId="60CCFF6F">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7）维护评标秩序，监督评标委员会依照招标文件规定的评标程序、方法和标准进行独立评审，及时制止和纠正采购人代表、评审专家的倾向性言论或者违法违规行为；</w:t>
      </w:r>
    </w:p>
    <w:p w14:paraId="496E4DF0">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8）核对评标结果，有本章节5.6规定情形的，要求评标委员会复核或者书面说明理由，评标委员会拒绝的，应予记录并向本级财政部门报告；</w:t>
      </w:r>
    </w:p>
    <w:p w14:paraId="001AB159">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9）评审工作完成后，按照规定向评审专家支付劳务报酬和异地评审差旅费，不得向评审专家以外的其他人员支付评审劳务报酬；</w:t>
      </w:r>
    </w:p>
    <w:p w14:paraId="336CC753">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10）处理与评标有关的其他事项。</w:t>
      </w:r>
    </w:p>
    <w:p w14:paraId="2348227E">
      <w:pPr>
        <w:adjustRightInd/>
        <w:snapToGrid/>
        <w:spacing w:after="0" w:line="360" w:lineRule="auto"/>
        <w:ind w:firstLine="480" w:firstLineChars="200"/>
        <w:jc w:val="both"/>
        <w:textAlignment w:val="baseline"/>
        <w:rPr>
          <w:rFonts w:ascii="宋体" w:hAnsi="宋体" w:eastAsia="宋体" w:cs="宋体"/>
          <w:kern w:val="2"/>
          <w:sz w:val="24"/>
          <w:szCs w:val="24"/>
          <w:lang w:val="zh-CN"/>
        </w:rPr>
      </w:pPr>
      <w:r>
        <w:rPr>
          <w:rFonts w:hint="eastAsia" w:ascii="宋体" w:hAnsi="宋体" w:eastAsia="宋体" w:cs="宋体"/>
          <w:kern w:val="2"/>
          <w:sz w:val="24"/>
          <w:szCs w:val="24"/>
          <w:lang w:val="zh-CN"/>
        </w:rPr>
        <w:t>采购人可以在评标前说明项目背景和采购需求，说明内容不得含有歧视性、倾向性意见，不得超出招标文件所属范围。说明应提交书面材料，并随采购文件一并存档。</w:t>
      </w:r>
    </w:p>
    <w:p w14:paraId="1F2F3D6F">
      <w:pPr>
        <w:outlineLvl w:val="1"/>
        <w:rPr>
          <w:rFonts w:ascii="宋体" w:hAnsi="宋体" w:eastAsia="宋体" w:cs="宋体"/>
          <w:b/>
          <w:bCs/>
          <w:sz w:val="24"/>
          <w:szCs w:val="24"/>
          <w:lang w:val="zh-CN"/>
        </w:rPr>
      </w:pPr>
      <w:bookmarkStart w:id="92" w:name="_Toc24756"/>
      <w:bookmarkStart w:id="93" w:name="_Toc10893"/>
      <w:bookmarkStart w:id="94" w:name="_Toc23918"/>
      <w:bookmarkStart w:id="95" w:name="_Toc27005"/>
      <w:bookmarkStart w:id="96" w:name="_Toc15791"/>
      <w:r>
        <w:rPr>
          <w:rFonts w:hint="eastAsia" w:ascii="宋体" w:hAnsi="宋体" w:eastAsia="宋体" w:cs="宋体"/>
          <w:b/>
          <w:bCs/>
          <w:sz w:val="24"/>
          <w:szCs w:val="24"/>
          <w:lang w:val="zh-CN"/>
        </w:rPr>
        <w:t>5.5 评标委员会的职责及中标供应商的确定</w:t>
      </w:r>
      <w:bookmarkEnd w:id="92"/>
      <w:bookmarkEnd w:id="93"/>
      <w:bookmarkEnd w:id="94"/>
      <w:bookmarkEnd w:id="95"/>
      <w:bookmarkEnd w:id="96"/>
    </w:p>
    <w:p w14:paraId="4676C9B3">
      <w:pPr>
        <w:adjustRightInd/>
        <w:snapToGrid/>
        <w:spacing w:after="0" w:line="360" w:lineRule="auto"/>
        <w:ind w:firstLine="236" w:firstLineChars="98"/>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5.5.1评标委员会的职责</w:t>
      </w:r>
    </w:p>
    <w:p w14:paraId="61B4137B">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1）审查、评价投标文件是否符合招标文件的商务、技术等实质性要求；</w:t>
      </w:r>
    </w:p>
    <w:p w14:paraId="7944E628">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2）要求投标人对投标文件有关事项做出澄清或者说明；</w:t>
      </w:r>
    </w:p>
    <w:p w14:paraId="19668AB6">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3）对投标文件进行比较和评价；</w:t>
      </w:r>
    </w:p>
    <w:p w14:paraId="59977A52">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4）确定中标候选人名单，以及根据采购人委托直接确定中标人；</w:t>
      </w:r>
    </w:p>
    <w:p w14:paraId="6F22E8FC">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5）向采购人、采购代理机构或者有关部门报告评标中发现的违法行为。</w:t>
      </w:r>
    </w:p>
    <w:p w14:paraId="44E1663F">
      <w:pPr>
        <w:adjustRightInd/>
        <w:snapToGrid/>
        <w:spacing w:after="0" w:line="360" w:lineRule="auto"/>
        <w:ind w:firstLine="236" w:firstLineChars="98"/>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5.5.2中标供应商的确定</w:t>
      </w:r>
    </w:p>
    <w:p w14:paraId="5377E16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根据《中华人民共和国财政部令》第87号第六十八条之规定，招标人依法享有经授权的中标供应商确定权。</w:t>
      </w:r>
    </w:p>
    <w:p w14:paraId="08899A28">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拟中标供应商确定后，在公告中标结果的同时，招标人向中标供应商发出中标通知书；对未通过资格审查的投标人，应当告知其未通过的原因；采用综合评分法评审的，还应告知未中标人本人的评审得分与排序。</w:t>
      </w:r>
    </w:p>
    <w:p w14:paraId="78780AE2">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中标通知书发出后，采购人不得违法改变中标结果，中标人无正当理由不得放弃中标。</w:t>
      </w:r>
    </w:p>
    <w:p w14:paraId="252B48E0">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采购人应当自中标通知书发出之日起10日内，按照招标文件和中标人投标文件的规定，与中标人签订书面合同。所签订的合同不得对招标文件确定的事项和中标人投标文件作实质性修改。</w:t>
      </w:r>
    </w:p>
    <w:p w14:paraId="039E38CD">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评标委员会完成评标后，提出书面评标报告。评标报告是评标委员会根据全体评标成员签字的原始评标记录和评标结果编写的报告，主要内容包括：</w:t>
      </w:r>
    </w:p>
    <w:p w14:paraId="28B741C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1）招标公告刊登的媒体名称、开标日期和地点；</w:t>
      </w:r>
    </w:p>
    <w:p w14:paraId="442437FA">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2）投标人名单和评标委员会成员名单；</w:t>
      </w:r>
    </w:p>
    <w:p w14:paraId="44DC9C74">
      <w:pPr>
        <w:tabs>
          <w:tab w:val="left" w:pos="6885"/>
        </w:tabs>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3）评标方法和标准；</w:t>
      </w:r>
    </w:p>
    <w:p w14:paraId="0A180038">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4）开标记录和评标情况及说明，包括投标无效投标人名单及原因；</w:t>
      </w:r>
    </w:p>
    <w:p w14:paraId="6DCB5B6E">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5）评标结果，确定的中标候选人名单或者经采购人委托直接确定的中标人；</w:t>
      </w:r>
    </w:p>
    <w:p w14:paraId="3B445DD8">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6）其他需要说明的情况，包括评标过程中投标人根据评标委员会要求进行的澄清、说明或者补正，评标委员会成员的更换等。</w:t>
      </w:r>
    </w:p>
    <w:p w14:paraId="79717357">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2AD6E679">
      <w:pPr>
        <w:outlineLvl w:val="1"/>
        <w:rPr>
          <w:rFonts w:ascii="宋体" w:hAnsi="宋体" w:eastAsia="宋体" w:cs="宋体"/>
          <w:b/>
          <w:bCs/>
          <w:sz w:val="24"/>
          <w:szCs w:val="24"/>
          <w:lang w:val="zh-CN"/>
        </w:rPr>
      </w:pPr>
      <w:bookmarkStart w:id="97" w:name="_Toc14291"/>
      <w:bookmarkStart w:id="98" w:name="_Toc10124"/>
      <w:bookmarkStart w:id="99" w:name="_Toc4895"/>
      <w:bookmarkStart w:id="100" w:name="_Toc20439"/>
      <w:bookmarkStart w:id="101" w:name="_Toc26091"/>
      <w:r>
        <w:rPr>
          <w:rFonts w:hint="eastAsia" w:ascii="宋体" w:hAnsi="宋体" w:eastAsia="宋体" w:cs="宋体"/>
          <w:b/>
          <w:bCs/>
          <w:sz w:val="24"/>
          <w:szCs w:val="24"/>
          <w:lang w:val="zh-CN"/>
        </w:rPr>
        <w:t>5.6 评标结果汇总完成后，除下列情形外，任何人不得修改评标结果：</w:t>
      </w:r>
      <w:bookmarkEnd w:id="97"/>
      <w:bookmarkEnd w:id="98"/>
      <w:bookmarkEnd w:id="99"/>
      <w:bookmarkEnd w:id="100"/>
      <w:bookmarkEnd w:id="101"/>
    </w:p>
    <w:p w14:paraId="2B1C868B">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1）分值汇总计算错误的；</w:t>
      </w:r>
    </w:p>
    <w:p w14:paraId="5B10B78B">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2）分项评分超出评分标准范围的；</w:t>
      </w:r>
    </w:p>
    <w:p w14:paraId="18AA7856">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3）评标委员会成员对客观评审因素评分不一致的；</w:t>
      </w:r>
    </w:p>
    <w:p w14:paraId="4A466D65">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4）经评标委员会认定评分畸高、畸低的。</w:t>
      </w:r>
    </w:p>
    <w:p w14:paraId="1DFA6A29">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A612DFB">
      <w:pPr>
        <w:adjustRightInd/>
        <w:snapToGrid/>
        <w:spacing w:after="0" w:line="360" w:lineRule="auto"/>
        <w:ind w:firstLine="468"/>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投标人对本条1）情形提出质疑的，采购人或者采购代理机构可以组织原评标委员会进行重新评审，重新评审改变评标结果的，应当书面报告本级财政部门。</w:t>
      </w:r>
    </w:p>
    <w:p w14:paraId="4240E981">
      <w:pPr>
        <w:outlineLvl w:val="1"/>
        <w:rPr>
          <w:rFonts w:ascii="宋体" w:hAnsi="宋体" w:eastAsia="宋体" w:cs="宋体"/>
          <w:b/>
          <w:bCs/>
          <w:sz w:val="24"/>
          <w:szCs w:val="24"/>
          <w:lang w:val="zh-CN"/>
        </w:rPr>
      </w:pPr>
      <w:bookmarkStart w:id="102" w:name="_Toc444"/>
      <w:bookmarkStart w:id="103" w:name="_Toc8757"/>
      <w:bookmarkStart w:id="104" w:name="_Toc28599"/>
      <w:bookmarkStart w:id="105" w:name="_Toc14166"/>
      <w:bookmarkStart w:id="106" w:name="_Toc20973"/>
      <w:r>
        <w:rPr>
          <w:rFonts w:hint="eastAsia" w:ascii="宋体" w:hAnsi="宋体" w:eastAsia="宋体" w:cs="宋体"/>
          <w:b/>
          <w:bCs/>
          <w:sz w:val="24"/>
          <w:szCs w:val="24"/>
          <w:lang w:val="zh-CN"/>
        </w:rPr>
        <w:t>5.7 评标委员会及其成员不得有下列行为</w:t>
      </w:r>
      <w:bookmarkEnd w:id="102"/>
      <w:bookmarkEnd w:id="103"/>
      <w:bookmarkEnd w:id="104"/>
      <w:bookmarkEnd w:id="105"/>
      <w:bookmarkEnd w:id="106"/>
    </w:p>
    <w:p w14:paraId="28D0BB83">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1）确定参与评标至评标结束前私自接触投标人；</w:t>
      </w:r>
    </w:p>
    <w:p w14:paraId="2AB2A94D">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2）接受投标人提出的与投标文件不一致的澄清或者说明，《中华人民共和国财政部令》第87号第五十一条规定的情形除外；</w:t>
      </w:r>
    </w:p>
    <w:p w14:paraId="243CE0A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3）违反评标纪律发表倾向性意见或者征询采购人的倾向性意见；</w:t>
      </w:r>
    </w:p>
    <w:p w14:paraId="08A13D9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4）对需要专业判断的主观评审因素协商评分；</w:t>
      </w:r>
    </w:p>
    <w:p w14:paraId="2C8DD6EE">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5)在评标过程中擅离职守，影响评标程序正常进行的；</w:t>
      </w:r>
    </w:p>
    <w:p w14:paraId="25DE460F">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6）记录、复制或者带走任何评标资料；</w:t>
      </w:r>
    </w:p>
    <w:p w14:paraId="2486A77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7）其他不遵守评标纪律的行为。</w:t>
      </w:r>
    </w:p>
    <w:p w14:paraId="56525C41">
      <w:pPr>
        <w:outlineLvl w:val="1"/>
        <w:rPr>
          <w:rFonts w:ascii="宋体" w:hAnsi="宋体" w:eastAsia="宋体" w:cs="宋体"/>
          <w:b/>
          <w:bCs/>
          <w:sz w:val="24"/>
          <w:szCs w:val="24"/>
          <w:lang w:val="zh-CN"/>
        </w:rPr>
      </w:pPr>
      <w:bookmarkStart w:id="107" w:name="_Toc2280"/>
      <w:bookmarkStart w:id="108" w:name="_Toc11827"/>
      <w:bookmarkStart w:id="109" w:name="_Toc8885"/>
      <w:bookmarkStart w:id="110" w:name="_Toc27306"/>
      <w:bookmarkStart w:id="111" w:name="_Toc18185"/>
      <w:r>
        <w:rPr>
          <w:rFonts w:hint="eastAsia" w:ascii="宋体" w:hAnsi="宋体" w:eastAsia="宋体" w:cs="宋体"/>
          <w:b/>
          <w:bCs/>
          <w:sz w:val="24"/>
          <w:szCs w:val="24"/>
          <w:lang w:val="zh-CN"/>
        </w:rPr>
        <w:t>5.8 投标人的严重违法行为</w:t>
      </w:r>
      <w:bookmarkEnd w:id="107"/>
      <w:bookmarkEnd w:id="108"/>
      <w:bookmarkEnd w:id="109"/>
      <w:bookmarkEnd w:id="110"/>
      <w:bookmarkEnd w:id="111"/>
    </w:p>
    <w:p w14:paraId="7ECAD16A">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1）提供回扣或其他商业贿赂，进行非法促销活动；</w:t>
      </w:r>
    </w:p>
    <w:p w14:paraId="77AC271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2）以低于成本的价格投标报价，扰乱市场秩序；</w:t>
      </w:r>
    </w:p>
    <w:p w14:paraId="271AE88E">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3）相互串通投标，排斥其他投标人的公平竞争，损害采购人或者其他投标人的合法利益；</w:t>
      </w:r>
    </w:p>
    <w:p w14:paraId="606A212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4）以向采购人、招标代理机构或者评标专家行贿的手段牟取中标；</w:t>
      </w:r>
    </w:p>
    <w:p w14:paraId="6C59B19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5）提供虚假证明文件，或者以其他方式弄虚作假，骗取中标；</w:t>
      </w:r>
    </w:p>
    <w:p w14:paraId="67A459FA">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6）在投标有效期内撤回其投标，中标人在规定期限内不签订合同或者不履行合同义务、不按时缴纳中标服务费；</w:t>
      </w:r>
    </w:p>
    <w:p w14:paraId="5E9C411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7）对招标采购造成严重不良影响的恶意报价行为或者其他行为；</w:t>
      </w:r>
    </w:p>
    <w:p w14:paraId="7ABED65E">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8）其他违反法律法规的行为。</w:t>
      </w:r>
    </w:p>
    <w:p w14:paraId="6C4EC2FC">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5.8.1采购人确认中标人在本招标活动中有严重违法行为，有权宣布其中标无效。</w:t>
      </w:r>
    </w:p>
    <w:p w14:paraId="2C103F8F">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5.8.2采购人在中标后和履行合同的任何时候确认投标人在投标和履约过程中有严重违法行为，有权宣布其中标无效并提请有关监督管理部门查处，并对情节严重者在两年内拒绝接受其投标。</w:t>
      </w:r>
    </w:p>
    <w:p w14:paraId="7EE07DD5">
      <w:pPr>
        <w:outlineLvl w:val="1"/>
        <w:rPr>
          <w:rFonts w:ascii="宋体" w:hAnsi="宋体" w:eastAsia="宋体" w:cs="宋体"/>
          <w:b/>
          <w:bCs/>
          <w:sz w:val="24"/>
          <w:szCs w:val="24"/>
          <w:lang w:val="zh-CN"/>
        </w:rPr>
      </w:pPr>
      <w:bookmarkStart w:id="112" w:name="_Toc9519"/>
      <w:bookmarkStart w:id="113" w:name="_Toc493"/>
      <w:bookmarkStart w:id="114" w:name="_Toc618"/>
      <w:bookmarkStart w:id="115" w:name="_Toc666"/>
      <w:bookmarkStart w:id="116" w:name="_Toc11273"/>
      <w:r>
        <w:rPr>
          <w:rFonts w:hint="eastAsia" w:ascii="宋体" w:hAnsi="宋体" w:eastAsia="宋体" w:cs="宋体"/>
          <w:b/>
          <w:bCs/>
          <w:sz w:val="24"/>
          <w:szCs w:val="24"/>
          <w:lang w:val="zh-CN"/>
        </w:rPr>
        <w:t>5.9 废标</w:t>
      </w:r>
      <w:bookmarkEnd w:id="112"/>
      <w:bookmarkEnd w:id="113"/>
      <w:bookmarkEnd w:id="114"/>
      <w:bookmarkEnd w:id="115"/>
      <w:bookmarkEnd w:id="116"/>
    </w:p>
    <w:p w14:paraId="22D4254A">
      <w:pPr>
        <w:adjustRightInd/>
        <w:snapToGrid/>
        <w:spacing w:after="0" w:line="360" w:lineRule="auto"/>
        <w:ind w:left="376" w:leftChars="171" w:firstLine="120" w:firstLineChars="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在招标采购中，出现下列情形之一的，应予废标：</w:t>
      </w:r>
    </w:p>
    <w:p w14:paraId="013F3057">
      <w:pPr>
        <w:adjustRightInd/>
        <w:snapToGrid/>
        <w:spacing w:after="0" w:line="360" w:lineRule="auto"/>
        <w:ind w:firstLine="568" w:firstLineChars="237"/>
        <w:jc w:val="both"/>
        <w:textAlignment w:val="baseline"/>
        <w:rPr>
          <w:rFonts w:ascii="宋体" w:hAnsi="宋体" w:eastAsia="宋体" w:cs="宋体"/>
          <w:kern w:val="2"/>
          <w:sz w:val="24"/>
          <w:szCs w:val="24"/>
          <w:u w:val="double"/>
        </w:rPr>
      </w:pPr>
      <w:r>
        <w:rPr>
          <w:rFonts w:hint="eastAsia" w:ascii="宋体" w:hAnsi="宋体" w:eastAsia="宋体" w:cs="宋体"/>
          <w:kern w:val="2"/>
          <w:sz w:val="24"/>
          <w:szCs w:val="24"/>
        </w:rPr>
        <w:t>1）符合专业条件的供应商或者对招标文件作实质响应的供应商不足三家的（经同级政府采购监管部门审核批准的除外）；</w:t>
      </w:r>
    </w:p>
    <w:p w14:paraId="2507AC2F">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2）出现影响采购公正的违法、违规行为的；</w:t>
      </w:r>
    </w:p>
    <w:p w14:paraId="09E98774">
      <w:pPr>
        <w:adjustRightInd/>
        <w:snapToGrid/>
        <w:spacing w:after="0" w:line="360" w:lineRule="auto"/>
        <w:ind w:left="502" w:leftChars="228"/>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3）投标人的报价均超过了采购预算，采购人不能支付的；</w:t>
      </w:r>
    </w:p>
    <w:p w14:paraId="119F7F48">
      <w:pPr>
        <w:adjustRightInd/>
        <w:snapToGrid/>
        <w:spacing w:after="0" w:line="360" w:lineRule="auto"/>
        <w:ind w:left="502" w:leftChars="228"/>
        <w:jc w:val="both"/>
        <w:textAlignment w:val="baseline"/>
        <w:rPr>
          <w:rFonts w:ascii="宋体" w:hAnsi="宋体" w:eastAsia="宋体" w:cs="宋体"/>
          <w:kern w:val="2"/>
          <w:sz w:val="24"/>
          <w:szCs w:val="24"/>
        </w:rPr>
      </w:pPr>
      <w:r>
        <w:rPr>
          <w:rFonts w:hint="eastAsia" w:ascii="宋体" w:hAnsi="宋体" w:eastAsia="宋体" w:cs="宋体"/>
          <w:kern w:val="2"/>
          <w:sz w:val="24"/>
          <w:szCs w:val="24"/>
        </w:rPr>
        <w:t>4）因重大变故，采购任务取消的。</w:t>
      </w:r>
    </w:p>
    <w:p w14:paraId="1FCBB6A2">
      <w:pPr>
        <w:outlineLvl w:val="1"/>
        <w:rPr>
          <w:rFonts w:ascii="宋体" w:hAnsi="宋体" w:eastAsia="宋体" w:cs="宋体"/>
          <w:b/>
          <w:bCs/>
          <w:sz w:val="24"/>
          <w:szCs w:val="24"/>
          <w:lang w:val="zh-CN"/>
        </w:rPr>
      </w:pPr>
      <w:bookmarkStart w:id="117" w:name="_Toc27399"/>
      <w:bookmarkStart w:id="118" w:name="_Toc7977"/>
      <w:bookmarkStart w:id="119" w:name="_Toc17325"/>
      <w:bookmarkStart w:id="120" w:name="_Toc11233"/>
      <w:bookmarkStart w:id="121" w:name="_Toc3011"/>
      <w:r>
        <w:rPr>
          <w:rFonts w:hint="eastAsia" w:ascii="宋体" w:hAnsi="宋体" w:eastAsia="宋体" w:cs="宋体"/>
          <w:b/>
          <w:bCs/>
          <w:sz w:val="24"/>
          <w:szCs w:val="24"/>
          <w:lang w:val="zh-CN"/>
        </w:rPr>
        <w:t>5.10 无效投标</w:t>
      </w:r>
      <w:bookmarkEnd w:id="117"/>
      <w:bookmarkEnd w:id="118"/>
      <w:bookmarkEnd w:id="119"/>
      <w:bookmarkEnd w:id="120"/>
      <w:bookmarkEnd w:id="121"/>
    </w:p>
    <w:p w14:paraId="349A3EB2">
      <w:pPr>
        <w:tabs>
          <w:tab w:val="left" w:pos="-540"/>
        </w:tabs>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投标文件属下列情况之一的,应在符合性审查时按照无效投标处理:</w:t>
      </w:r>
    </w:p>
    <w:p w14:paraId="57B32D05">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1）投标文件未按规定编制、标注； </w:t>
      </w:r>
    </w:p>
    <w:p w14:paraId="662D537F">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）投标文件无投标人公章和法人或者法人授权代理人的印章或签字的；</w:t>
      </w:r>
    </w:p>
    <w:p w14:paraId="67C0B804">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）投标函、法人授权函、投标报价表及投标货物偏离表未按规定格式填报的；</w:t>
      </w:r>
    </w:p>
    <w:p w14:paraId="521A24C5">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）投标人未能提供法人授权函等证明文件和资料的，或提供的证件不全或无效；</w:t>
      </w:r>
    </w:p>
    <w:p w14:paraId="1B1165D6">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)投标文件未按照招标文件规定的格式填写、填写的内容不全、字迹模糊辨认不清产生歧义、涂改处未加盖投标人公章及法人或法人授权的代理人的印章或签字的；</w:t>
      </w:r>
    </w:p>
    <w:p w14:paraId="6E0B2DA2">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）投标文件中每包以两个及两个以上的方案进行投标的（招标文件另有规定的除外）；</w:t>
      </w:r>
    </w:p>
    <w:p w14:paraId="455063F7">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）投标文件未能对招标文件提出的要求和条件做出实质性响应的；</w:t>
      </w:r>
    </w:p>
    <w:p w14:paraId="1F962DFC">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）投标人资格条件不符合国家有关规定和招标文件要求的，或者拒不按照要求对投标文件进行澄清、说明或者补正的；</w:t>
      </w:r>
    </w:p>
    <w:p w14:paraId="6F5B54E1">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）投标文件含有采购人不能接受的附加条件的；</w:t>
      </w:r>
    </w:p>
    <w:p w14:paraId="4BAC9DF3">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ascii="宋体" w:hAnsi="宋体" w:eastAsia="宋体" w:cs="宋体"/>
          <w:kern w:val="2"/>
          <w:sz w:val="24"/>
          <w:szCs w:val="24"/>
        </w:rPr>
        <w:t>0</w:t>
      </w:r>
      <w:r>
        <w:rPr>
          <w:rFonts w:hint="eastAsia" w:ascii="宋体" w:hAnsi="宋体" w:eastAsia="宋体" w:cs="宋体"/>
          <w:kern w:val="2"/>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880C7B">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ascii="宋体" w:hAnsi="宋体" w:eastAsia="宋体" w:cs="宋体"/>
          <w:kern w:val="2"/>
          <w:sz w:val="24"/>
          <w:szCs w:val="24"/>
        </w:rPr>
        <w:t>1</w:t>
      </w:r>
      <w:r>
        <w:rPr>
          <w:rFonts w:hint="eastAsia" w:ascii="宋体" w:hAnsi="宋体" w:eastAsia="宋体" w:cs="宋体"/>
          <w:kern w:val="2"/>
          <w:sz w:val="24"/>
          <w:szCs w:val="24"/>
        </w:rPr>
        <w:t>）投标有效期不足60天的；</w:t>
      </w:r>
    </w:p>
    <w:p w14:paraId="6B2FCF3B">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ascii="宋体" w:hAnsi="宋体" w:eastAsia="宋体" w:cs="宋体"/>
          <w:kern w:val="2"/>
          <w:sz w:val="24"/>
          <w:szCs w:val="24"/>
        </w:rPr>
        <w:t>2</w:t>
      </w:r>
      <w:r>
        <w:rPr>
          <w:rFonts w:hint="eastAsia" w:ascii="宋体" w:hAnsi="宋体" w:eastAsia="宋体" w:cs="宋体"/>
          <w:kern w:val="2"/>
          <w:sz w:val="24"/>
          <w:szCs w:val="24"/>
        </w:rPr>
        <w:t>）在评标过程中，如果投标人试图在投标审查、澄清、比较及授予合同方面向招标人施加任何影响的；</w:t>
      </w:r>
    </w:p>
    <w:p w14:paraId="43A1A992">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ascii="宋体" w:hAnsi="宋体" w:eastAsia="宋体" w:cs="宋体"/>
          <w:kern w:val="2"/>
          <w:sz w:val="24"/>
          <w:szCs w:val="24"/>
        </w:rPr>
        <w:t>3</w:t>
      </w:r>
      <w:r>
        <w:rPr>
          <w:rFonts w:hint="eastAsia" w:ascii="宋体" w:hAnsi="宋体" w:eastAsia="宋体" w:cs="宋体"/>
          <w:kern w:val="2"/>
          <w:sz w:val="24"/>
          <w:szCs w:val="24"/>
        </w:rPr>
        <w:t>）投标人以他人名义投标、串通投标、以行贿手段谋取中标或者以弄虚作假等方式投标的；</w:t>
      </w:r>
    </w:p>
    <w:p w14:paraId="581F99E8">
      <w:pPr>
        <w:tabs>
          <w:tab w:val="left" w:pos="-540"/>
        </w:tabs>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ascii="宋体" w:hAnsi="宋体" w:eastAsia="宋体" w:cs="宋体"/>
          <w:kern w:val="2"/>
          <w:sz w:val="24"/>
          <w:szCs w:val="24"/>
        </w:rPr>
        <w:t>4</w:t>
      </w:r>
      <w:r>
        <w:rPr>
          <w:rFonts w:hint="eastAsia" w:ascii="宋体" w:hAnsi="宋体" w:eastAsia="宋体" w:cs="宋体"/>
          <w:kern w:val="2"/>
          <w:sz w:val="24"/>
          <w:szCs w:val="24"/>
        </w:rPr>
        <w:t>）报价超过招标文件中规定的预算金额或者最高限价的；</w:t>
      </w:r>
    </w:p>
    <w:p w14:paraId="7DCC6B53">
      <w:pPr>
        <w:tabs>
          <w:tab w:val="left" w:pos="-540"/>
        </w:tabs>
        <w:adjustRightInd/>
        <w:snapToGrid/>
        <w:spacing w:after="0" w:line="360" w:lineRule="auto"/>
        <w:ind w:firstLine="360" w:firstLineChars="150"/>
        <w:jc w:val="both"/>
        <w:textAlignment w:val="baseline"/>
        <w:rPr>
          <w:rFonts w:ascii="宋体" w:hAnsi="宋体" w:eastAsia="宋体" w:cs="宋体"/>
          <w:sz w:val="24"/>
          <w:szCs w:val="24"/>
        </w:rPr>
        <w:sectPr>
          <w:pgSz w:w="11906" w:h="16838"/>
          <w:pgMar w:top="1440" w:right="1800" w:bottom="1440" w:left="1800" w:header="850" w:footer="850" w:gutter="0"/>
          <w:cols w:space="720" w:num="1"/>
          <w:docGrid w:type="lines" w:linePitch="312" w:charSpace="0"/>
        </w:sectPr>
      </w:pPr>
      <w:r>
        <w:rPr>
          <w:rFonts w:hint="eastAsia" w:ascii="宋体" w:hAnsi="宋体" w:eastAsia="宋体" w:cs="宋体"/>
          <w:kern w:val="2"/>
          <w:sz w:val="24"/>
          <w:szCs w:val="24"/>
        </w:rPr>
        <w:t>1</w:t>
      </w:r>
      <w:r>
        <w:rPr>
          <w:rFonts w:ascii="宋体" w:hAnsi="宋体" w:eastAsia="宋体" w:cs="宋体"/>
          <w:kern w:val="2"/>
          <w:sz w:val="24"/>
          <w:szCs w:val="24"/>
        </w:rPr>
        <w:t>5</w:t>
      </w:r>
      <w:r>
        <w:rPr>
          <w:rFonts w:hint="eastAsia" w:ascii="宋体" w:hAnsi="宋体" w:eastAsia="宋体" w:cs="宋体"/>
          <w:kern w:val="2"/>
          <w:sz w:val="24"/>
          <w:szCs w:val="24"/>
        </w:rPr>
        <w:t>）法律、法规和招标文件规定的其他无效情形。</w:t>
      </w:r>
    </w:p>
    <w:p w14:paraId="78B5D59D">
      <w:pPr>
        <w:jc w:val="center"/>
        <w:outlineLvl w:val="0"/>
        <w:rPr>
          <w:rFonts w:ascii="宋体" w:hAnsi="宋体" w:eastAsia="宋体" w:cs="Times New Roman"/>
          <w:b/>
          <w:bCs/>
          <w:kern w:val="44"/>
          <w:sz w:val="30"/>
        </w:rPr>
      </w:pPr>
      <w:bookmarkStart w:id="122" w:name="_Toc30449"/>
      <w:bookmarkStart w:id="123" w:name="_Toc30738"/>
      <w:r>
        <w:rPr>
          <w:rFonts w:hint="eastAsia" w:ascii="宋体" w:hAnsi="宋体" w:eastAsia="宋体" w:cs="Times New Roman"/>
          <w:b/>
          <w:bCs/>
          <w:kern w:val="44"/>
          <w:sz w:val="30"/>
        </w:rPr>
        <w:t>第六章</w:t>
      </w:r>
      <w:bookmarkEnd w:id="122"/>
      <w:r>
        <w:rPr>
          <w:rFonts w:hint="eastAsia" w:ascii="宋体" w:hAnsi="宋体" w:eastAsia="宋体" w:cs="Times New Roman"/>
          <w:b/>
          <w:bCs/>
          <w:kern w:val="44"/>
          <w:sz w:val="30"/>
        </w:rPr>
        <w:t>、</w:t>
      </w:r>
      <w:bookmarkStart w:id="124" w:name="_Toc25386"/>
      <w:r>
        <w:rPr>
          <w:rFonts w:hint="eastAsia" w:ascii="宋体" w:hAnsi="宋体" w:eastAsia="宋体" w:cs="Times New Roman"/>
          <w:b/>
          <w:bCs/>
          <w:kern w:val="44"/>
          <w:sz w:val="30"/>
        </w:rPr>
        <w:t>合同条款及格式</w:t>
      </w:r>
      <w:bookmarkEnd w:id="123"/>
      <w:bookmarkEnd w:id="124"/>
    </w:p>
    <w:p w14:paraId="49903E7A">
      <w:pPr>
        <w:pStyle w:val="3"/>
        <w:rPr>
          <w:rStyle w:val="22"/>
          <w:rFonts w:ascii="宋体" w:hAnsi="宋体"/>
          <w:b/>
          <w:sz w:val="32"/>
          <w:szCs w:val="32"/>
        </w:rPr>
      </w:pPr>
    </w:p>
    <w:p w14:paraId="436E9404">
      <w:pPr>
        <w:framePr w:wrap="around" w:vAnchor="margin" w:hAnchor="text" w:y="1"/>
        <w:spacing w:before="312" w:after="312"/>
        <w:rPr>
          <w:rStyle w:val="22"/>
          <w:rFonts w:ascii="宋体" w:hAnsi="宋体" w:eastAsia="宋体"/>
        </w:rPr>
      </w:pPr>
    </w:p>
    <w:p w14:paraId="757DAB8F">
      <w:pPr>
        <w:spacing w:before="221" w:line="219" w:lineRule="auto"/>
        <w:ind w:left="2437"/>
        <w:rPr>
          <w:rFonts w:ascii="宋体" w:hAnsi="宋体" w:eastAsia="宋体" w:cs="宋体"/>
          <w:sz w:val="68"/>
          <w:szCs w:val="68"/>
        </w:rPr>
      </w:pPr>
      <w:r>
        <w:rPr>
          <w:rFonts w:hint="eastAsia" w:ascii="宋体" w:hAnsi="宋体" w:eastAsia="宋体" w:cs="宋体"/>
          <w:sz w:val="36"/>
          <w:szCs w:val="36"/>
        </w:rPr>
        <w:t xml:space="preserve">  </w:t>
      </w:r>
      <w:r>
        <w:rPr>
          <w:rFonts w:ascii="宋体" w:hAnsi="宋体" w:eastAsia="宋体" w:cs="宋体"/>
          <w:spacing w:val="-4"/>
          <w:sz w:val="68"/>
          <w:szCs w:val="68"/>
        </w:rPr>
        <w:t>政府采购合同</w:t>
      </w:r>
    </w:p>
    <w:p w14:paraId="1C2BBBFF">
      <w:pPr>
        <w:pStyle w:val="3"/>
      </w:pPr>
    </w:p>
    <w:p w14:paraId="402572AA">
      <w:pPr>
        <w:pStyle w:val="3"/>
      </w:pPr>
    </w:p>
    <w:p w14:paraId="2A8BE182">
      <w:pPr>
        <w:pStyle w:val="3"/>
      </w:pPr>
    </w:p>
    <w:p w14:paraId="0987F80A">
      <w:pPr>
        <w:pStyle w:val="3"/>
      </w:pPr>
    </w:p>
    <w:p w14:paraId="16494590">
      <w:pPr>
        <w:pStyle w:val="3"/>
      </w:pPr>
    </w:p>
    <w:p w14:paraId="5216702C">
      <w:pPr>
        <w:pStyle w:val="3"/>
      </w:pPr>
    </w:p>
    <w:p w14:paraId="0B953353">
      <w:pPr>
        <w:pStyle w:val="3"/>
      </w:pPr>
    </w:p>
    <w:p w14:paraId="0706E203">
      <w:pPr>
        <w:pStyle w:val="3"/>
      </w:pPr>
    </w:p>
    <w:p w14:paraId="16C01288">
      <w:pPr>
        <w:pStyle w:val="3"/>
      </w:pPr>
    </w:p>
    <w:p w14:paraId="1820D7D7">
      <w:pPr>
        <w:pStyle w:val="3"/>
        <w:spacing w:line="241" w:lineRule="auto"/>
      </w:pPr>
    </w:p>
    <w:p w14:paraId="03CB698E">
      <w:pPr>
        <w:pStyle w:val="3"/>
        <w:spacing w:line="241" w:lineRule="auto"/>
      </w:pPr>
    </w:p>
    <w:p w14:paraId="75BA461F">
      <w:pPr>
        <w:pStyle w:val="3"/>
        <w:spacing w:line="241" w:lineRule="auto"/>
      </w:pPr>
    </w:p>
    <w:p w14:paraId="126856B5">
      <w:pPr>
        <w:pStyle w:val="3"/>
        <w:spacing w:line="241" w:lineRule="auto"/>
      </w:pPr>
    </w:p>
    <w:p w14:paraId="394861D0">
      <w:pPr>
        <w:pStyle w:val="3"/>
        <w:spacing w:line="241" w:lineRule="auto"/>
      </w:pPr>
    </w:p>
    <w:p w14:paraId="768214C3">
      <w:pPr>
        <w:spacing w:before="91" w:line="219" w:lineRule="auto"/>
        <w:ind w:left="2784"/>
        <w:rPr>
          <w:rFonts w:ascii="宋体" w:hAnsi="宋体" w:eastAsia="宋体" w:cs="宋体"/>
          <w:sz w:val="28"/>
          <w:szCs w:val="28"/>
        </w:rPr>
      </w:pPr>
      <w:r>
        <w:rPr>
          <w:rFonts w:ascii="宋体" w:hAnsi="宋体" w:eastAsia="宋体" w:cs="宋体"/>
          <w:spacing w:val="-1"/>
          <w:sz w:val="28"/>
          <w:szCs w:val="28"/>
        </w:rPr>
        <w:t>签订时间：</w:t>
      </w:r>
      <w:r>
        <w:rPr>
          <w:rFonts w:hint="eastAsia" w:ascii="宋体" w:hAnsi="宋体" w:eastAsia="宋体" w:cs="宋体"/>
          <w:spacing w:val="-1"/>
          <w:sz w:val="28"/>
          <w:szCs w:val="28"/>
        </w:rPr>
        <w:t xml:space="preserve">    </w:t>
      </w:r>
      <w:r>
        <w:rPr>
          <w:rFonts w:ascii="宋体" w:hAnsi="宋体" w:eastAsia="宋体" w:cs="宋体"/>
          <w:spacing w:val="-1"/>
          <w:sz w:val="28"/>
          <w:szCs w:val="28"/>
        </w:rPr>
        <w:t>年</w:t>
      </w:r>
      <w:r>
        <w:rPr>
          <w:rFonts w:hint="eastAsia" w:ascii="宋体" w:hAnsi="宋体" w:eastAsia="宋体" w:cs="宋体"/>
          <w:spacing w:val="-1"/>
          <w:sz w:val="28"/>
          <w:szCs w:val="28"/>
        </w:rPr>
        <w:t xml:space="preserve">   </w:t>
      </w:r>
      <w:r>
        <w:rPr>
          <w:rFonts w:ascii="宋体" w:hAnsi="宋体" w:eastAsia="宋体" w:cs="宋体"/>
          <w:spacing w:val="-1"/>
          <w:sz w:val="28"/>
          <w:szCs w:val="28"/>
        </w:rPr>
        <w:t>月</w:t>
      </w:r>
      <w:r>
        <w:rPr>
          <w:rFonts w:hint="eastAsia" w:ascii="宋体" w:hAnsi="宋体" w:eastAsia="宋体" w:cs="宋体"/>
          <w:spacing w:val="-1"/>
          <w:sz w:val="28"/>
          <w:szCs w:val="28"/>
        </w:rPr>
        <w:t xml:space="preserve">  </w:t>
      </w:r>
      <w:r>
        <w:rPr>
          <w:rFonts w:ascii="宋体" w:hAnsi="宋体" w:eastAsia="宋体" w:cs="宋体"/>
          <w:spacing w:val="-1"/>
          <w:sz w:val="28"/>
          <w:szCs w:val="28"/>
        </w:rPr>
        <w:t>日</w:t>
      </w:r>
    </w:p>
    <w:p w14:paraId="0BCB0C36">
      <w:pPr>
        <w:spacing w:after="0" w:line="480" w:lineRule="auto"/>
        <w:rPr>
          <w:rFonts w:ascii="宋体" w:hAnsi="宋体" w:eastAsia="宋体" w:cs="宋体"/>
          <w:sz w:val="28"/>
          <w:szCs w:val="28"/>
        </w:rPr>
      </w:pPr>
      <w:r>
        <w:rPr>
          <w:rFonts w:ascii="宋体" w:hAnsi="宋体" w:eastAsia="宋体" w:cs="宋体"/>
          <w:spacing w:val="-1"/>
          <w:sz w:val="28"/>
          <w:szCs w:val="28"/>
        </w:rPr>
        <w:t>项目名称：</w:t>
      </w:r>
      <w:r>
        <w:rPr>
          <w:rFonts w:hint="eastAsia" w:ascii="宋体" w:hAnsi="宋体" w:eastAsia="宋体" w:cs="宋体"/>
          <w:spacing w:val="-1"/>
          <w:sz w:val="28"/>
          <w:szCs w:val="28"/>
        </w:rPr>
        <w:t xml:space="preserve"> </w:t>
      </w:r>
    </w:p>
    <w:p w14:paraId="37B31CC6">
      <w:pPr>
        <w:spacing w:after="0" w:line="480" w:lineRule="auto"/>
        <w:rPr>
          <w:rFonts w:ascii="宋体" w:hAnsi="宋体" w:eastAsia="宋体" w:cs="宋体"/>
          <w:sz w:val="28"/>
          <w:szCs w:val="28"/>
        </w:rPr>
      </w:pPr>
      <w:r>
        <w:rPr>
          <w:rFonts w:ascii="宋体" w:hAnsi="宋体" w:eastAsia="宋体" w:cs="宋体"/>
          <w:position w:val="18"/>
          <w:sz w:val="28"/>
          <w:szCs w:val="28"/>
        </w:rPr>
        <w:t>政府采购管理部门备案编号：</w:t>
      </w:r>
      <w:r>
        <w:rPr>
          <w:rFonts w:hint="eastAsia" w:ascii="宋体" w:hAnsi="宋体" w:eastAsia="宋体" w:cs="宋体"/>
          <w:position w:val="18"/>
          <w:sz w:val="28"/>
          <w:szCs w:val="28"/>
        </w:rPr>
        <w:t xml:space="preserve"> </w:t>
      </w:r>
    </w:p>
    <w:p w14:paraId="0CA01DE0">
      <w:pPr>
        <w:spacing w:after="0" w:line="480" w:lineRule="auto"/>
        <w:rPr>
          <w:rFonts w:ascii="宋体" w:hAnsi="宋体" w:eastAsia="宋体" w:cs="宋体"/>
          <w:sz w:val="28"/>
          <w:szCs w:val="28"/>
        </w:rPr>
      </w:pPr>
      <w:r>
        <w:rPr>
          <w:rFonts w:ascii="宋体" w:hAnsi="宋体" w:eastAsia="宋体" w:cs="宋体"/>
          <w:spacing w:val="-1"/>
          <w:sz w:val="28"/>
          <w:szCs w:val="28"/>
        </w:rPr>
        <w:t>项目编号：</w:t>
      </w:r>
      <w:r>
        <w:rPr>
          <w:rFonts w:hint="eastAsia" w:ascii="宋体" w:hAnsi="宋体" w:eastAsia="宋体" w:cs="宋体"/>
          <w:spacing w:val="-1"/>
          <w:sz w:val="28"/>
          <w:szCs w:val="28"/>
        </w:rPr>
        <w:t xml:space="preserve"> </w:t>
      </w:r>
    </w:p>
    <w:p w14:paraId="099EAA24">
      <w:pPr>
        <w:spacing w:after="0" w:line="480" w:lineRule="auto"/>
        <w:rPr>
          <w:rFonts w:ascii="宋体" w:hAnsi="宋体" w:eastAsia="宋体" w:cs="宋体"/>
          <w:sz w:val="28"/>
          <w:szCs w:val="28"/>
        </w:rPr>
      </w:pPr>
      <w:r>
        <w:rPr>
          <w:rFonts w:ascii="宋体" w:hAnsi="宋体" w:eastAsia="宋体" w:cs="宋体"/>
          <w:spacing w:val="-1"/>
          <w:sz w:val="28"/>
          <w:szCs w:val="28"/>
        </w:rPr>
        <w:t>合同自编号：</w:t>
      </w:r>
      <w:r>
        <w:rPr>
          <w:rFonts w:hint="eastAsia" w:ascii="宋体" w:hAnsi="宋体" w:eastAsia="宋体" w:cs="宋体"/>
          <w:spacing w:val="-1"/>
          <w:sz w:val="28"/>
          <w:szCs w:val="28"/>
        </w:rPr>
        <w:t xml:space="preserve"> </w:t>
      </w:r>
    </w:p>
    <w:p w14:paraId="1030EAF1">
      <w:pPr>
        <w:spacing w:after="0" w:line="480" w:lineRule="auto"/>
        <w:rPr>
          <w:rFonts w:ascii="宋体" w:hAnsi="宋体" w:eastAsia="宋体" w:cs="宋体"/>
          <w:sz w:val="28"/>
          <w:szCs w:val="28"/>
        </w:rPr>
      </w:pPr>
      <w:r>
        <w:rPr>
          <w:rFonts w:ascii="宋体" w:hAnsi="宋体" w:eastAsia="宋体" w:cs="宋体"/>
          <w:spacing w:val="-4"/>
          <w:sz w:val="28"/>
          <w:szCs w:val="28"/>
        </w:rPr>
        <w:t>甲方：</w:t>
      </w:r>
      <w:r>
        <w:rPr>
          <w:rFonts w:hint="eastAsia" w:ascii="宋体" w:hAnsi="宋体" w:eastAsia="宋体" w:cs="宋体"/>
          <w:spacing w:val="-4"/>
          <w:sz w:val="28"/>
          <w:szCs w:val="28"/>
        </w:rPr>
        <w:t xml:space="preserve"> </w:t>
      </w:r>
    </w:p>
    <w:p w14:paraId="63CDF88E">
      <w:pPr>
        <w:spacing w:after="0" w:line="480" w:lineRule="auto"/>
        <w:rPr>
          <w:rFonts w:ascii="宋体" w:hAnsi="宋体" w:eastAsia="宋体" w:cs="宋体"/>
          <w:sz w:val="28"/>
          <w:szCs w:val="28"/>
        </w:rPr>
      </w:pPr>
      <w:r>
        <w:rPr>
          <w:rFonts w:ascii="宋体" w:hAnsi="宋体" w:eastAsia="宋体" w:cs="宋体"/>
          <w:spacing w:val="-3"/>
          <w:position w:val="17"/>
          <w:sz w:val="28"/>
          <w:szCs w:val="28"/>
        </w:rPr>
        <w:t>乙方：</w:t>
      </w:r>
      <w:r>
        <w:rPr>
          <w:rFonts w:hint="eastAsia" w:ascii="宋体" w:hAnsi="宋体" w:eastAsia="宋体" w:cs="宋体"/>
          <w:spacing w:val="-3"/>
          <w:position w:val="17"/>
          <w:sz w:val="28"/>
          <w:szCs w:val="28"/>
        </w:rPr>
        <w:t xml:space="preserve"> </w:t>
      </w:r>
    </w:p>
    <w:p w14:paraId="58921DE7">
      <w:pPr>
        <w:spacing w:after="0" w:line="480" w:lineRule="auto"/>
        <w:rPr>
          <w:rFonts w:ascii="宋体" w:hAnsi="宋体" w:eastAsia="宋体" w:cs="宋体"/>
          <w:sz w:val="28"/>
          <w:szCs w:val="28"/>
        </w:rPr>
      </w:pPr>
      <w:r>
        <w:rPr>
          <w:rFonts w:ascii="宋体" w:hAnsi="宋体" w:eastAsia="宋体" w:cs="宋体"/>
          <w:spacing w:val="-1"/>
          <w:sz w:val="28"/>
          <w:szCs w:val="28"/>
        </w:rPr>
        <w:t>采购代理机构：</w:t>
      </w:r>
      <w:r>
        <w:rPr>
          <w:rFonts w:hint="eastAsia" w:ascii="宋体" w:hAnsi="宋体" w:eastAsia="宋体" w:cs="宋体"/>
          <w:spacing w:val="-1"/>
          <w:sz w:val="28"/>
          <w:szCs w:val="28"/>
        </w:rPr>
        <w:t xml:space="preserve"> </w:t>
      </w:r>
    </w:p>
    <w:p w14:paraId="48B560F7">
      <w:pPr>
        <w:spacing w:line="218" w:lineRule="auto"/>
        <w:rPr>
          <w:rFonts w:ascii="宋体" w:hAnsi="宋体" w:eastAsia="宋体" w:cs="宋体"/>
          <w:sz w:val="28"/>
          <w:szCs w:val="28"/>
        </w:rPr>
        <w:sectPr>
          <w:footerReference r:id="rId9" w:type="default"/>
          <w:pgSz w:w="11900" w:h="16840"/>
          <w:pgMar w:top="1440" w:right="1800" w:bottom="1440" w:left="1800" w:header="0" w:footer="250" w:gutter="0"/>
          <w:cols w:space="720" w:num="1"/>
        </w:sectPr>
      </w:pPr>
    </w:p>
    <w:p w14:paraId="7BC7E9E5">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根据《中华人民共和国政府采购法》、《中华人民</w:t>
      </w:r>
      <w:r>
        <w:rPr>
          <w:rFonts w:ascii="宋体" w:hAnsi="宋体" w:eastAsia="宋体" w:cs="宋体"/>
          <w:spacing w:val="-1"/>
          <w:sz w:val="24"/>
          <w:szCs w:val="24"/>
        </w:rPr>
        <w:t>共和国合同法》等法律法</w:t>
      </w:r>
      <w:r>
        <w:rPr>
          <w:rFonts w:ascii="宋体" w:hAnsi="宋体" w:eastAsia="宋体" w:cs="宋体"/>
          <w:sz w:val="24"/>
          <w:szCs w:val="24"/>
        </w:rPr>
        <w:t xml:space="preserve"> </w:t>
      </w:r>
      <w:r>
        <w:rPr>
          <w:rFonts w:ascii="宋体" w:hAnsi="宋体" w:eastAsia="宋体" w:cs="宋体"/>
          <w:spacing w:val="-2"/>
          <w:sz w:val="24"/>
          <w:szCs w:val="24"/>
        </w:rPr>
        <w:t>规的规定，甲乙双方按照陇南市公共资源交易中心的结果签订本合同。</w:t>
      </w:r>
    </w:p>
    <w:p w14:paraId="794C88B7">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第一条 合同文件</w:t>
      </w:r>
    </w:p>
    <w:p w14:paraId="74DC4AB8">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下列与本次采购活动有关的文件及附件是本合同不可分割的组成部分，与本</w:t>
      </w:r>
      <w:r>
        <w:rPr>
          <w:rFonts w:ascii="宋体" w:hAnsi="宋体" w:eastAsia="宋体" w:cs="宋体"/>
          <w:spacing w:val="15"/>
          <w:sz w:val="24"/>
          <w:szCs w:val="24"/>
        </w:rPr>
        <w:t xml:space="preserve"> </w:t>
      </w:r>
      <w:r>
        <w:rPr>
          <w:rFonts w:ascii="宋体" w:hAnsi="宋体" w:eastAsia="宋体" w:cs="宋体"/>
          <w:spacing w:val="-3"/>
          <w:sz w:val="24"/>
          <w:szCs w:val="24"/>
        </w:rPr>
        <w:t>合同具有同等法律效力，这些文件包括但不限于：</w:t>
      </w:r>
    </w:p>
    <w:p w14:paraId="393A1DFC">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position w:val="12"/>
          <w:sz w:val="24"/>
          <w:szCs w:val="24"/>
        </w:rPr>
        <w:t>1.招标采购文件</w:t>
      </w:r>
    </w:p>
    <w:p w14:paraId="07044E86">
      <w:pPr>
        <w:kinsoku w:val="0"/>
        <w:autoSpaceDE w:val="0"/>
        <w:autoSpaceDN w:val="0"/>
        <w:spacing w:line="36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2.投标文件</w:t>
      </w:r>
    </w:p>
    <w:p w14:paraId="0D488006">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position w:val="12"/>
          <w:sz w:val="24"/>
          <w:szCs w:val="24"/>
        </w:rPr>
        <w:t>3.乙方在投标时的书面承诺</w:t>
      </w:r>
    </w:p>
    <w:p w14:paraId="7599E544">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4.中标通知书或成交通知书</w:t>
      </w:r>
    </w:p>
    <w:p w14:paraId="3607644E">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5.合同补充条款或说明</w:t>
      </w:r>
    </w:p>
    <w:p w14:paraId="493B6FF6">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6.保密协议或条款</w:t>
      </w:r>
    </w:p>
    <w:p w14:paraId="71F14728">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7.相关附件、图纸及电子版资料</w:t>
      </w:r>
    </w:p>
    <w:p w14:paraId="2567F541">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第二条 合同内容</w:t>
      </w:r>
    </w:p>
    <w:p w14:paraId="613BFEFA">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服务名称：详见合同附件中《服务一览表》</w:t>
      </w:r>
    </w:p>
    <w:p w14:paraId="06DA6D51">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第三条 合同总金额</w:t>
      </w:r>
    </w:p>
    <w:p w14:paraId="070ACF12">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本合同服务总金额：￥</w:t>
      </w:r>
      <w:r>
        <w:rPr>
          <w:rFonts w:ascii="宋体" w:hAnsi="宋体" w:eastAsia="宋体" w:cs="宋体"/>
          <w:spacing w:val="-83"/>
          <w:sz w:val="24"/>
          <w:szCs w:val="24"/>
        </w:rPr>
        <w:t xml:space="preserve"> </w:t>
      </w:r>
      <w:r>
        <w:rPr>
          <w:rFonts w:ascii="宋体" w:hAnsi="宋体" w:eastAsia="宋体" w:cs="宋体"/>
          <w:spacing w:val="-106"/>
          <w:sz w:val="24"/>
          <w:szCs w:val="24"/>
          <w:u w:val="single"/>
        </w:rPr>
        <w:t xml:space="preserve"> </w:t>
      </w:r>
      <w:r>
        <w:rPr>
          <w:rFonts w:hint="eastAsia" w:ascii="宋体" w:hAnsi="宋体" w:eastAsia="宋体" w:cs="宋体"/>
          <w:spacing w:val="-4"/>
          <w:sz w:val="24"/>
          <w:szCs w:val="24"/>
          <w:u w:val="single"/>
        </w:rPr>
        <w:t xml:space="preserve">         </w:t>
      </w:r>
      <w:r>
        <w:rPr>
          <w:rFonts w:ascii="宋体" w:hAnsi="宋体" w:eastAsia="宋体" w:cs="宋体"/>
          <w:spacing w:val="-4"/>
          <w:sz w:val="24"/>
          <w:szCs w:val="24"/>
        </w:rPr>
        <w:t>元。</w:t>
      </w:r>
    </w:p>
    <w:p w14:paraId="4BA265B9">
      <w:pPr>
        <w:kinsoku w:val="0"/>
        <w:autoSpaceDE w:val="0"/>
        <w:autoSpaceDN w:val="0"/>
        <w:spacing w:line="360" w:lineRule="auto"/>
        <w:ind w:firstLine="440" w:firstLineChars="200"/>
        <w:textAlignment w:val="baseline"/>
        <w:rPr>
          <w:rFonts w:ascii="宋体" w:hAnsi="宋体" w:eastAsia="宋体" w:cs="宋体"/>
          <w:sz w:val="24"/>
          <w:szCs w:val="24"/>
        </w:rPr>
      </w:pPr>
      <w:r>
        <w:rPr>
          <w:rFonts w:ascii="宋体" w:hAnsi="宋体" w:eastAsia="宋体" w:cs="宋体"/>
          <w:spacing w:val="-10"/>
          <w:sz w:val="24"/>
          <w:szCs w:val="24"/>
        </w:rPr>
        <w:t xml:space="preserve">大写： </w:t>
      </w:r>
      <w:r>
        <w:rPr>
          <w:rFonts w:hint="eastAsia" w:ascii="宋体" w:hAnsi="宋体" w:eastAsia="宋体" w:cs="宋体"/>
          <w:spacing w:val="-10"/>
          <w:sz w:val="24"/>
          <w:szCs w:val="24"/>
          <w:u w:val="single"/>
        </w:rPr>
        <w:t xml:space="preserve">              </w:t>
      </w:r>
      <w:r>
        <w:rPr>
          <w:rFonts w:ascii="宋体" w:hAnsi="宋体" w:eastAsia="宋体" w:cs="宋体"/>
          <w:spacing w:val="-10"/>
          <w:sz w:val="24"/>
          <w:szCs w:val="24"/>
        </w:rPr>
        <w:t>。</w:t>
      </w:r>
    </w:p>
    <w:p w14:paraId="3BA6F59E">
      <w:pPr>
        <w:kinsoku w:val="0"/>
        <w:autoSpaceDE w:val="0"/>
        <w:autoSpaceDN w:val="0"/>
        <w:spacing w:line="36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分项价款在《服务一览表》中有明确规定。</w:t>
      </w:r>
    </w:p>
    <w:p w14:paraId="72C4454A">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本合同总价款包括服务期间必须的日常易耗品、</w:t>
      </w:r>
      <w:r>
        <w:rPr>
          <w:rFonts w:ascii="宋体" w:hAnsi="宋体" w:eastAsia="宋体" w:cs="宋体"/>
          <w:spacing w:val="-1"/>
          <w:sz w:val="24"/>
          <w:szCs w:val="24"/>
        </w:rPr>
        <w:t>工具、调试费、培训费等相</w:t>
      </w:r>
      <w:r>
        <w:rPr>
          <w:rFonts w:ascii="宋体" w:hAnsi="宋体" w:eastAsia="宋体" w:cs="宋体"/>
          <w:sz w:val="24"/>
          <w:szCs w:val="24"/>
        </w:rPr>
        <w:t xml:space="preserve"> </w:t>
      </w:r>
      <w:r>
        <w:rPr>
          <w:rFonts w:ascii="宋体" w:hAnsi="宋体" w:eastAsia="宋体" w:cs="宋体"/>
          <w:spacing w:val="-10"/>
          <w:sz w:val="24"/>
          <w:szCs w:val="24"/>
        </w:rPr>
        <w:t>关费用。</w:t>
      </w:r>
    </w:p>
    <w:p w14:paraId="01F1C471">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本合同执行期内因工作量变化而引起的服务费用</w:t>
      </w:r>
      <w:r>
        <w:rPr>
          <w:rFonts w:ascii="宋体" w:hAnsi="宋体" w:eastAsia="宋体" w:cs="宋体"/>
          <w:spacing w:val="-1"/>
          <w:sz w:val="24"/>
          <w:szCs w:val="24"/>
        </w:rPr>
        <w:t>的变动，在双方事先协商一</w:t>
      </w:r>
      <w:r>
        <w:rPr>
          <w:rFonts w:ascii="宋体" w:hAnsi="宋体" w:eastAsia="宋体" w:cs="宋体"/>
          <w:spacing w:val="-4"/>
          <w:sz w:val="24"/>
          <w:szCs w:val="24"/>
        </w:rPr>
        <w:t>致的前提下签订补充合同。</w:t>
      </w:r>
    </w:p>
    <w:p w14:paraId="1CDC7853">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第四条 权利义务和质量保证</w:t>
      </w:r>
    </w:p>
    <w:p w14:paraId="3D11C99C">
      <w:pPr>
        <w:kinsoku w:val="0"/>
        <w:autoSpaceDE w:val="0"/>
        <w:autoSpaceDN w:val="0"/>
        <w:spacing w:line="360" w:lineRule="auto"/>
        <w:ind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1.甲方保证服务期间，对乙方工作给予支持，提供水、电、场地等必须的基</w:t>
      </w:r>
      <w:r>
        <w:rPr>
          <w:rFonts w:ascii="宋体" w:hAnsi="宋体" w:eastAsia="宋体" w:cs="宋体"/>
          <w:sz w:val="24"/>
          <w:szCs w:val="24"/>
        </w:rPr>
        <w:t>础工作条件。如乙方有需要，还要提供履行合同所必需的</w:t>
      </w:r>
      <w:r>
        <w:rPr>
          <w:rFonts w:ascii="宋体" w:hAnsi="宋体" w:eastAsia="宋体" w:cs="宋体"/>
          <w:spacing w:val="-1"/>
          <w:sz w:val="24"/>
          <w:szCs w:val="24"/>
        </w:rPr>
        <w:t>有关图纸、数据、资料</w:t>
      </w:r>
      <w:r>
        <w:rPr>
          <w:rFonts w:ascii="宋体" w:hAnsi="宋体" w:eastAsia="宋体" w:cs="宋体"/>
          <w:sz w:val="24"/>
          <w:szCs w:val="24"/>
        </w:rPr>
        <w:t>等。没有甲方事先同意，乙方不得将甲方资料提供给与履</w:t>
      </w:r>
      <w:r>
        <w:rPr>
          <w:rFonts w:ascii="宋体" w:hAnsi="宋体" w:eastAsia="宋体" w:cs="宋体"/>
          <w:spacing w:val="-1"/>
          <w:sz w:val="24"/>
          <w:szCs w:val="24"/>
        </w:rPr>
        <w:t>行本合同无关的任何其</w:t>
      </w:r>
      <w:r>
        <w:rPr>
          <w:rFonts w:ascii="宋体" w:hAnsi="宋体" w:eastAsia="宋体" w:cs="宋体"/>
          <w:sz w:val="24"/>
          <w:szCs w:val="24"/>
        </w:rPr>
        <w:t>他人。即使向履行本合同有关的人员提供，也应注意保密</w:t>
      </w:r>
      <w:r>
        <w:rPr>
          <w:rFonts w:ascii="宋体" w:hAnsi="宋体" w:eastAsia="宋体" w:cs="宋体"/>
          <w:spacing w:val="-1"/>
          <w:sz w:val="24"/>
          <w:szCs w:val="24"/>
        </w:rPr>
        <w:t>并限于履行合同的必需</w:t>
      </w:r>
      <w:r>
        <w:rPr>
          <w:rFonts w:ascii="宋体" w:hAnsi="宋体" w:eastAsia="宋体" w:cs="宋体"/>
          <w:spacing w:val="-9"/>
          <w:sz w:val="24"/>
          <w:szCs w:val="24"/>
        </w:rPr>
        <w:t>范围内。</w:t>
      </w:r>
    </w:p>
    <w:p w14:paraId="17E986CF">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2.乙方保证所提供的服务或其任何一部分</w:t>
      </w:r>
      <w:r>
        <w:rPr>
          <w:rFonts w:ascii="宋体" w:hAnsi="宋体" w:eastAsia="宋体" w:cs="宋体"/>
          <w:spacing w:val="-2"/>
          <w:sz w:val="24"/>
          <w:szCs w:val="24"/>
        </w:rPr>
        <w:t>均不会侵犯任何第三方的专利权</w:t>
      </w:r>
      <w:r>
        <w:rPr>
          <w:rFonts w:hint="eastAsia" w:ascii="宋体" w:hAnsi="宋体" w:eastAsia="宋体" w:cs="宋体"/>
          <w:spacing w:val="-2"/>
          <w:sz w:val="24"/>
          <w:szCs w:val="24"/>
        </w:rPr>
        <w:t>、</w:t>
      </w:r>
      <w:r>
        <w:rPr>
          <w:rFonts w:ascii="宋体" w:hAnsi="宋体" w:eastAsia="宋体" w:cs="宋体"/>
          <w:spacing w:val="-5"/>
          <w:sz w:val="24"/>
          <w:szCs w:val="24"/>
        </w:rPr>
        <w:t>商标权或著作权。一旦出现侵权，索赔或诉讼，乙方应承担全部责任。</w:t>
      </w:r>
      <w:r>
        <w:rPr>
          <w:rFonts w:ascii="宋体" w:hAnsi="宋体" w:eastAsia="宋体" w:cs="宋体"/>
          <w:spacing w:val="-6"/>
          <w:sz w:val="24"/>
          <w:szCs w:val="24"/>
        </w:rPr>
        <w:t>乙方保证</w:t>
      </w:r>
      <w:r>
        <w:rPr>
          <w:rFonts w:ascii="宋体" w:hAnsi="宋体" w:eastAsia="宋体" w:cs="宋体"/>
          <w:sz w:val="24"/>
          <w:szCs w:val="24"/>
        </w:rPr>
        <w:t xml:space="preserve"> 服务不存在危及人身及财产安全的隐患，不存在违反国</w:t>
      </w:r>
      <w:r>
        <w:rPr>
          <w:rFonts w:ascii="宋体" w:hAnsi="宋体" w:eastAsia="宋体" w:cs="宋体"/>
          <w:spacing w:val="-1"/>
          <w:sz w:val="24"/>
          <w:szCs w:val="24"/>
        </w:rPr>
        <w:t>家法规、法令、法律以及</w:t>
      </w:r>
      <w:r>
        <w:rPr>
          <w:rFonts w:ascii="宋体" w:hAnsi="宋体" w:eastAsia="宋体" w:cs="宋体"/>
          <w:sz w:val="24"/>
          <w:szCs w:val="24"/>
        </w:rPr>
        <w:t xml:space="preserve"> </w:t>
      </w:r>
      <w:r>
        <w:rPr>
          <w:rFonts w:ascii="宋体" w:hAnsi="宋体" w:eastAsia="宋体" w:cs="宋体"/>
          <w:spacing w:val="-2"/>
          <w:sz w:val="24"/>
          <w:szCs w:val="24"/>
        </w:rPr>
        <w:t>行业规范所要求的有关安全条款，否则应承担全部法律责任。</w:t>
      </w:r>
    </w:p>
    <w:p w14:paraId="115C7DAD">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第五条 付款方式</w:t>
      </w:r>
    </w:p>
    <w:p w14:paraId="4D60F9DF">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1.本合同项下所有款项均以人民币支付。</w:t>
      </w:r>
    </w:p>
    <w:p w14:paraId="6C48297E">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position w:val="12"/>
          <w:sz w:val="24"/>
          <w:szCs w:val="24"/>
        </w:rPr>
        <w:t>2.乙方向甲方提交下列文件材料，经甲方审核无误后支付</w:t>
      </w:r>
      <w:r>
        <w:rPr>
          <w:rFonts w:ascii="宋体" w:hAnsi="宋体" w:eastAsia="宋体" w:cs="宋体"/>
          <w:spacing w:val="-3"/>
          <w:position w:val="12"/>
          <w:sz w:val="24"/>
          <w:szCs w:val="24"/>
        </w:rPr>
        <w:t>采购资金：</w:t>
      </w:r>
    </w:p>
    <w:p w14:paraId="34115563">
      <w:pPr>
        <w:kinsoku w:val="0"/>
        <w:autoSpaceDE w:val="0"/>
        <w:autoSpaceDN w:val="0"/>
        <w:spacing w:line="360" w:lineRule="auto"/>
        <w:ind w:firstLine="456" w:firstLineChars="200"/>
        <w:textAlignment w:val="baseline"/>
        <w:rPr>
          <w:rFonts w:ascii="宋体" w:hAnsi="宋体" w:eastAsia="宋体" w:cs="宋体"/>
          <w:sz w:val="24"/>
          <w:szCs w:val="24"/>
        </w:rPr>
      </w:pPr>
      <w:r>
        <w:rPr>
          <w:rFonts w:ascii="宋体" w:hAnsi="宋体" w:eastAsia="宋体" w:cs="宋体"/>
          <w:spacing w:val="-6"/>
          <w:sz w:val="24"/>
          <w:szCs w:val="24"/>
        </w:rPr>
        <w:t>（1）经甲方确认的发票；</w:t>
      </w:r>
    </w:p>
    <w:p w14:paraId="0D781F96">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（2）经甲乙双方确认签订的《验收报告》（或按项目进度阶段性《验收报告</w:t>
      </w:r>
      <w:r>
        <w:rPr>
          <w:rFonts w:ascii="宋体" w:hAnsi="宋体" w:eastAsia="宋体" w:cs="宋体"/>
          <w:sz w:val="24"/>
          <w:szCs w:val="24"/>
        </w:rPr>
        <w:t xml:space="preserve"> </w:t>
      </w:r>
      <w:r>
        <w:rPr>
          <w:rFonts w:ascii="宋体" w:hAnsi="宋体" w:eastAsia="宋体" w:cs="宋体"/>
          <w:spacing w:val="-27"/>
          <w:sz w:val="24"/>
          <w:szCs w:val="24"/>
        </w:rPr>
        <w:t>》</w:t>
      </w:r>
      <w:r>
        <w:rPr>
          <w:rFonts w:ascii="宋体" w:hAnsi="宋体" w:eastAsia="宋体" w:cs="宋体"/>
          <w:spacing w:val="-14"/>
          <w:sz w:val="24"/>
          <w:szCs w:val="24"/>
        </w:rPr>
        <w:t>）；</w:t>
      </w:r>
    </w:p>
    <w:p w14:paraId="4600ADB5">
      <w:pPr>
        <w:kinsoku w:val="0"/>
        <w:autoSpaceDE w:val="0"/>
        <w:autoSpaceDN w:val="0"/>
        <w:spacing w:line="360" w:lineRule="auto"/>
        <w:ind w:firstLine="456" w:firstLineChars="200"/>
        <w:textAlignment w:val="baseline"/>
        <w:rPr>
          <w:rFonts w:ascii="宋体" w:hAnsi="宋体" w:eastAsia="宋体" w:cs="宋体"/>
          <w:sz w:val="24"/>
          <w:szCs w:val="24"/>
        </w:rPr>
      </w:pPr>
      <w:r>
        <w:rPr>
          <w:rFonts w:ascii="宋体" w:hAnsi="宋体" w:eastAsia="宋体" w:cs="宋体"/>
          <w:spacing w:val="-6"/>
          <w:sz w:val="24"/>
          <w:szCs w:val="24"/>
        </w:rPr>
        <w:t>（3）其他材料。</w:t>
      </w:r>
    </w:p>
    <w:p w14:paraId="69E25974">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3.款项的支付进度以招标采购文件的有关规定为准。如招标采购文件未作特</w:t>
      </w:r>
      <w:r>
        <w:rPr>
          <w:rFonts w:ascii="宋体" w:hAnsi="宋体" w:eastAsia="宋体" w:cs="宋体"/>
          <w:spacing w:val="18"/>
          <w:sz w:val="24"/>
          <w:szCs w:val="24"/>
        </w:rPr>
        <w:t xml:space="preserve"> </w:t>
      </w:r>
      <w:r>
        <w:rPr>
          <w:rFonts w:ascii="宋体" w:hAnsi="宋体" w:eastAsia="宋体" w:cs="宋体"/>
          <w:spacing w:val="-4"/>
          <w:sz w:val="24"/>
          <w:szCs w:val="24"/>
        </w:rPr>
        <w:t>别规定，则付款进度应符合如下约定：</w:t>
      </w:r>
    </w:p>
    <w:p w14:paraId="62275FA1">
      <w:pPr>
        <w:kinsoku w:val="0"/>
        <w:autoSpaceDE w:val="0"/>
        <w:autoSpaceDN w:val="0"/>
        <w:spacing w:line="360" w:lineRule="auto"/>
        <w:ind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第一次验收合格后支付至合同总价的</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w:t>
      </w:r>
      <w:r>
        <w:rPr>
          <w:rFonts w:ascii="宋体" w:hAnsi="宋体" w:eastAsia="宋体" w:cs="宋体"/>
          <w:spacing w:val="-1"/>
          <w:sz w:val="24"/>
          <w:szCs w:val="24"/>
        </w:rPr>
        <w:t>第二次验收合格后支付至合同的</w:t>
      </w:r>
      <w:r>
        <w:rPr>
          <w:rFonts w:hint="eastAsia" w:ascii="宋体" w:hAnsi="宋体" w:eastAsia="宋体" w:cs="宋体"/>
          <w:sz w:val="24"/>
          <w:szCs w:val="24"/>
          <w:u w:val="single"/>
        </w:rPr>
        <w:t xml:space="preserve">   </w:t>
      </w:r>
      <w:r>
        <w:rPr>
          <w:rFonts w:ascii="宋体" w:hAnsi="宋体" w:eastAsia="宋体" w:cs="宋体"/>
          <w:spacing w:val="-15"/>
          <w:sz w:val="24"/>
          <w:szCs w:val="24"/>
        </w:rPr>
        <w:t>％，</w:t>
      </w:r>
      <w:r>
        <w:rPr>
          <w:rFonts w:ascii="宋体" w:hAnsi="宋体" w:eastAsia="宋体" w:cs="宋体"/>
          <w:sz w:val="24"/>
          <w:szCs w:val="24"/>
        </w:rPr>
        <w:t>第</w:t>
      </w:r>
      <w:r>
        <w:rPr>
          <w:rFonts w:ascii="宋体" w:hAnsi="宋体" w:eastAsia="宋体" w:cs="宋体"/>
          <w:spacing w:val="-102"/>
          <w:sz w:val="24"/>
          <w:szCs w:val="24"/>
        </w:rPr>
        <w:t xml:space="preserve"> </w:t>
      </w:r>
      <w:r>
        <w:rPr>
          <w:rFonts w:ascii="宋体" w:hAnsi="宋体" w:eastAsia="宋体" w:cs="宋体"/>
          <w:spacing w:val="-111"/>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rPr>
        <w:t>次验收合格后支付至合同总价的</w:t>
      </w:r>
      <w:r>
        <w:rPr>
          <w:rFonts w:hint="eastAsia" w:ascii="宋体" w:hAnsi="宋体" w:eastAsia="宋体" w:cs="宋体"/>
          <w:sz w:val="24"/>
          <w:szCs w:val="24"/>
          <w:u w:val="single"/>
        </w:rPr>
        <w:t xml:space="preserve">   </w:t>
      </w:r>
      <w:r>
        <w:rPr>
          <w:rFonts w:ascii="宋体" w:hAnsi="宋体" w:eastAsia="宋体" w:cs="宋体"/>
          <w:spacing w:val="-15"/>
          <w:sz w:val="24"/>
          <w:szCs w:val="24"/>
        </w:rPr>
        <w:t>％，</w:t>
      </w:r>
      <w:r>
        <w:rPr>
          <w:rFonts w:ascii="宋体" w:hAnsi="宋体" w:eastAsia="宋体" w:cs="宋体"/>
          <w:sz w:val="24"/>
          <w:szCs w:val="24"/>
        </w:rPr>
        <w:t>余</w:t>
      </w:r>
      <w:r>
        <w:rPr>
          <w:rFonts w:ascii="宋体" w:hAnsi="宋体" w:eastAsia="宋体" w:cs="宋体"/>
          <w:spacing w:val="-1"/>
          <w:sz w:val="24"/>
          <w:szCs w:val="24"/>
        </w:rPr>
        <w:t>款</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％作</w:t>
      </w:r>
      <w:r>
        <w:rPr>
          <w:rFonts w:ascii="宋体" w:hAnsi="宋体" w:eastAsia="宋体" w:cs="宋体"/>
          <w:sz w:val="24"/>
          <w:szCs w:val="24"/>
        </w:rPr>
        <w:t>为</w:t>
      </w:r>
      <w:r>
        <w:rPr>
          <w:rFonts w:ascii="宋体" w:hAnsi="宋体" w:eastAsia="宋体" w:cs="宋体"/>
          <w:spacing w:val="-1"/>
          <w:sz w:val="24"/>
          <w:szCs w:val="24"/>
        </w:rPr>
        <w:t>质量保证金于服务</w:t>
      </w:r>
      <w:r>
        <w:rPr>
          <w:rFonts w:ascii="宋体" w:hAnsi="宋体" w:eastAsia="宋体" w:cs="宋体"/>
          <w:spacing w:val="-2"/>
          <w:sz w:val="24"/>
          <w:szCs w:val="24"/>
        </w:rPr>
        <w:t>运行满</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rPr>
        <w:t>月后，并经甲乙双方复验合格后的</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rPr>
        <w:t>个工作日内付清。</w:t>
      </w:r>
    </w:p>
    <w:p w14:paraId="6C460761">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第六条 质量保证金</w:t>
      </w:r>
    </w:p>
    <w:p w14:paraId="0C20D7A2">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1.乙方在签订本合同之日，向甲方提交合同质量保证金</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元（质量保证金的数</w:t>
      </w:r>
      <w:r>
        <w:rPr>
          <w:rFonts w:ascii="宋体" w:hAnsi="宋体" w:eastAsia="宋体" w:cs="宋体"/>
          <w:spacing w:val="-3"/>
          <w:sz w:val="24"/>
          <w:szCs w:val="24"/>
        </w:rPr>
        <w:t>额不得超过政府采购合同金额的5%）。</w:t>
      </w:r>
    </w:p>
    <w:p w14:paraId="73781F22">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2.质量保证金有效期为甲乙双方最终验收后1</w:t>
      </w:r>
      <w:r>
        <w:rPr>
          <w:rFonts w:ascii="宋体" w:hAnsi="宋体" w:eastAsia="宋体" w:cs="宋体"/>
          <w:spacing w:val="-1"/>
          <w:sz w:val="24"/>
          <w:szCs w:val="24"/>
        </w:rPr>
        <w:t>个月内。到期后，甲方向乙方无</w:t>
      </w:r>
      <w:r>
        <w:rPr>
          <w:rFonts w:ascii="宋体" w:hAnsi="宋体" w:eastAsia="宋体" w:cs="宋体"/>
          <w:spacing w:val="-11"/>
          <w:sz w:val="24"/>
          <w:szCs w:val="24"/>
        </w:rPr>
        <w:t>息退还。</w:t>
      </w:r>
    </w:p>
    <w:p w14:paraId="4970E7CB">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第七条 验收</w:t>
      </w:r>
    </w:p>
    <w:p w14:paraId="3C473217">
      <w:pPr>
        <w:kinsoku w:val="0"/>
        <w:autoSpaceDE w:val="0"/>
        <w:autoSpaceDN w:val="0"/>
        <w:spacing w:line="360" w:lineRule="auto"/>
        <w:ind w:firstLine="448" w:firstLineChars="200"/>
        <w:textAlignment w:val="baseline"/>
        <w:rPr>
          <w:rFonts w:ascii="宋体" w:hAnsi="宋体" w:eastAsia="宋体" w:cs="宋体"/>
          <w:sz w:val="24"/>
          <w:szCs w:val="24"/>
        </w:rPr>
      </w:pPr>
      <w:r>
        <w:rPr>
          <w:rFonts w:ascii="宋体" w:hAnsi="宋体" w:eastAsia="宋体" w:cs="宋体"/>
          <w:spacing w:val="-8"/>
          <w:sz w:val="24"/>
          <w:szCs w:val="24"/>
        </w:rPr>
        <w:t>1.服务期限：</w:t>
      </w:r>
      <w:r>
        <w:rPr>
          <w:rFonts w:hint="eastAsia" w:ascii="宋体" w:hAnsi="宋体" w:eastAsia="宋体" w:cs="宋体"/>
          <w:spacing w:val="-8"/>
          <w:sz w:val="24"/>
          <w:szCs w:val="24"/>
          <w:u w:val="single"/>
        </w:rPr>
        <w:t xml:space="preserve">        </w:t>
      </w:r>
      <w:r>
        <w:rPr>
          <w:rFonts w:ascii="宋体" w:hAnsi="宋体" w:eastAsia="宋体" w:cs="宋体"/>
          <w:spacing w:val="-8"/>
          <w:sz w:val="24"/>
          <w:szCs w:val="24"/>
        </w:rPr>
        <w:t>至</w:t>
      </w:r>
      <w:r>
        <w:rPr>
          <w:rFonts w:hint="eastAsia" w:ascii="宋体" w:hAnsi="宋体" w:eastAsia="宋体" w:cs="宋体"/>
          <w:spacing w:val="-8"/>
          <w:sz w:val="24"/>
          <w:szCs w:val="24"/>
          <w:u w:val="single"/>
        </w:rPr>
        <w:t xml:space="preserve">       </w:t>
      </w:r>
      <w:r>
        <w:rPr>
          <w:rFonts w:ascii="宋体" w:hAnsi="宋体" w:eastAsia="宋体" w:cs="宋体"/>
          <w:spacing w:val="-8"/>
          <w:sz w:val="24"/>
          <w:szCs w:val="24"/>
        </w:rPr>
        <w:t>。</w:t>
      </w:r>
    </w:p>
    <w:p w14:paraId="62923E28">
      <w:pPr>
        <w:kinsoku w:val="0"/>
        <w:autoSpaceDE w:val="0"/>
        <w:autoSpaceDN w:val="0"/>
        <w:spacing w:line="360" w:lineRule="auto"/>
        <w:ind w:firstLine="432" w:firstLineChars="200"/>
        <w:textAlignment w:val="baseline"/>
        <w:rPr>
          <w:rFonts w:ascii="宋体" w:hAnsi="宋体" w:eastAsia="宋体" w:cs="宋体"/>
          <w:sz w:val="24"/>
          <w:szCs w:val="24"/>
        </w:rPr>
      </w:pPr>
      <w:r>
        <w:rPr>
          <w:rFonts w:ascii="宋体" w:hAnsi="宋体" w:eastAsia="宋体" w:cs="宋体"/>
          <w:spacing w:val="-12"/>
          <w:sz w:val="24"/>
          <w:szCs w:val="24"/>
        </w:rPr>
        <w:t>服务地点：</w:t>
      </w:r>
      <w:r>
        <w:rPr>
          <w:rFonts w:hint="eastAsia" w:ascii="宋体" w:hAnsi="宋体" w:eastAsia="宋体" w:cs="宋体"/>
          <w:spacing w:val="-12"/>
          <w:sz w:val="24"/>
          <w:szCs w:val="24"/>
          <w:u w:val="single"/>
        </w:rPr>
        <w:t xml:space="preserve">     </w:t>
      </w:r>
      <w:r>
        <w:rPr>
          <w:rFonts w:ascii="宋体" w:hAnsi="宋体" w:eastAsia="宋体" w:cs="宋体"/>
          <w:spacing w:val="-12"/>
          <w:sz w:val="24"/>
          <w:szCs w:val="24"/>
        </w:rPr>
        <w:t>。</w:t>
      </w:r>
    </w:p>
    <w:p w14:paraId="2B21E843">
      <w:pPr>
        <w:kinsoku w:val="0"/>
        <w:autoSpaceDE w:val="0"/>
        <w:autoSpaceDN w:val="0"/>
        <w:spacing w:line="360" w:lineRule="auto"/>
        <w:ind w:firstLine="412" w:firstLineChars="200"/>
        <w:textAlignment w:val="baseline"/>
        <w:rPr>
          <w:rFonts w:ascii="宋体" w:hAnsi="宋体" w:eastAsia="宋体" w:cs="宋体"/>
          <w:sz w:val="24"/>
          <w:szCs w:val="24"/>
        </w:rPr>
      </w:pPr>
      <w:r>
        <w:rPr>
          <w:rFonts w:ascii="宋体" w:hAnsi="宋体" w:eastAsia="宋体" w:cs="宋体"/>
          <w:spacing w:val="-17"/>
          <w:sz w:val="24"/>
          <w:szCs w:val="24"/>
        </w:rPr>
        <w:t>验收时间：</w:t>
      </w:r>
      <w:r>
        <w:rPr>
          <w:rFonts w:hint="eastAsia" w:ascii="宋体" w:hAnsi="宋体" w:eastAsia="宋体" w:cs="宋体"/>
          <w:spacing w:val="-17"/>
          <w:sz w:val="24"/>
          <w:szCs w:val="24"/>
          <w:u w:val="single"/>
        </w:rPr>
        <w:t xml:space="preserve">           </w:t>
      </w:r>
      <w:r>
        <w:rPr>
          <w:rFonts w:ascii="宋体" w:hAnsi="宋体" w:eastAsia="宋体" w:cs="宋体"/>
          <w:spacing w:val="-17"/>
          <w:sz w:val="24"/>
          <w:szCs w:val="24"/>
        </w:rPr>
        <w:t>。</w:t>
      </w:r>
    </w:p>
    <w:p w14:paraId="58390C76">
      <w:pPr>
        <w:kinsoku w:val="0"/>
        <w:autoSpaceDE w:val="0"/>
        <w:autoSpaceDN w:val="0"/>
        <w:spacing w:line="360" w:lineRule="auto"/>
        <w:ind w:firstLine="432" w:firstLineChars="200"/>
        <w:textAlignment w:val="baseline"/>
        <w:rPr>
          <w:rFonts w:ascii="宋体" w:hAnsi="宋体" w:eastAsia="宋体" w:cs="宋体"/>
          <w:sz w:val="24"/>
          <w:szCs w:val="24"/>
        </w:rPr>
      </w:pPr>
      <w:r>
        <w:rPr>
          <w:rFonts w:ascii="宋体" w:hAnsi="宋体" w:eastAsia="宋体" w:cs="宋体"/>
          <w:spacing w:val="-12"/>
          <w:sz w:val="24"/>
          <w:szCs w:val="24"/>
        </w:rPr>
        <w:t>验收地点：</w:t>
      </w:r>
      <w:r>
        <w:rPr>
          <w:rFonts w:hint="eastAsia" w:ascii="宋体" w:hAnsi="宋体" w:eastAsia="宋体" w:cs="宋体"/>
          <w:spacing w:val="-12"/>
          <w:sz w:val="24"/>
          <w:szCs w:val="24"/>
          <w:u w:val="single"/>
        </w:rPr>
        <w:t xml:space="preserve">              </w:t>
      </w:r>
      <w:r>
        <w:rPr>
          <w:rFonts w:ascii="宋体" w:hAnsi="宋体" w:eastAsia="宋体" w:cs="宋体"/>
          <w:spacing w:val="-12"/>
          <w:sz w:val="24"/>
          <w:szCs w:val="24"/>
        </w:rPr>
        <w:t>。</w:t>
      </w:r>
    </w:p>
    <w:p w14:paraId="43701138">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2.乙方应对提供的服务成果作出全面自查和整</w:t>
      </w:r>
      <w:r>
        <w:rPr>
          <w:rFonts w:ascii="宋体" w:hAnsi="宋体" w:eastAsia="宋体" w:cs="宋体"/>
          <w:spacing w:val="-2"/>
          <w:sz w:val="24"/>
          <w:szCs w:val="24"/>
        </w:rPr>
        <w:t>理，并列出清单，作为甲方验</w:t>
      </w:r>
      <w:r>
        <w:rPr>
          <w:rFonts w:ascii="宋体" w:hAnsi="宋体" w:eastAsia="宋体" w:cs="宋体"/>
          <w:sz w:val="24"/>
          <w:szCs w:val="24"/>
        </w:rPr>
        <w:t xml:space="preserve"> </w:t>
      </w:r>
      <w:r>
        <w:rPr>
          <w:rFonts w:ascii="宋体" w:hAnsi="宋体" w:eastAsia="宋体" w:cs="宋体"/>
          <w:spacing w:val="-2"/>
          <w:sz w:val="24"/>
          <w:szCs w:val="24"/>
        </w:rPr>
        <w:t>收和使用的服务条件依据，清单应随提供的服务成果交给甲方。</w:t>
      </w:r>
    </w:p>
    <w:p w14:paraId="78029F06">
      <w:pPr>
        <w:kinsoku w:val="0"/>
        <w:autoSpaceDE w:val="0"/>
        <w:autoSpaceDN w:val="0"/>
        <w:spacing w:line="360" w:lineRule="auto"/>
        <w:ind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3.验收时，甲乙双方必须同时在场，乙方所提供的服务不符合合同内容规定</w:t>
      </w:r>
      <w:r>
        <w:rPr>
          <w:rFonts w:ascii="宋体" w:hAnsi="宋体" w:eastAsia="宋体" w:cs="宋体"/>
          <w:sz w:val="24"/>
          <w:szCs w:val="24"/>
        </w:rPr>
        <w:t>的，甲方有权拒绝验收。乙方应及时按本合同内容规定</w:t>
      </w:r>
      <w:r>
        <w:rPr>
          <w:rFonts w:ascii="宋体" w:hAnsi="宋体" w:eastAsia="宋体" w:cs="宋体"/>
          <w:spacing w:val="-1"/>
          <w:sz w:val="24"/>
          <w:szCs w:val="24"/>
        </w:rPr>
        <w:t>和甲方要求免费进行整改</w:t>
      </w:r>
      <w:r>
        <w:rPr>
          <w:rFonts w:ascii="宋体" w:hAnsi="宋体" w:eastAsia="宋体" w:cs="宋体"/>
          <w:spacing w:val="2"/>
          <w:sz w:val="24"/>
          <w:szCs w:val="24"/>
        </w:rPr>
        <w:t>,直至验收合格，方视为乙方按本合同规定完成服务。验收合格的，由双方共同</w:t>
      </w:r>
      <w:r>
        <w:rPr>
          <w:rFonts w:ascii="宋体" w:hAnsi="宋体" w:eastAsia="宋体" w:cs="宋体"/>
          <w:spacing w:val="-5"/>
          <w:sz w:val="24"/>
          <w:szCs w:val="24"/>
        </w:rPr>
        <w:t>签订《验收报告》。</w:t>
      </w:r>
    </w:p>
    <w:p w14:paraId="31FDDCF7">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4.甲方可以视项目规模或复杂情况聘请专业人员参与</w:t>
      </w:r>
      <w:r>
        <w:rPr>
          <w:rFonts w:ascii="宋体" w:hAnsi="宋体" w:eastAsia="宋体" w:cs="宋体"/>
          <w:spacing w:val="-1"/>
          <w:sz w:val="24"/>
          <w:szCs w:val="24"/>
        </w:rPr>
        <w:t>验收，大型或复杂项目</w:t>
      </w:r>
      <w:r>
        <w:rPr>
          <w:rFonts w:ascii="宋体" w:hAnsi="宋体" w:eastAsia="宋体" w:cs="宋体"/>
          <w:spacing w:val="2"/>
          <w:sz w:val="24"/>
          <w:szCs w:val="24"/>
        </w:rPr>
        <w:t>,以及涉及专业服务内容的应当邀请国家认可</w:t>
      </w:r>
      <w:r>
        <w:rPr>
          <w:rFonts w:ascii="宋体" w:hAnsi="宋体" w:eastAsia="宋体" w:cs="宋体"/>
          <w:spacing w:val="1"/>
          <w:sz w:val="24"/>
          <w:szCs w:val="24"/>
        </w:rPr>
        <w:t>的第三方质量检测机构参与验收。</w:t>
      </w:r>
    </w:p>
    <w:p w14:paraId="5B004B4F">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5.如项目实施情况需要分阶段验收，则根据实际情况分阶段出具《验收报告</w:t>
      </w:r>
      <w:r>
        <w:rPr>
          <w:rFonts w:ascii="宋体" w:hAnsi="宋体" w:eastAsia="宋体" w:cs="宋体"/>
          <w:spacing w:val="-15"/>
          <w:sz w:val="24"/>
          <w:szCs w:val="24"/>
        </w:rPr>
        <w:t>》</w:t>
      </w:r>
      <w:r>
        <w:rPr>
          <w:rFonts w:hint="eastAsia" w:ascii="宋体" w:hAnsi="宋体" w:eastAsia="宋体" w:cs="宋体"/>
          <w:spacing w:val="-15"/>
          <w:sz w:val="24"/>
          <w:szCs w:val="24"/>
        </w:rPr>
        <w:t>。</w:t>
      </w:r>
    </w:p>
    <w:p w14:paraId="39D90BD4">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第八条 项目管理服务</w:t>
      </w:r>
    </w:p>
    <w:p w14:paraId="6514D0BE">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乙方要指定不少于一人全权全程负责本项目服务的落实，包括服务的</w:t>
      </w:r>
      <w:r>
        <w:rPr>
          <w:rFonts w:ascii="宋体" w:hAnsi="宋体" w:eastAsia="宋体" w:cs="宋体"/>
          <w:spacing w:val="-3"/>
          <w:sz w:val="24"/>
          <w:szCs w:val="24"/>
        </w:rPr>
        <w:t>咨询</w:t>
      </w:r>
      <w:r>
        <w:rPr>
          <w:rFonts w:hint="eastAsia" w:ascii="宋体" w:hAnsi="宋体" w:eastAsia="宋体" w:cs="宋体"/>
          <w:spacing w:val="-3"/>
          <w:sz w:val="24"/>
          <w:szCs w:val="24"/>
        </w:rPr>
        <w:t>、</w:t>
      </w:r>
      <w:r>
        <w:rPr>
          <w:rFonts w:ascii="宋体" w:hAnsi="宋体" w:eastAsia="宋体" w:cs="宋体"/>
          <w:spacing w:val="-5"/>
          <w:sz w:val="24"/>
          <w:szCs w:val="24"/>
        </w:rPr>
        <w:t>执行和后续工作。</w:t>
      </w:r>
    </w:p>
    <w:p w14:paraId="3AAB32D1">
      <w:pPr>
        <w:kinsoku w:val="0"/>
        <w:autoSpaceDE w:val="0"/>
        <w:autoSpaceDN w:val="0"/>
        <w:spacing w:line="360" w:lineRule="auto"/>
        <w:ind w:firstLine="416" w:firstLineChars="200"/>
        <w:textAlignment w:val="baseline"/>
        <w:rPr>
          <w:rFonts w:ascii="宋体" w:hAnsi="宋体" w:eastAsia="宋体" w:cs="宋体"/>
          <w:sz w:val="24"/>
          <w:szCs w:val="24"/>
        </w:rPr>
      </w:pPr>
      <w:r>
        <w:rPr>
          <w:rFonts w:ascii="宋体" w:hAnsi="宋体" w:eastAsia="宋体" w:cs="宋体"/>
          <w:spacing w:val="-16"/>
          <w:sz w:val="24"/>
          <w:szCs w:val="24"/>
        </w:rPr>
        <w:t>项目负责人姓名：</w:t>
      </w:r>
      <w:r>
        <w:rPr>
          <w:rFonts w:hint="eastAsia" w:ascii="宋体" w:hAnsi="宋体" w:eastAsia="宋体" w:cs="宋体"/>
          <w:spacing w:val="-82"/>
          <w:sz w:val="24"/>
          <w:szCs w:val="24"/>
          <w:u w:val="single"/>
        </w:rPr>
        <w:t xml:space="preserve">                     </w:t>
      </w:r>
      <w:r>
        <w:rPr>
          <w:rFonts w:ascii="宋体" w:hAnsi="宋体" w:eastAsia="宋体" w:cs="宋体"/>
          <w:spacing w:val="-16"/>
          <w:sz w:val="24"/>
          <w:szCs w:val="24"/>
        </w:rPr>
        <w:t>；联系电话：</w:t>
      </w:r>
      <w:r>
        <w:rPr>
          <w:rFonts w:hint="eastAsia" w:ascii="宋体" w:hAnsi="宋体" w:eastAsia="宋体" w:cs="宋体"/>
          <w:spacing w:val="-16"/>
          <w:sz w:val="24"/>
          <w:szCs w:val="24"/>
          <w:u w:val="single"/>
        </w:rPr>
        <w:t xml:space="preserve">         </w:t>
      </w:r>
      <w:r>
        <w:rPr>
          <w:rFonts w:ascii="宋体" w:hAnsi="宋体" w:eastAsia="宋体" w:cs="宋体"/>
          <w:spacing w:val="-16"/>
          <w:sz w:val="24"/>
          <w:szCs w:val="24"/>
        </w:rPr>
        <w:t>。</w:t>
      </w:r>
    </w:p>
    <w:p w14:paraId="28C0D840">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第九条 售后服务</w:t>
      </w:r>
    </w:p>
    <w:p w14:paraId="3FB4DB9C">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1.乙方提供服务的质量保证期为自服务通过最终验收起</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个月。若国家有明确</w:t>
      </w:r>
      <w:r>
        <w:rPr>
          <w:rFonts w:ascii="宋体" w:hAnsi="宋体" w:eastAsia="宋体" w:cs="宋体"/>
          <w:spacing w:val="-2"/>
          <w:sz w:val="24"/>
          <w:szCs w:val="24"/>
        </w:rPr>
        <w:t>规定的质量保证期高于此质量保证期的，执行国家规定。</w:t>
      </w:r>
    </w:p>
    <w:p w14:paraId="42F9A92A">
      <w:pPr>
        <w:kinsoku w:val="0"/>
        <w:autoSpaceDE w:val="0"/>
        <w:autoSpaceDN w:val="0"/>
        <w:spacing w:line="360" w:lineRule="auto"/>
        <w:ind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2.服务期内，乙方应提供相关服务支持。对甲方所反映的任何服务问题在</w:t>
      </w:r>
      <w:r>
        <w:rPr>
          <w:rFonts w:hint="eastAsia" w:ascii="宋体" w:hAnsi="宋体" w:eastAsia="宋体" w:cs="宋体"/>
          <w:spacing w:val="-2"/>
          <w:sz w:val="24"/>
          <w:szCs w:val="24"/>
          <w:u w:val="single"/>
        </w:rPr>
        <w:t xml:space="preserve">   </w:t>
      </w:r>
      <w:r>
        <w:rPr>
          <w:rFonts w:ascii="宋体" w:hAnsi="宋体" w:eastAsia="宋体" w:cs="宋体"/>
          <w:spacing w:val="-64"/>
          <w:sz w:val="24"/>
          <w:szCs w:val="24"/>
        </w:rPr>
        <w:t xml:space="preserve"> </w:t>
      </w:r>
      <w:r>
        <w:rPr>
          <w:rFonts w:ascii="宋体" w:hAnsi="宋体" w:eastAsia="宋体" w:cs="宋体"/>
          <w:spacing w:val="-3"/>
          <w:sz w:val="24"/>
          <w:szCs w:val="24"/>
        </w:rPr>
        <w:t>（小时）之内做出及时响应，在</w:t>
      </w:r>
      <w:r>
        <w:rPr>
          <w:rFonts w:ascii="宋体" w:hAnsi="宋体" w:eastAsia="宋体" w:cs="宋体"/>
          <w:spacing w:val="-100"/>
          <w:sz w:val="24"/>
          <w:szCs w:val="24"/>
        </w:rPr>
        <w:t xml:space="preserve"> </w:t>
      </w:r>
      <w:r>
        <w:rPr>
          <w:rFonts w:ascii="宋体" w:hAnsi="宋体" w:eastAsia="宋体" w:cs="宋体"/>
          <w:spacing w:val="-9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日（小时）之内赶到现场实地解决问题。若问题</w:t>
      </w:r>
      <w:r>
        <w:rPr>
          <w:rFonts w:ascii="宋体" w:hAnsi="宋体" w:eastAsia="宋体" w:cs="宋体"/>
          <w:sz w:val="24"/>
          <w:szCs w:val="24"/>
        </w:rPr>
        <w:t xml:space="preserve"> </w:t>
      </w:r>
      <w:r>
        <w:rPr>
          <w:rFonts w:ascii="宋体" w:hAnsi="宋体" w:eastAsia="宋体" w:cs="宋体"/>
          <w:spacing w:val="-2"/>
          <w:sz w:val="24"/>
          <w:szCs w:val="24"/>
        </w:rPr>
        <w:t>在</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rPr>
        <w:t>（小时）后仍无法解决，乙方应在</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rPr>
        <w:t>（小时）内免费提供服务的补偿</w:t>
      </w:r>
      <w:r>
        <w:rPr>
          <w:rFonts w:ascii="宋体" w:hAnsi="宋体" w:eastAsia="宋体" w:cs="宋体"/>
          <w:spacing w:val="-3"/>
          <w:sz w:val="24"/>
          <w:szCs w:val="24"/>
        </w:rPr>
        <w:t>、替换方案，直至服务恢复正常。</w:t>
      </w:r>
    </w:p>
    <w:p w14:paraId="61D346EF">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3.乙方必须遵守甲方的有关管理制度、操作规程。对于乙方违规操作造成甲</w:t>
      </w:r>
      <w:r>
        <w:rPr>
          <w:rFonts w:ascii="宋体" w:hAnsi="宋体" w:eastAsia="宋体" w:cs="宋体"/>
          <w:spacing w:val="18"/>
          <w:sz w:val="24"/>
          <w:szCs w:val="24"/>
        </w:rPr>
        <w:t xml:space="preserve"> </w:t>
      </w:r>
      <w:r>
        <w:rPr>
          <w:rFonts w:ascii="宋体" w:hAnsi="宋体" w:eastAsia="宋体" w:cs="宋体"/>
          <w:spacing w:val="-2"/>
          <w:sz w:val="24"/>
          <w:szCs w:val="24"/>
        </w:rPr>
        <w:t>方损失的，由乙方按照本合同第十二条的约定承担赔偿责任。</w:t>
      </w:r>
    </w:p>
    <w:p w14:paraId="131633D9">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第十条</w:t>
      </w:r>
      <w:r>
        <w:rPr>
          <w:rFonts w:ascii="宋体" w:hAnsi="宋体" w:eastAsia="宋体" w:cs="宋体"/>
          <w:spacing w:val="15"/>
          <w:sz w:val="24"/>
          <w:szCs w:val="24"/>
        </w:rPr>
        <w:t xml:space="preserve"> </w:t>
      </w:r>
      <w:r>
        <w:rPr>
          <w:rFonts w:ascii="宋体" w:hAnsi="宋体" w:eastAsia="宋体" w:cs="宋体"/>
          <w:spacing w:val="-4"/>
          <w:sz w:val="24"/>
          <w:szCs w:val="24"/>
        </w:rPr>
        <w:t>分包</w:t>
      </w:r>
    </w:p>
    <w:p w14:paraId="15ED8C82">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乙方不得分包、转包其应履行的合同义务。</w:t>
      </w:r>
    </w:p>
    <w:p w14:paraId="6A574BD6">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第十一条 合同的生效</w:t>
      </w:r>
    </w:p>
    <w:p w14:paraId="49778301">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1.本合同经甲乙双方授权代表签字并加盖公章或合同专用章后生效。</w:t>
      </w:r>
    </w:p>
    <w:p w14:paraId="55BD50C0">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2.生效后，除《政府采购法》第49条、第50</w:t>
      </w:r>
      <w:r>
        <w:rPr>
          <w:rFonts w:ascii="宋体" w:hAnsi="宋体" w:eastAsia="宋体" w:cs="宋体"/>
          <w:spacing w:val="-1"/>
          <w:sz w:val="24"/>
          <w:szCs w:val="24"/>
        </w:rPr>
        <w:t>条第二款规定的情形外，甲乙双</w:t>
      </w:r>
      <w:r>
        <w:rPr>
          <w:rFonts w:ascii="宋体" w:hAnsi="宋体" w:eastAsia="宋体" w:cs="宋体"/>
          <w:sz w:val="24"/>
          <w:szCs w:val="24"/>
        </w:rPr>
        <w:t xml:space="preserve"> </w:t>
      </w:r>
      <w:r>
        <w:rPr>
          <w:rFonts w:ascii="宋体" w:hAnsi="宋体" w:eastAsia="宋体" w:cs="宋体"/>
          <w:spacing w:val="-3"/>
          <w:sz w:val="24"/>
          <w:szCs w:val="24"/>
        </w:rPr>
        <w:t>方不得擅自变更、中止或终止合同。</w:t>
      </w:r>
    </w:p>
    <w:p w14:paraId="48440D7F">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第十二条 违约责任</w:t>
      </w:r>
    </w:p>
    <w:p w14:paraId="513A742D">
      <w:pPr>
        <w:kinsoku w:val="0"/>
        <w:autoSpaceDE w:val="0"/>
        <w:autoSpaceDN w:val="0"/>
        <w:spacing w:line="360" w:lineRule="auto"/>
        <w:ind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1.乙方所交付服务成果不符合本合同规定的，甲方有权拒收，乙方在得到甲</w:t>
      </w:r>
      <w:r>
        <w:rPr>
          <w:rFonts w:ascii="宋体" w:hAnsi="宋体" w:eastAsia="宋体" w:cs="宋体"/>
          <w:sz w:val="24"/>
          <w:szCs w:val="24"/>
        </w:rPr>
        <w:t>方通知之日起</w:t>
      </w:r>
      <w:r>
        <w:rPr>
          <w:rFonts w:hint="eastAsia" w:ascii="宋体" w:hAnsi="宋体" w:eastAsia="宋体" w:cs="宋体"/>
          <w:sz w:val="24"/>
          <w:szCs w:val="24"/>
          <w:u w:val="single"/>
        </w:rPr>
        <w:t xml:space="preserve">    </w:t>
      </w:r>
      <w:r>
        <w:rPr>
          <w:rFonts w:ascii="宋体" w:hAnsi="宋体" w:eastAsia="宋体" w:cs="宋体"/>
          <w:sz w:val="24"/>
          <w:szCs w:val="24"/>
        </w:rPr>
        <w:t>个工作日内采取补救措施，逾期仍未采</w:t>
      </w:r>
      <w:r>
        <w:rPr>
          <w:rFonts w:ascii="宋体" w:hAnsi="宋体" w:eastAsia="宋体" w:cs="宋体"/>
          <w:spacing w:val="-1"/>
          <w:sz w:val="24"/>
          <w:szCs w:val="24"/>
        </w:rPr>
        <w:t>取有效措施的，甲方有权要</w:t>
      </w:r>
      <w:r>
        <w:rPr>
          <w:rFonts w:ascii="宋体" w:hAnsi="宋体" w:eastAsia="宋体" w:cs="宋体"/>
          <w:sz w:val="24"/>
          <w:szCs w:val="24"/>
        </w:rPr>
        <w:t>求乙方赔偿因此造成的损失或扣留履约保证金；同时</w:t>
      </w:r>
      <w:r>
        <w:rPr>
          <w:rFonts w:ascii="宋体" w:hAnsi="宋体" w:eastAsia="宋体" w:cs="宋体"/>
          <w:spacing w:val="-1"/>
          <w:sz w:val="24"/>
          <w:szCs w:val="24"/>
        </w:rPr>
        <w:t>乙方应向甲方支付合同总价</w:t>
      </w:r>
      <w:r>
        <w:rPr>
          <w:rFonts w:hint="eastAsia" w:ascii="宋体" w:hAnsi="宋体" w:eastAsia="宋体" w:cs="宋体"/>
          <w:spacing w:val="-5"/>
          <w:sz w:val="24"/>
          <w:szCs w:val="24"/>
          <w:u w:val="single"/>
        </w:rPr>
        <w:t xml:space="preserve">    </w:t>
      </w:r>
      <w:r>
        <w:rPr>
          <w:rFonts w:ascii="宋体" w:hAnsi="宋体" w:eastAsia="宋体" w:cs="宋体"/>
          <w:spacing w:val="-5"/>
          <w:sz w:val="24"/>
          <w:szCs w:val="24"/>
        </w:rPr>
        <w:t>％的违约金。</w:t>
      </w:r>
    </w:p>
    <w:p w14:paraId="52E8BB2C">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2.甲方无正当理由拒收服务，甲方应向乙方偿付拒付服务费用</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％的违约</w:t>
      </w:r>
      <w:r>
        <w:rPr>
          <w:rFonts w:ascii="宋体" w:hAnsi="宋体" w:eastAsia="宋体" w:cs="宋体"/>
          <w:spacing w:val="-2"/>
          <w:sz w:val="24"/>
          <w:szCs w:val="24"/>
        </w:rPr>
        <w:t>金</w:t>
      </w:r>
      <w:r>
        <w:rPr>
          <w:rFonts w:hint="eastAsia" w:ascii="宋体" w:hAnsi="宋体" w:eastAsia="宋体" w:cs="宋体"/>
          <w:spacing w:val="-2"/>
          <w:sz w:val="24"/>
          <w:szCs w:val="24"/>
        </w:rPr>
        <w:t>。</w:t>
      </w:r>
    </w:p>
    <w:p w14:paraId="5654F91C">
      <w:pPr>
        <w:kinsoku w:val="0"/>
        <w:autoSpaceDE w:val="0"/>
        <w:autoSpaceDN w:val="0"/>
        <w:spacing w:line="360" w:lineRule="auto"/>
        <w:ind w:firstLine="480" w:firstLineChars="200"/>
        <w:jc w:val="both"/>
        <w:textAlignment w:val="baseline"/>
        <w:rPr>
          <w:rFonts w:ascii="宋体" w:hAnsi="宋体" w:eastAsia="宋体" w:cs="宋体"/>
          <w:sz w:val="24"/>
          <w:szCs w:val="24"/>
        </w:rPr>
      </w:pPr>
      <w:r>
        <w:rPr>
          <w:rFonts w:ascii="宋体" w:hAnsi="宋体" w:eastAsia="宋体" w:cs="宋体"/>
          <w:sz w:val="24"/>
          <w:szCs w:val="24"/>
        </w:rPr>
        <w:t>3.乙方无正当理由逾期交付服务的，每逾</w:t>
      </w:r>
      <w:r>
        <w:rPr>
          <w:rFonts w:ascii="宋体" w:hAnsi="宋体" w:eastAsia="宋体" w:cs="宋体"/>
          <w:spacing w:val="-1"/>
          <w:sz w:val="24"/>
          <w:szCs w:val="24"/>
        </w:rPr>
        <w:t>期1天，乙方向甲方偿付合同总额的</w:t>
      </w:r>
      <w:r>
        <w:rPr>
          <w:rFonts w:hint="eastAsia" w:ascii="宋体" w:hAnsi="宋体" w:eastAsia="宋体" w:cs="宋体"/>
          <w:sz w:val="24"/>
          <w:szCs w:val="24"/>
          <w:u w:val="single"/>
        </w:rPr>
        <w:t xml:space="preserve">   </w:t>
      </w:r>
      <w:r>
        <w:rPr>
          <w:rFonts w:ascii="宋体" w:hAnsi="宋体" w:eastAsia="宋体" w:cs="宋体"/>
          <w:sz w:val="24"/>
          <w:szCs w:val="24"/>
        </w:rPr>
        <w:t>‰的违约金。如乙方逾期达</w:t>
      </w:r>
      <w:r>
        <w:rPr>
          <w:rFonts w:hint="eastAsia" w:ascii="宋体" w:hAnsi="宋体" w:eastAsia="宋体" w:cs="宋体"/>
          <w:sz w:val="24"/>
          <w:szCs w:val="24"/>
          <w:u w:val="single"/>
        </w:rPr>
        <w:t xml:space="preserve">   </w:t>
      </w:r>
      <w:r>
        <w:rPr>
          <w:rFonts w:ascii="宋体" w:hAnsi="宋体" w:eastAsia="宋体" w:cs="宋体"/>
          <w:sz w:val="24"/>
          <w:szCs w:val="24"/>
        </w:rPr>
        <w:t>天，甲方有权解除合同，甲</w:t>
      </w:r>
      <w:r>
        <w:rPr>
          <w:rFonts w:ascii="宋体" w:hAnsi="宋体" w:eastAsia="宋体" w:cs="宋体"/>
          <w:spacing w:val="-1"/>
          <w:sz w:val="24"/>
          <w:szCs w:val="24"/>
        </w:rPr>
        <w:t>方解除合同的通知自到</w:t>
      </w:r>
      <w:r>
        <w:rPr>
          <w:rFonts w:ascii="宋体" w:hAnsi="宋体" w:eastAsia="宋体" w:cs="宋体"/>
          <w:sz w:val="24"/>
          <w:szCs w:val="24"/>
        </w:rPr>
        <w:t>达乙方时生效。在此情况下，乙方给甲方造成的实际损失</w:t>
      </w:r>
      <w:r>
        <w:rPr>
          <w:rFonts w:ascii="宋体" w:hAnsi="宋体" w:eastAsia="宋体" w:cs="宋体"/>
          <w:spacing w:val="-1"/>
          <w:sz w:val="24"/>
          <w:szCs w:val="24"/>
        </w:rPr>
        <w:t>高于违约金的，对高出</w:t>
      </w:r>
      <w:r>
        <w:rPr>
          <w:rFonts w:ascii="宋体" w:hAnsi="宋体" w:eastAsia="宋体" w:cs="宋体"/>
          <w:spacing w:val="-3"/>
          <w:sz w:val="24"/>
          <w:szCs w:val="24"/>
        </w:rPr>
        <w:t>违约金的部分乙方应予以赔偿。</w:t>
      </w:r>
    </w:p>
    <w:p w14:paraId="3E62519E">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4.甲方未按合同规定的期限向乙方支付合同款的，每逾</w:t>
      </w:r>
      <w:r>
        <w:rPr>
          <w:rFonts w:ascii="宋体" w:hAnsi="宋体" w:eastAsia="宋体" w:cs="宋体"/>
          <w:spacing w:val="-1"/>
          <w:sz w:val="24"/>
          <w:szCs w:val="24"/>
        </w:rPr>
        <w:t>期1天甲方向乙方偿付</w:t>
      </w:r>
      <w:r>
        <w:rPr>
          <w:rFonts w:ascii="宋体" w:hAnsi="宋体" w:eastAsia="宋体" w:cs="宋体"/>
          <w:sz w:val="24"/>
          <w:szCs w:val="24"/>
        </w:rPr>
        <w:t>欠款总额的</w:t>
      </w:r>
      <w:r>
        <w:rPr>
          <w:rFonts w:hint="eastAsia" w:ascii="宋体" w:hAnsi="宋体" w:eastAsia="宋体" w:cs="宋体"/>
          <w:sz w:val="24"/>
          <w:szCs w:val="24"/>
          <w:u w:val="single"/>
        </w:rPr>
        <w:t xml:space="preserve">   </w:t>
      </w:r>
      <w:r>
        <w:rPr>
          <w:rFonts w:ascii="宋体" w:hAnsi="宋体" w:eastAsia="宋体" w:cs="宋体"/>
          <w:sz w:val="24"/>
          <w:szCs w:val="24"/>
        </w:rPr>
        <w:t>‰违约金，但累计违约金总额</w:t>
      </w:r>
      <w:r>
        <w:rPr>
          <w:rFonts w:ascii="宋体" w:hAnsi="宋体" w:eastAsia="宋体" w:cs="宋体"/>
          <w:spacing w:val="-1"/>
          <w:sz w:val="24"/>
          <w:szCs w:val="24"/>
        </w:rPr>
        <w:t>不超过欠款总额的</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rPr>
        <w:t>％。</w:t>
      </w:r>
    </w:p>
    <w:p w14:paraId="66727C75">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5.其它未尽事宜，以《合同法》和《政府采购法》等有关法律法规规定为准</w:t>
      </w:r>
      <w:r>
        <w:rPr>
          <w:rFonts w:ascii="宋体" w:hAnsi="宋体" w:eastAsia="宋体" w:cs="宋体"/>
          <w:spacing w:val="18"/>
          <w:sz w:val="24"/>
          <w:szCs w:val="24"/>
        </w:rPr>
        <w:t xml:space="preserve"> </w:t>
      </w:r>
      <w:r>
        <w:rPr>
          <w:rFonts w:ascii="宋体" w:hAnsi="宋体" w:eastAsia="宋体" w:cs="宋体"/>
          <w:spacing w:val="3"/>
          <w:sz w:val="24"/>
          <w:szCs w:val="24"/>
        </w:rPr>
        <w:t>,无相关规定的，双方协商解决。</w:t>
      </w:r>
    </w:p>
    <w:p w14:paraId="3B5192D5">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第十三条 不可抗力</w:t>
      </w:r>
    </w:p>
    <w:p w14:paraId="0524B862">
      <w:pPr>
        <w:kinsoku w:val="0"/>
        <w:autoSpaceDE w:val="0"/>
        <w:autoSpaceDN w:val="0"/>
        <w:spacing w:line="360" w:lineRule="auto"/>
        <w:ind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甲、乙方中任何一方，因不可抗力不能按时或完全履行</w:t>
      </w:r>
      <w:r>
        <w:rPr>
          <w:rFonts w:ascii="宋体" w:hAnsi="宋体" w:eastAsia="宋体" w:cs="宋体"/>
          <w:spacing w:val="-2"/>
          <w:sz w:val="24"/>
          <w:szCs w:val="24"/>
        </w:rPr>
        <w:t>合同的，应及时通知</w:t>
      </w:r>
      <w:r>
        <w:rPr>
          <w:rFonts w:ascii="宋体" w:hAnsi="宋体" w:eastAsia="宋体" w:cs="宋体"/>
          <w:sz w:val="24"/>
          <w:szCs w:val="24"/>
        </w:rPr>
        <w:t>对方，并在</w:t>
      </w:r>
      <w:r>
        <w:rPr>
          <w:rFonts w:hint="eastAsia" w:ascii="宋体" w:hAnsi="宋体" w:eastAsia="宋体" w:cs="宋体"/>
          <w:sz w:val="24"/>
          <w:szCs w:val="24"/>
          <w:u w:val="single"/>
        </w:rPr>
        <w:t xml:space="preserve">   </w:t>
      </w:r>
      <w:r>
        <w:rPr>
          <w:rFonts w:ascii="宋体" w:hAnsi="宋体" w:eastAsia="宋体" w:cs="宋体"/>
          <w:sz w:val="24"/>
          <w:szCs w:val="24"/>
        </w:rPr>
        <w:t>个工作日内提供相应证明，结算服务费用。未</w:t>
      </w:r>
      <w:r>
        <w:rPr>
          <w:rFonts w:ascii="宋体" w:hAnsi="宋体" w:eastAsia="宋体" w:cs="宋体"/>
          <w:spacing w:val="-1"/>
          <w:sz w:val="24"/>
          <w:szCs w:val="24"/>
        </w:rPr>
        <w:t>履行的部分是否继续履</w:t>
      </w:r>
      <w:r>
        <w:rPr>
          <w:rFonts w:ascii="宋体" w:hAnsi="宋体" w:eastAsia="宋体" w:cs="宋体"/>
          <w:sz w:val="24"/>
          <w:szCs w:val="24"/>
        </w:rPr>
        <w:t>行、如何履行等问题，可由双方初步协商，并向主管部门</w:t>
      </w:r>
      <w:r>
        <w:rPr>
          <w:rFonts w:ascii="宋体" w:hAnsi="宋体" w:eastAsia="宋体" w:cs="宋体"/>
          <w:spacing w:val="-1"/>
          <w:sz w:val="24"/>
          <w:szCs w:val="24"/>
        </w:rPr>
        <w:t>和政府采购管理部门报</w:t>
      </w:r>
      <w:r>
        <w:rPr>
          <w:rFonts w:ascii="宋体" w:hAnsi="宋体" w:eastAsia="宋体" w:cs="宋体"/>
          <w:spacing w:val="-2"/>
          <w:sz w:val="24"/>
          <w:szCs w:val="24"/>
        </w:rPr>
        <w:t>告。确定为不可抗力原因造成的损失，免予承担责任。</w:t>
      </w:r>
    </w:p>
    <w:p w14:paraId="7CADA194">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第十四条 争议的解决方式</w:t>
      </w:r>
    </w:p>
    <w:p w14:paraId="3C03E329">
      <w:pPr>
        <w:kinsoku w:val="0"/>
        <w:autoSpaceDE w:val="0"/>
        <w:autoSpaceDN w:val="0"/>
        <w:spacing w:line="360" w:lineRule="auto"/>
        <w:ind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1.因服务质量问题发生争议的，应当邀请国家认可的质量检测机构对服务进</w:t>
      </w:r>
      <w:r>
        <w:rPr>
          <w:rFonts w:ascii="宋体" w:hAnsi="宋体" w:eastAsia="宋体" w:cs="宋体"/>
          <w:spacing w:val="5"/>
          <w:sz w:val="24"/>
          <w:szCs w:val="24"/>
        </w:rPr>
        <w:t xml:space="preserve"> </w:t>
      </w:r>
      <w:r>
        <w:rPr>
          <w:rFonts w:ascii="宋体" w:hAnsi="宋体" w:eastAsia="宋体" w:cs="宋体"/>
          <w:sz w:val="24"/>
          <w:szCs w:val="24"/>
        </w:rPr>
        <w:t>行鉴定。服务符合标准的，鉴定费由甲方承担；不符</w:t>
      </w:r>
      <w:r>
        <w:rPr>
          <w:rFonts w:ascii="宋体" w:hAnsi="宋体" w:eastAsia="宋体" w:cs="宋体"/>
          <w:spacing w:val="-1"/>
          <w:sz w:val="24"/>
          <w:szCs w:val="24"/>
        </w:rPr>
        <w:t>合质量标准的，鉴定费由乙</w:t>
      </w:r>
      <w:r>
        <w:rPr>
          <w:rFonts w:ascii="宋体" w:hAnsi="宋体" w:eastAsia="宋体" w:cs="宋体"/>
          <w:sz w:val="24"/>
          <w:szCs w:val="24"/>
        </w:rPr>
        <w:t xml:space="preserve"> </w:t>
      </w:r>
      <w:r>
        <w:rPr>
          <w:rFonts w:ascii="宋体" w:hAnsi="宋体" w:eastAsia="宋体" w:cs="宋体"/>
          <w:spacing w:val="-9"/>
          <w:sz w:val="24"/>
          <w:szCs w:val="24"/>
        </w:rPr>
        <w:t>方承担。</w:t>
      </w:r>
    </w:p>
    <w:p w14:paraId="220E0B71">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position w:val="12"/>
          <w:sz w:val="24"/>
          <w:szCs w:val="24"/>
        </w:rPr>
        <w:t>2.在解释或者执行本合同的过程中发生争议时</w:t>
      </w:r>
      <w:r>
        <w:rPr>
          <w:rFonts w:ascii="宋体" w:hAnsi="宋体" w:eastAsia="宋体" w:cs="宋体"/>
          <w:spacing w:val="-2"/>
          <w:position w:val="12"/>
          <w:sz w:val="24"/>
          <w:szCs w:val="24"/>
        </w:rPr>
        <w:t>，双方应通过协商方式解决</w:t>
      </w:r>
      <w:r>
        <w:rPr>
          <w:rFonts w:hint="eastAsia" w:ascii="宋体" w:hAnsi="宋体" w:eastAsia="宋体" w:cs="宋体"/>
          <w:spacing w:val="-2"/>
          <w:position w:val="12"/>
          <w:sz w:val="24"/>
          <w:szCs w:val="24"/>
        </w:rPr>
        <w:t>。</w:t>
      </w:r>
    </w:p>
    <w:p w14:paraId="6A01709A">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3.经协商不能解决的争议，双方可选择以下第</w:t>
      </w:r>
      <w:r>
        <w:rPr>
          <w:rFonts w:hint="eastAsia" w:ascii="宋体" w:hAnsi="宋体" w:eastAsia="宋体" w:cs="宋体"/>
          <w:spacing w:val="-2"/>
          <w:sz w:val="24"/>
          <w:szCs w:val="24"/>
          <w:u w:val="single"/>
        </w:rPr>
        <w:t xml:space="preserve">   </w:t>
      </w:r>
      <w:r>
        <w:rPr>
          <w:rFonts w:ascii="宋体" w:hAnsi="宋体" w:eastAsia="宋体" w:cs="宋体"/>
          <w:spacing w:val="-3"/>
          <w:sz w:val="24"/>
          <w:szCs w:val="24"/>
        </w:rPr>
        <w:t>种方式解决：</w:t>
      </w:r>
    </w:p>
    <w:p w14:paraId="46C4505A">
      <w:pPr>
        <w:kinsoku w:val="0"/>
        <w:autoSpaceDE w:val="0"/>
        <w:autoSpaceDN w:val="0"/>
        <w:spacing w:line="360" w:lineRule="auto"/>
        <w:ind w:firstLine="464" w:firstLineChars="200"/>
        <w:textAlignment w:val="baseline"/>
        <w:rPr>
          <w:rFonts w:ascii="宋体" w:hAnsi="宋体" w:eastAsia="宋体" w:cs="宋体"/>
          <w:sz w:val="24"/>
          <w:szCs w:val="24"/>
        </w:rPr>
      </w:pPr>
      <w:r>
        <w:rPr>
          <w:rFonts w:ascii="宋体" w:hAnsi="宋体" w:eastAsia="宋体" w:cs="宋体"/>
          <w:spacing w:val="-4"/>
          <w:position w:val="12"/>
          <w:sz w:val="24"/>
          <w:szCs w:val="24"/>
        </w:rPr>
        <w:t>①向陇南市有管辖权的法院提起诉讼；</w:t>
      </w:r>
    </w:p>
    <w:p w14:paraId="35CFA960">
      <w:pPr>
        <w:kinsoku w:val="0"/>
        <w:autoSpaceDE w:val="0"/>
        <w:autoSpaceDN w:val="0"/>
        <w:spacing w:line="36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②向兰州仲裁委员会提出仲裁。</w:t>
      </w:r>
    </w:p>
    <w:p w14:paraId="0A1DBC5E">
      <w:pPr>
        <w:kinsoku w:val="0"/>
        <w:autoSpaceDE w:val="0"/>
        <w:autoSpaceDN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4.在法院审理和仲裁期间，除有争议部分外，本合同</w:t>
      </w:r>
      <w:r>
        <w:rPr>
          <w:rFonts w:ascii="宋体" w:hAnsi="宋体" w:eastAsia="宋体" w:cs="宋体"/>
          <w:spacing w:val="-1"/>
          <w:sz w:val="24"/>
          <w:szCs w:val="24"/>
        </w:rPr>
        <w:t>其他部分可以履行的仍</w:t>
      </w:r>
      <w:r>
        <w:rPr>
          <w:rFonts w:ascii="宋体" w:hAnsi="宋体" w:eastAsia="宋体" w:cs="宋体"/>
          <w:sz w:val="24"/>
          <w:szCs w:val="24"/>
        </w:rPr>
        <w:t xml:space="preserve"> </w:t>
      </w:r>
      <w:r>
        <w:rPr>
          <w:rFonts w:ascii="宋体" w:hAnsi="宋体" w:eastAsia="宋体" w:cs="宋体"/>
          <w:spacing w:val="-4"/>
          <w:sz w:val="24"/>
          <w:szCs w:val="24"/>
        </w:rPr>
        <w:t>应按合同条款继续履行。</w:t>
      </w:r>
    </w:p>
    <w:p w14:paraId="5973593F">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第十五条 其他</w:t>
      </w:r>
    </w:p>
    <w:p w14:paraId="66435062">
      <w:pPr>
        <w:kinsoku w:val="0"/>
        <w:autoSpaceDE w:val="0"/>
        <w:autoSpaceDN w:val="0"/>
        <w:spacing w:line="360" w:lineRule="auto"/>
        <w:ind w:firstLine="460" w:firstLineChars="200"/>
        <w:textAlignment w:val="baseline"/>
        <w:rPr>
          <w:rFonts w:ascii="宋体" w:hAnsi="宋体" w:eastAsia="宋体" w:cs="宋体"/>
          <w:sz w:val="24"/>
          <w:szCs w:val="24"/>
        </w:rPr>
      </w:pPr>
      <w:r>
        <w:rPr>
          <w:rFonts w:ascii="宋体" w:hAnsi="宋体" w:eastAsia="宋体" w:cs="宋体"/>
          <w:spacing w:val="-5"/>
          <w:sz w:val="24"/>
          <w:szCs w:val="24"/>
        </w:rPr>
        <w:t>1．本合同自签订之日起生效。</w:t>
      </w:r>
    </w:p>
    <w:p w14:paraId="4FF19B35">
      <w:pPr>
        <w:kinsoku w:val="0"/>
        <w:autoSpaceDE w:val="0"/>
        <w:autoSpaceDN w:val="0"/>
        <w:spacing w:line="36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2．本合同一式两份，甲乙双方各执壹份。</w:t>
      </w:r>
    </w:p>
    <w:p w14:paraId="211C5BC9">
      <w:pPr>
        <w:kinsoku w:val="0"/>
        <w:autoSpaceDE w:val="0"/>
        <w:autoSpaceDN w:val="0"/>
        <w:spacing w:line="360" w:lineRule="auto"/>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3．陇南市公共资源交易中心为甲方的采购代理机构，根据甲方的授权代其采</w:t>
      </w:r>
      <w:r>
        <w:rPr>
          <w:rFonts w:ascii="宋体" w:hAnsi="宋体" w:eastAsia="宋体" w:cs="宋体"/>
          <w:spacing w:val="18"/>
          <w:sz w:val="24"/>
          <w:szCs w:val="24"/>
        </w:rPr>
        <w:t xml:space="preserve"> </w:t>
      </w:r>
      <w:r>
        <w:rPr>
          <w:rFonts w:ascii="宋体" w:hAnsi="宋体" w:eastAsia="宋体" w:cs="宋体"/>
          <w:spacing w:val="-2"/>
          <w:sz w:val="24"/>
          <w:szCs w:val="24"/>
        </w:rPr>
        <w:t>购确定乙方为中标单位，但不承担本合同规定的甲方的权利和义务。</w:t>
      </w:r>
    </w:p>
    <w:p w14:paraId="1470333F">
      <w:pPr>
        <w:kinsoku w:val="0"/>
        <w:autoSpaceDE w:val="0"/>
        <w:autoSpaceDN w:val="0"/>
        <w:spacing w:line="36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4．其他未尽事宜由双方签订补充协议。</w:t>
      </w:r>
    </w:p>
    <w:p w14:paraId="5F21B4E1">
      <w:pPr>
        <w:kinsoku w:val="0"/>
        <w:autoSpaceDE w:val="0"/>
        <w:autoSpaceDN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5. 本合同应按照中华人民共和国的现行法律进行解释。</w:t>
      </w:r>
    </w:p>
    <w:p w14:paraId="0F55AB65">
      <w:pPr>
        <w:kinsoku w:val="0"/>
        <w:autoSpaceDE w:val="0"/>
        <w:autoSpaceDN w:val="0"/>
        <w:spacing w:line="360" w:lineRule="auto"/>
        <w:textAlignment w:val="baseline"/>
        <w:rPr>
          <w:rFonts w:ascii="宋体" w:hAnsi="宋体" w:eastAsia="宋体" w:cs="宋体"/>
          <w:spacing w:val="-8"/>
          <w:sz w:val="24"/>
          <w:szCs w:val="24"/>
        </w:rPr>
        <w:sectPr>
          <w:headerReference r:id="rId10" w:type="default"/>
          <w:footerReference r:id="rId11" w:type="default"/>
          <w:pgSz w:w="11910" w:h="16840"/>
          <w:pgMar w:top="1660" w:right="1580" w:bottom="1340" w:left="1660" w:header="1211" w:footer="1148" w:gutter="0"/>
          <w:cols w:space="425" w:num="1"/>
        </w:sectPr>
      </w:pPr>
    </w:p>
    <w:p w14:paraId="797589DD">
      <w:pPr>
        <w:kinsoku w:val="0"/>
        <w:autoSpaceDE w:val="0"/>
        <w:autoSpaceDN w:val="0"/>
        <w:spacing w:line="360" w:lineRule="auto"/>
        <w:textAlignment w:val="baseline"/>
        <w:rPr>
          <w:rFonts w:ascii="宋体" w:hAnsi="宋体" w:eastAsia="宋体" w:cs="宋体"/>
          <w:spacing w:val="-8"/>
          <w:sz w:val="24"/>
          <w:szCs w:val="24"/>
        </w:rPr>
      </w:pPr>
    </w:p>
    <w:p w14:paraId="0215B288">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8"/>
          <w:sz w:val="24"/>
          <w:szCs w:val="24"/>
        </w:rPr>
        <w:t>供方全称（盖章</w:t>
      </w:r>
      <w:r>
        <w:rPr>
          <w:rFonts w:ascii="宋体" w:hAnsi="宋体" w:eastAsia="宋体" w:cs="宋体"/>
          <w:spacing w:val="-2"/>
          <w:sz w:val="24"/>
          <w:szCs w:val="24"/>
        </w:rPr>
        <w:t>）：</w:t>
      </w:r>
    </w:p>
    <w:p w14:paraId="490D6A77">
      <w:pPr>
        <w:kinsoku w:val="0"/>
        <w:autoSpaceDE w:val="0"/>
        <w:autoSpaceDN w:val="0"/>
        <w:spacing w:line="360" w:lineRule="auto"/>
        <w:textAlignment w:val="baseline"/>
        <w:rPr>
          <w:rFonts w:ascii="宋体" w:hAnsi="宋体" w:eastAsia="宋体" w:cs="宋体"/>
          <w:spacing w:val="-1"/>
          <w:sz w:val="24"/>
          <w:szCs w:val="24"/>
        </w:rPr>
      </w:pPr>
    </w:p>
    <w:p w14:paraId="0228FCDE">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1"/>
          <w:sz w:val="24"/>
          <w:szCs w:val="24"/>
        </w:rPr>
        <w:t>地址：</w:t>
      </w:r>
    </w:p>
    <w:p w14:paraId="572A212F">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3"/>
          <w:sz w:val="24"/>
          <w:szCs w:val="24"/>
        </w:rPr>
        <w:t>邮编</w:t>
      </w:r>
    </w:p>
    <w:p w14:paraId="04C20C60">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3"/>
          <w:sz w:val="24"/>
          <w:szCs w:val="24"/>
        </w:rPr>
        <w:t>电话：</w:t>
      </w:r>
    </w:p>
    <w:p w14:paraId="713FB1BD">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pacing w:val="15"/>
          <w:sz w:val="24"/>
          <w:szCs w:val="24"/>
        </w:rPr>
        <w:t>):</w:t>
      </w:r>
    </w:p>
    <w:p w14:paraId="4604CC30">
      <w:pPr>
        <w:kinsoku w:val="0"/>
        <w:autoSpaceDE w:val="0"/>
        <w:autoSpaceDN w:val="0"/>
        <w:spacing w:line="360" w:lineRule="auto"/>
        <w:textAlignment w:val="baseline"/>
        <w:rPr>
          <w:rFonts w:ascii="宋体" w:hAnsi="宋体" w:eastAsia="宋体" w:cs="宋体"/>
          <w:spacing w:val="-2"/>
          <w:sz w:val="24"/>
          <w:szCs w:val="24"/>
        </w:rPr>
      </w:pPr>
      <w:r>
        <w:rPr>
          <w:rFonts w:ascii="宋体" w:hAnsi="宋体" w:eastAsia="宋体" w:cs="宋体"/>
          <w:spacing w:val="-2"/>
          <w:sz w:val="24"/>
          <w:szCs w:val="24"/>
        </w:rPr>
        <w:t>经办人：</w:t>
      </w:r>
    </w:p>
    <w:p w14:paraId="530C6098">
      <w:pPr>
        <w:kinsoku w:val="0"/>
        <w:autoSpaceDE w:val="0"/>
        <w:autoSpaceDN w:val="0"/>
        <w:spacing w:line="360" w:lineRule="auto"/>
        <w:textAlignment w:val="baseline"/>
        <w:rPr>
          <w:rFonts w:ascii="宋体" w:hAnsi="宋体" w:eastAsia="宋体" w:cs="宋体"/>
          <w:spacing w:val="-2"/>
          <w:sz w:val="24"/>
          <w:szCs w:val="24"/>
        </w:rPr>
      </w:pPr>
    </w:p>
    <w:p w14:paraId="1976C5FB">
      <w:pPr>
        <w:kinsoku w:val="0"/>
        <w:autoSpaceDE w:val="0"/>
        <w:autoSpaceDN w:val="0"/>
        <w:spacing w:line="360" w:lineRule="auto"/>
        <w:textAlignment w:val="baseline"/>
        <w:rPr>
          <w:rFonts w:ascii="宋体" w:hAnsi="宋体" w:eastAsia="宋体" w:cs="宋体"/>
          <w:spacing w:val="-2"/>
          <w:sz w:val="24"/>
          <w:szCs w:val="24"/>
        </w:rPr>
      </w:pPr>
    </w:p>
    <w:p w14:paraId="364D0109">
      <w:pPr>
        <w:kinsoku w:val="0"/>
        <w:autoSpaceDE w:val="0"/>
        <w:autoSpaceDN w:val="0"/>
        <w:spacing w:line="360" w:lineRule="auto"/>
        <w:textAlignment w:val="baseline"/>
        <w:rPr>
          <w:rFonts w:ascii="宋体" w:hAnsi="宋体" w:eastAsia="宋体" w:cs="宋体"/>
          <w:spacing w:val="-8"/>
          <w:sz w:val="24"/>
          <w:szCs w:val="24"/>
        </w:rPr>
      </w:pPr>
    </w:p>
    <w:p w14:paraId="3663D1DF">
      <w:pPr>
        <w:kinsoku w:val="0"/>
        <w:autoSpaceDE w:val="0"/>
        <w:autoSpaceDN w:val="0"/>
        <w:spacing w:line="360" w:lineRule="auto"/>
        <w:textAlignment w:val="baseline"/>
        <w:rPr>
          <w:rFonts w:ascii="宋体" w:hAnsi="宋体" w:eastAsia="宋体" w:cs="宋体"/>
          <w:spacing w:val="-8"/>
          <w:sz w:val="24"/>
          <w:szCs w:val="24"/>
        </w:rPr>
      </w:pPr>
    </w:p>
    <w:p w14:paraId="3FC14424">
      <w:pPr>
        <w:kinsoku w:val="0"/>
        <w:autoSpaceDE w:val="0"/>
        <w:autoSpaceDN w:val="0"/>
        <w:spacing w:line="360" w:lineRule="auto"/>
        <w:textAlignment w:val="baseline"/>
        <w:rPr>
          <w:rFonts w:ascii="宋体" w:hAnsi="宋体" w:eastAsia="宋体" w:cs="宋体"/>
          <w:spacing w:val="-8"/>
          <w:sz w:val="24"/>
          <w:szCs w:val="24"/>
        </w:rPr>
      </w:pPr>
    </w:p>
    <w:p w14:paraId="1B2591AE">
      <w:pPr>
        <w:kinsoku w:val="0"/>
        <w:autoSpaceDE w:val="0"/>
        <w:autoSpaceDN w:val="0"/>
        <w:spacing w:line="360" w:lineRule="auto"/>
        <w:textAlignment w:val="baseline"/>
        <w:rPr>
          <w:rFonts w:ascii="宋体" w:hAnsi="宋体" w:eastAsia="宋体" w:cs="宋体"/>
          <w:spacing w:val="-8"/>
          <w:sz w:val="24"/>
          <w:szCs w:val="24"/>
        </w:rPr>
      </w:pPr>
    </w:p>
    <w:p w14:paraId="6596924D">
      <w:pPr>
        <w:kinsoku w:val="0"/>
        <w:autoSpaceDE w:val="0"/>
        <w:autoSpaceDN w:val="0"/>
        <w:spacing w:line="360" w:lineRule="auto"/>
        <w:textAlignment w:val="baseline"/>
        <w:rPr>
          <w:rFonts w:ascii="宋体" w:hAnsi="宋体" w:eastAsia="宋体" w:cs="宋体"/>
          <w:spacing w:val="-8"/>
          <w:sz w:val="24"/>
          <w:szCs w:val="24"/>
        </w:rPr>
      </w:pPr>
    </w:p>
    <w:p w14:paraId="65ADA0A3">
      <w:pPr>
        <w:kinsoku w:val="0"/>
        <w:autoSpaceDE w:val="0"/>
        <w:autoSpaceDN w:val="0"/>
        <w:spacing w:line="360" w:lineRule="auto"/>
        <w:textAlignment w:val="baseline"/>
        <w:rPr>
          <w:rFonts w:ascii="宋体" w:hAnsi="宋体" w:eastAsia="宋体" w:cs="宋体"/>
          <w:spacing w:val="-8"/>
          <w:sz w:val="24"/>
          <w:szCs w:val="24"/>
        </w:rPr>
      </w:pPr>
    </w:p>
    <w:p w14:paraId="61C81080">
      <w:pPr>
        <w:kinsoku w:val="0"/>
        <w:autoSpaceDE w:val="0"/>
        <w:autoSpaceDN w:val="0"/>
        <w:spacing w:line="360" w:lineRule="auto"/>
        <w:textAlignment w:val="baseline"/>
        <w:rPr>
          <w:rFonts w:ascii="宋体" w:hAnsi="宋体" w:eastAsia="宋体" w:cs="宋体"/>
          <w:spacing w:val="-8"/>
          <w:sz w:val="24"/>
          <w:szCs w:val="24"/>
        </w:rPr>
      </w:pPr>
    </w:p>
    <w:p w14:paraId="72AFC3CB">
      <w:pPr>
        <w:kinsoku w:val="0"/>
        <w:autoSpaceDE w:val="0"/>
        <w:autoSpaceDN w:val="0"/>
        <w:spacing w:line="360" w:lineRule="auto"/>
        <w:textAlignment w:val="baseline"/>
        <w:rPr>
          <w:rFonts w:ascii="宋体" w:hAnsi="宋体" w:eastAsia="宋体" w:cs="宋体"/>
          <w:spacing w:val="-8"/>
          <w:sz w:val="24"/>
          <w:szCs w:val="24"/>
        </w:rPr>
      </w:pPr>
    </w:p>
    <w:p w14:paraId="2B110E2A">
      <w:pPr>
        <w:kinsoku w:val="0"/>
        <w:autoSpaceDE w:val="0"/>
        <w:autoSpaceDN w:val="0"/>
        <w:spacing w:line="360" w:lineRule="auto"/>
        <w:textAlignment w:val="baseline"/>
        <w:rPr>
          <w:rFonts w:ascii="宋体" w:hAnsi="宋体" w:eastAsia="宋体" w:cs="宋体"/>
          <w:spacing w:val="-8"/>
          <w:sz w:val="24"/>
          <w:szCs w:val="24"/>
        </w:rPr>
      </w:pPr>
    </w:p>
    <w:p w14:paraId="4C8C2FB4">
      <w:pPr>
        <w:kinsoku w:val="0"/>
        <w:autoSpaceDE w:val="0"/>
        <w:autoSpaceDN w:val="0"/>
        <w:spacing w:line="360" w:lineRule="auto"/>
        <w:textAlignment w:val="baseline"/>
        <w:rPr>
          <w:rFonts w:ascii="宋体" w:hAnsi="宋体" w:eastAsia="宋体" w:cs="宋体"/>
          <w:spacing w:val="-8"/>
          <w:sz w:val="24"/>
          <w:szCs w:val="24"/>
        </w:rPr>
      </w:pPr>
    </w:p>
    <w:p w14:paraId="5DDC7F3D">
      <w:pPr>
        <w:kinsoku w:val="0"/>
        <w:autoSpaceDE w:val="0"/>
        <w:autoSpaceDN w:val="0"/>
        <w:spacing w:line="360" w:lineRule="auto"/>
        <w:textAlignment w:val="baseline"/>
        <w:rPr>
          <w:rFonts w:ascii="宋体" w:hAnsi="宋体" w:eastAsia="宋体" w:cs="宋体"/>
          <w:spacing w:val="-8"/>
          <w:sz w:val="24"/>
          <w:szCs w:val="24"/>
        </w:rPr>
      </w:pPr>
      <w:r>
        <w:rPr>
          <w:rFonts w:ascii="宋体" w:hAnsi="宋体" w:eastAsia="宋体" w:cs="宋体"/>
          <w:spacing w:val="-8"/>
          <w:sz w:val="24"/>
          <w:szCs w:val="24"/>
        </w:rPr>
        <w:t>需方全称（盖章）:</w:t>
      </w:r>
    </w:p>
    <w:p w14:paraId="7F6E9529">
      <w:pPr>
        <w:kinsoku w:val="0"/>
        <w:autoSpaceDE w:val="0"/>
        <w:autoSpaceDN w:val="0"/>
        <w:spacing w:line="360" w:lineRule="auto"/>
        <w:textAlignment w:val="baseline"/>
        <w:rPr>
          <w:rFonts w:ascii="宋体" w:hAnsi="宋体" w:eastAsia="宋体" w:cs="宋体"/>
          <w:spacing w:val="-8"/>
          <w:sz w:val="24"/>
          <w:szCs w:val="24"/>
        </w:rPr>
      </w:pPr>
      <w:r>
        <w:rPr>
          <w:rFonts w:ascii="宋体" w:hAnsi="宋体" w:eastAsia="宋体" w:cs="宋体"/>
          <w:spacing w:val="-8"/>
          <w:sz w:val="24"/>
          <w:szCs w:val="24"/>
        </w:rPr>
        <w:t>地址：</w:t>
      </w:r>
    </w:p>
    <w:p w14:paraId="34B1D77C">
      <w:pPr>
        <w:kinsoku w:val="0"/>
        <w:autoSpaceDE w:val="0"/>
        <w:autoSpaceDN w:val="0"/>
        <w:spacing w:line="360" w:lineRule="auto"/>
        <w:textAlignment w:val="baseline"/>
        <w:rPr>
          <w:rFonts w:ascii="宋体" w:hAnsi="宋体" w:eastAsia="宋体" w:cs="宋体"/>
          <w:spacing w:val="-8"/>
          <w:sz w:val="24"/>
          <w:szCs w:val="24"/>
        </w:rPr>
      </w:pPr>
      <w:r>
        <w:rPr>
          <w:rFonts w:ascii="宋体" w:hAnsi="宋体" w:eastAsia="宋体" w:cs="宋体"/>
          <w:spacing w:val="-8"/>
          <w:sz w:val="24"/>
          <w:szCs w:val="24"/>
        </w:rPr>
        <w:t>邮编：</w:t>
      </w:r>
    </w:p>
    <w:p w14:paraId="348D3C13">
      <w:pPr>
        <w:kinsoku w:val="0"/>
        <w:autoSpaceDE w:val="0"/>
        <w:autoSpaceDN w:val="0"/>
        <w:spacing w:line="360" w:lineRule="auto"/>
        <w:textAlignment w:val="baseline"/>
        <w:rPr>
          <w:rFonts w:ascii="宋体" w:hAnsi="宋体" w:eastAsia="宋体" w:cs="宋体"/>
          <w:spacing w:val="-8"/>
          <w:sz w:val="24"/>
          <w:szCs w:val="24"/>
        </w:rPr>
      </w:pPr>
      <w:r>
        <w:rPr>
          <w:rFonts w:ascii="宋体" w:hAnsi="宋体" w:eastAsia="宋体" w:cs="宋体"/>
          <w:spacing w:val="-8"/>
          <w:sz w:val="24"/>
          <w:szCs w:val="24"/>
        </w:rPr>
        <w:t>电话：</w:t>
      </w:r>
    </w:p>
    <w:p w14:paraId="4C8EB95C">
      <w:pPr>
        <w:kinsoku w:val="0"/>
        <w:autoSpaceDE w:val="0"/>
        <w:autoSpaceDN w:val="0"/>
        <w:spacing w:line="360" w:lineRule="auto"/>
        <w:textAlignment w:val="baseline"/>
        <w:rPr>
          <w:rFonts w:ascii="宋体" w:hAnsi="宋体" w:eastAsia="宋体" w:cs="宋体"/>
          <w:spacing w:val="-8"/>
          <w:sz w:val="24"/>
          <w:szCs w:val="24"/>
        </w:rPr>
      </w:pPr>
      <w:r>
        <w:rPr>
          <w:rFonts w:ascii="宋体" w:hAnsi="宋体" w:eastAsia="宋体" w:cs="宋体"/>
          <w:spacing w:val="-8"/>
          <w:sz w:val="24"/>
          <w:szCs w:val="24"/>
        </w:rPr>
        <w:t>法定代表人或委托代理人（签字或签章 ):</w:t>
      </w:r>
    </w:p>
    <w:p w14:paraId="4FA80069">
      <w:pPr>
        <w:kinsoku w:val="0"/>
        <w:autoSpaceDE w:val="0"/>
        <w:autoSpaceDN w:val="0"/>
        <w:spacing w:line="360" w:lineRule="auto"/>
        <w:textAlignment w:val="baseline"/>
        <w:rPr>
          <w:rFonts w:ascii="宋体" w:hAnsi="宋体" w:eastAsia="宋体" w:cs="宋体"/>
          <w:spacing w:val="-8"/>
          <w:sz w:val="24"/>
          <w:szCs w:val="24"/>
        </w:rPr>
        <w:sectPr>
          <w:type w:val="continuous"/>
          <w:pgSz w:w="11910" w:h="16840"/>
          <w:pgMar w:top="1660" w:right="1580" w:bottom="1340" w:left="1660" w:header="1211" w:footer="1148" w:gutter="0"/>
          <w:cols w:equalWidth="0" w:num="2">
            <w:col w:w="4122" w:space="425"/>
            <w:col w:w="4122"/>
          </w:cols>
        </w:sectPr>
      </w:pPr>
      <w:r>
        <w:rPr>
          <w:rFonts w:ascii="宋体" w:hAnsi="宋体" w:eastAsia="宋体" w:cs="宋体"/>
          <w:spacing w:val="-8"/>
          <w:sz w:val="24"/>
          <w:szCs w:val="24"/>
        </w:rPr>
        <w:t>经办人</w:t>
      </w:r>
      <w:r>
        <w:rPr>
          <w:rFonts w:hint="eastAsia" w:ascii="宋体" w:hAnsi="宋体" w:eastAsia="宋体" w:cs="宋体"/>
          <w:spacing w:val="-8"/>
          <w:sz w:val="24"/>
          <w:szCs w:val="24"/>
        </w:rPr>
        <w:t>：</w:t>
      </w:r>
    </w:p>
    <w:p w14:paraId="33EF7866">
      <w:pPr>
        <w:kinsoku w:val="0"/>
        <w:autoSpaceDE w:val="0"/>
        <w:autoSpaceDN w:val="0"/>
        <w:spacing w:line="360" w:lineRule="auto"/>
        <w:textAlignment w:val="baseline"/>
        <w:rPr>
          <w:rFonts w:ascii="宋体" w:hAnsi="宋体" w:eastAsia="宋体" w:cs="宋体"/>
          <w:sz w:val="24"/>
          <w:szCs w:val="24"/>
        </w:rPr>
      </w:pPr>
      <w:r>
        <w:rPr>
          <w:rFonts w:ascii="宋体" w:hAnsi="宋体" w:eastAsia="宋体" w:cs="宋体"/>
          <w:spacing w:val="-11"/>
          <w:sz w:val="24"/>
          <w:szCs w:val="24"/>
        </w:rPr>
        <w:t>特别说明：</w:t>
      </w:r>
    </w:p>
    <w:p w14:paraId="78A9B2FA">
      <w:pPr>
        <w:kinsoku w:val="0"/>
        <w:autoSpaceDE w:val="0"/>
        <w:autoSpaceDN w:val="0"/>
        <w:spacing w:before="3" w:line="360" w:lineRule="auto"/>
        <w:ind w:firstLine="499"/>
        <w:textAlignment w:val="baseline"/>
        <w:rPr>
          <w:rFonts w:ascii="宋体" w:hAnsi="宋体" w:eastAsia="宋体" w:cs="宋体"/>
          <w:sz w:val="24"/>
          <w:szCs w:val="24"/>
        </w:rPr>
      </w:pPr>
      <w:r>
        <w:rPr>
          <w:rFonts w:ascii="宋体" w:hAnsi="宋体" w:eastAsia="宋体" w:cs="宋体"/>
          <w:spacing w:val="-1"/>
          <w:sz w:val="24"/>
          <w:szCs w:val="24"/>
        </w:rPr>
        <w:t>1.本范本根据《政府采购法》、《合同法》等法律法规制定。具体项目的采购合同条款，在本范本框架内由甲乙双方协商一致签</w:t>
      </w:r>
      <w:r>
        <w:rPr>
          <w:rFonts w:ascii="宋体" w:hAnsi="宋体" w:eastAsia="宋体" w:cs="宋体"/>
          <w:spacing w:val="-2"/>
          <w:sz w:val="24"/>
          <w:szCs w:val="24"/>
        </w:rPr>
        <w:t>订。空格处划横线。</w:t>
      </w:r>
    </w:p>
    <w:p w14:paraId="7D155168">
      <w:pPr>
        <w:kinsoku w:val="0"/>
        <w:autoSpaceDE w:val="0"/>
        <w:autoSpaceDN w:val="0"/>
        <w:spacing w:before="2" w:line="360" w:lineRule="auto"/>
        <w:ind w:left="1" w:firstLine="482"/>
        <w:textAlignment w:val="baseline"/>
        <w:rPr>
          <w:rFonts w:ascii="宋体" w:hAnsi="宋体" w:eastAsia="宋体" w:cs="宋体"/>
          <w:sz w:val="24"/>
          <w:szCs w:val="24"/>
        </w:rPr>
      </w:pPr>
      <w:r>
        <w:rPr>
          <w:rFonts w:ascii="宋体" w:hAnsi="宋体" w:eastAsia="宋体" w:cs="宋体"/>
          <w:sz w:val="24"/>
          <w:szCs w:val="24"/>
        </w:rPr>
        <w:t>2.收款单位名称应与本合同乙方单位名称、</w:t>
      </w:r>
      <w:r>
        <w:rPr>
          <w:rFonts w:ascii="宋体" w:hAnsi="宋体" w:eastAsia="宋体" w:cs="宋体"/>
          <w:spacing w:val="-1"/>
          <w:sz w:val="24"/>
          <w:szCs w:val="24"/>
        </w:rPr>
        <w:t>项目中标单位名称、开具发票单</w:t>
      </w:r>
      <w:r>
        <w:rPr>
          <w:rFonts w:ascii="宋体" w:hAnsi="宋体" w:eastAsia="宋体" w:cs="宋体"/>
          <w:spacing w:val="-4"/>
          <w:sz w:val="24"/>
          <w:szCs w:val="24"/>
        </w:rPr>
        <w:t>位名称相一致。</w:t>
      </w:r>
    </w:p>
    <w:p w14:paraId="532AFCFF">
      <w:pPr>
        <w:kinsoku w:val="0"/>
        <w:autoSpaceDE w:val="0"/>
        <w:autoSpaceDN w:val="0"/>
        <w:spacing w:before="2" w:line="360" w:lineRule="auto"/>
        <w:ind w:left="1" w:firstLine="484"/>
        <w:textAlignment w:val="baseline"/>
        <w:rPr>
          <w:rFonts w:ascii="宋体" w:hAnsi="宋体" w:eastAsia="宋体" w:cs="宋体"/>
          <w:sz w:val="24"/>
          <w:szCs w:val="24"/>
        </w:rPr>
      </w:pPr>
      <w:r>
        <w:rPr>
          <w:rFonts w:ascii="宋体" w:hAnsi="宋体" w:eastAsia="宋体" w:cs="宋体"/>
          <w:spacing w:val="-1"/>
          <w:sz w:val="24"/>
          <w:szCs w:val="24"/>
        </w:rPr>
        <w:t>3.甲方（采购单位）应盖本单位公章（不允许盖内设科室章</w:t>
      </w:r>
      <w:r>
        <w:rPr>
          <w:rFonts w:ascii="宋体" w:hAnsi="宋体" w:eastAsia="宋体" w:cs="宋体"/>
          <w:spacing w:val="8"/>
          <w:sz w:val="24"/>
          <w:szCs w:val="24"/>
        </w:rPr>
        <w:t>），</w:t>
      </w:r>
      <w:r>
        <w:rPr>
          <w:rFonts w:ascii="宋体" w:hAnsi="宋体" w:eastAsia="宋体" w:cs="宋体"/>
          <w:spacing w:val="-1"/>
          <w:sz w:val="24"/>
          <w:szCs w:val="24"/>
        </w:rPr>
        <w:t>乙方应盖单</w:t>
      </w:r>
      <w:r>
        <w:rPr>
          <w:rFonts w:ascii="宋体" w:hAnsi="宋体" w:eastAsia="宋体" w:cs="宋体"/>
          <w:spacing w:val="-3"/>
          <w:sz w:val="24"/>
          <w:szCs w:val="24"/>
        </w:rPr>
        <w:t>位公章或合同专用章，合同双方应盖骑缝章。</w:t>
      </w:r>
    </w:p>
    <w:p w14:paraId="0069E212">
      <w:pPr>
        <w:kinsoku w:val="0"/>
        <w:autoSpaceDE w:val="0"/>
        <w:autoSpaceDN w:val="0"/>
        <w:spacing w:before="1" w:line="360" w:lineRule="auto"/>
        <w:ind w:firstLine="480"/>
        <w:textAlignment w:val="baseline"/>
        <w:rPr>
          <w:rStyle w:val="22"/>
          <w:rFonts w:ascii="宋体" w:hAnsi="宋体" w:eastAsia="宋体" w:cs="宋体"/>
          <w:sz w:val="24"/>
          <w:szCs w:val="24"/>
        </w:rPr>
      </w:pPr>
      <w:r>
        <w:rPr>
          <w:rFonts w:ascii="宋体" w:hAnsi="宋体" w:eastAsia="宋体" w:cs="宋体"/>
          <w:sz w:val="24"/>
          <w:szCs w:val="24"/>
        </w:rPr>
        <w:t>4.除涉密项目外，根据《政府采购法实施条例》第50</w:t>
      </w:r>
      <w:r>
        <w:rPr>
          <w:rFonts w:ascii="宋体" w:hAnsi="宋体" w:eastAsia="宋体" w:cs="宋体"/>
          <w:spacing w:val="-1"/>
          <w:sz w:val="24"/>
          <w:szCs w:val="24"/>
        </w:rPr>
        <w:t>条规定：采购人应当自</w:t>
      </w:r>
      <w:r>
        <w:rPr>
          <w:rFonts w:ascii="宋体" w:hAnsi="宋体" w:eastAsia="宋体" w:cs="宋体"/>
          <w:sz w:val="24"/>
          <w:szCs w:val="24"/>
        </w:rPr>
        <w:t>政府采购合同签订之日起2个工作日内，将政府采购合同在</w:t>
      </w:r>
      <w:r>
        <w:rPr>
          <w:rFonts w:ascii="宋体" w:hAnsi="宋体" w:eastAsia="宋体" w:cs="宋体"/>
          <w:spacing w:val="-1"/>
          <w:sz w:val="24"/>
          <w:szCs w:val="24"/>
        </w:rPr>
        <w:t>省级以上人民政府财政</w:t>
      </w:r>
      <w:r>
        <w:rPr>
          <w:rFonts w:ascii="宋体" w:hAnsi="宋体" w:eastAsia="宋体" w:cs="宋体"/>
          <w:spacing w:val="-4"/>
          <w:sz w:val="24"/>
          <w:szCs w:val="24"/>
        </w:rPr>
        <w:t>部门指定的媒体上公告。</w:t>
      </w:r>
    </w:p>
    <w:p w14:paraId="2AE6E0D3">
      <w:pPr>
        <w:rPr>
          <w:rFonts w:ascii="宋体" w:hAnsi="宋体" w:eastAsia="宋体" w:cs="仿宋"/>
          <w:sz w:val="28"/>
          <w:szCs w:val="28"/>
        </w:rPr>
        <w:sectPr>
          <w:headerReference r:id="rId12" w:type="default"/>
          <w:pgSz w:w="11906" w:h="16838"/>
          <w:pgMar w:top="1440" w:right="1080" w:bottom="1440" w:left="1080" w:header="851" w:footer="992" w:gutter="0"/>
          <w:cols w:space="720" w:num="1"/>
          <w:docGrid w:linePitch="312" w:charSpace="0"/>
        </w:sectPr>
      </w:pPr>
    </w:p>
    <w:p w14:paraId="7FA87D3D">
      <w:pPr>
        <w:adjustRightInd/>
        <w:snapToGrid/>
        <w:spacing w:after="0" w:line="360" w:lineRule="auto"/>
        <w:jc w:val="center"/>
        <w:textAlignment w:val="baseline"/>
        <w:outlineLvl w:val="0"/>
        <w:rPr>
          <w:rFonts w:ascii="宋体" w:hAnsi="宋体" w:eastAsia="宋体" w:cs="Times New Roman"/>
          <w:b/>
          <w:bCs/>
          <w:kern w:val="44"/>
          <w:sz w:val="30"/>
        </w:rPr>
      </w:pPr>
      <w:bookmarkStart w:id="125" w:name="_Toc32174"/>
      <w:bookmarkStart w:id="126" w:name="_Toc2849"/>
      <w:r>
        <w:rPr>
          <w:rFonts w:hint="eastAsia" w:ascii="宋体" w:hAnsi="宋体" w:eastAsia="宋体" w:cs="Times New Roman"/>
          <w:b/>
          <w:bCs/>
          <w:kern w:val="44"/>
          <w:sz w:val="30"/>
        </w:rPr>
        <w:t>第七章</w:t>
      </w:r>
      <w:bookmarkEnd w:id="125"/>
      <w:r>
        <w:rPr>
          <w:rFonts w:hint="eastAsia" w:ascii="宋体" w:hAnsi="宋体" w:eastAsia="宋体" w:cs="Times New Roman"/>
          <w:b/>
          <w:bCs/>
          <w:kern w:val="44"/>
          <w:sz w:val="30"/>
        </w:rPr>
        <w:t>、</w:t>
      </w:r>
      <w:bookmarkStart w:id="127" w:name="_Toc31301"/>
      <w:r>
        <w:rPr>
          <w:rFonts w:hint="eastAsia" w:ascii="宋体" w:hAnsi="宋体" w:eastAsia="宋体" w:cs="Times New Roman"/>
          <w:b/>
          <w:bCs/>
          <w:kern w:val="44"/>
          <w:sz w:val="30"/>
        </w:rPr>
        <w:t>投标文件格式及附件</w:t>
      </w:r>
      <w:bookmarkEnd w:id="126"/>
      <w:bookmarkEnd w:id="127"/>
    </w:p>
    <w:p w14:paraId="707A3742">
      <w:pPr>
        <w:rPr>
          <w:rFonts w:ascii="宋体" w:hAnsi="宋体" w:eastAsia="宋体" w:cs="宋体"/>
          <w:sz w:val="24"/>
          <w:szCs w:val="24"/>
        </w:rPr>
      </w:pPr>
      <w:bookmarkStart w:id="128" w:name="_Toc25475"/>
      <w:bookmarkStart w:id="129" w:name="_Toc8478"/>
      <w:bookmarkStart w:id="130" w:name="_Toc4544"/>
      <w:r>
        <w:rPr>
          <w:rFonts w:hint="eastAsia" w:ascii="宋体" w:hAnsi="宋体" w:eastAsia="宋体" w:cs="宋体"/>
          <w:sz w:val="24"/>
          <w:szCs w:val="24"/>
        </w:rPr>
        <w:t>附件1：投标文件封面格式</w:t>
      </w:r>
      <w:bookmarkEnd w:id="128"/>
      <w:bookmarkEnd w:id="129"/>
      <w:bookmarkEnd w:id="130"/>
    </w:p>
    <w:p w14:paraId="12B6A02D">
      <w:pPr>
        <w:rPr>
          <w:rFonts w:ascii="宋体" w:hAnsi="宋体" w:eastAsia="宋体" w:cs="宋体"/>
          <w:sz w:val="24"/>
          <w:szCs w:val="24"/>
        </w:rPr>
      </w:pPr>
      <w:bookmarkStart w:id="131" w:name="_Toc18914"/>
      <w:bookmarkStart w:id="132" w:name="_Toc28442"/>
      <w:bookmarkStart w:id="133" w:name="_Toc7203"/>
      <w:bookmarkStart w:id="134" w:name="_Toc14058"/>
      <w:r>
        <w:rPr>
          <w:rFonts w:hint="eastAsia" w:ascii="宋体" w:hAnsi="宋体" w:eastAsia="宋体" w:cs="宋体"/>
          <w:sz w:val="24"/>
          <w:szCs w:val="24"/>
        </w:rPr>
        <w:t>附件2：投标函</w:t>
      </w:r>
      <w:bookmarkEnd w:id="131"/>
      <w:bookmarkEnd w:id="132"/>
      <w:bookmarkEnd w:id="133"/>
      <w:bookmarkEnd w:id="134"/>
    </w:p>
    <w:p w14:paraId="5A0981B6">
      <w:pPr>
        <w:rPr>
          <w:rFonts w:ascii="宋体" w:hAnsi="宋体" w:eastAsia="宋体" w:cs="宋体"/>
          <w:sz w:val="24"/>
          <w:szCs w:val="24"/>
        </w:rPr>
      </w:pPr>
      <w:bookmarkStart w:id="135" w:name="_Toc20862"/>
      <w:bookmarkStart w:id="136" w:name="_Toc32154"/>
      <w:bookmarkStart w:id="137" w:name="_Toc8429"/>
      <w:bookmarkStart w:id="138" w:name="_Toc22478"/>
      <w:r>
        <w:rPr>
          <w:rFonts w:hint="eastAsia" w:ascii="宋体" w:hAnsi="宋体" w:eastAsia="宋体" w:cs="宋体"/>
          <w:sz w:val="24"/>
          <w:szCs w:val="24"/>
        </w:rPr>
        <w:t>附件3：法定代表人身份证明</w:t>
      </w:r>
      <w:bookmarkEnd w:id="135"/>
      <w:bookmarkEnd w:id="136"/>
      <w:bookmarkEnd w:id="137"/>
      <w:bookmarkEnd w:id="138"/>
    </w:p>
    <w:p w14:paraId="703991A0">
      <w:pPr>
        <w:rPr>
          <w:rFonts w:ascii="宋体" w:hAnsi="宋体" w:eastAsia="宋体" w:cs="宋体"/>
          <w:sz w:val="24"/>
          <w:szCs w:val="24"/>
        </w:rPr>
      </w:pPr>
      <w:bookmarkStart w:id="139" w:name="_Toc12490"/>
      <w:bookmarkStart w:id="140" w:name="_Toc1916"/>
      <w:bookmarkStart w:id="141" w:name="_Toc18231"/>
      <w:bookmarkStart w:id="142" w:name="_Toc12782"/>
      <w:r>
        <w:rPr>
          <w:rFonts w:hint="eastAsia" w:ascii="宋体" w:hAnsi="宋体" w:eastAsia="宋体" w:cs="宋体"/>
          <w:sz w:val="24"/>
          <w:szCs w:val="24"/>
        </w:rPr>
        <w:t>附件4：法人授权委托函</w:t>
      </w:r>
      <w:bookmarkEnd w:id="139"/>
      <w:bookmarkEnd w:id="140"/>
      <w:bookmarkEnd w:id="141"/>
      <w:bookmarkEnd w:id="142"/>
    </w:p>
    <w:p w14:paraId="7C9693EB">
      <w:pPr>
        <w:rPr>
          <w:rFonts w:ascii="宋体" w:hAnsi="宋体" w:eastAsia="宋体" w:cs="宋体"/>
          <w:sz w:val="24"/>
          <w:szCs w:val="24"/>
        </w:rPr>
      </w:pPr>
      <w:bookmarkStart w:id="143" w:name="_Toc22513"/>
      <w:bookmarkStart w:id="144" w:name="_Toc21750"/>
      <w:bookmarkStart w:id="145" w:name="_Toc12856"/>
      <w:bookmarkStart w:id="146" w:name="_Toc25885"/>
      <w:r>
        <w:rPr>
          <w:rFonts w:hint="eastAsia" w:ascii="宋体" w:hAnsi="宋体" w:eastAsia="宋体" w:cs="宋体"/>
          <w:sz w:val="24"/>
          <w:szCs w:val="24"/>
        </w:rPr>
        <w:t>附件5：投标报价表</w:t>
      </w:r>
      <w:bookmarkEnd w:id="143"/>
      <w:bookmarkEnd w:id="144"/>
      <w:bookmarkEnd w:id="145"/>
      <w:bookmarkEnd w:id="146"/>
    </w:p>
    <w:p w14:paraId="6277FE5D">
      <w:pPr>
        <w:rPr>
          <w:rFonts w:ascii="宋体" w:hAnsi="宋体" w:eastAsia="宋体" w:cs="宋体"/>
          <w:sz w:val="24"/>
          <w:szCs w:val="24"/>
        </w:rPr>
      </w:pPr>
      <w:r>
        <w:rPr>
          <w:rFonts w:hint="eastAsia" w:ascii="宋体" w:hAnsi="宋体" w:eastAsia="宋体" w:cs="宋体"/>
          <w:sz w:val="24"/>
          <w:szCs w:val="24"/>
        </w:rPr>
        <w:t>附件6：投标报价明细表</w:t>
      </w:r>
    </w:p>
    <w:p w14:paraId="7FEE076A">
      <w:pPr>
        <w:rPr>
          <w:rFonts w:ascii="宋体" w:hAnsi="宋体" w:eastAsia="宋体" w:cs="宋体"/>
          <w:sz w:val="24"/>
          <w:szCs w:val="24"/>
        </w:rPr>
      </w:pPr>
      <w:bookmarkStart w:id="147" w:name="_Toc29610"/>
      <w:bookmarkStart w:id="148" w:name="_Toc18771"/>
      <w:bookmarkStart w:id="149" w:name="_Toc19779"/>
      <w:r>
        <w:rPr>
          <w:rFonts w:hint="eastAsia" w:ascii="宋体" w:hAnsi="宋体" w:eastAsia="宋体" w:cs="宋体"/>
          <w:sz w:val="24"/>
          <w:szCs w:val="24"/>
        </w:rPr>
        <w:t>附件7：投标材料真实性保证承诺书</w:t>
      </w:r>
      <w:bookmarkEnd w:id="147"/>
      <w:bookmarkEnd w:id="148"/>
      <w:bookmarkEnd w:id="149"/>
    </w:p>
    <w:p w14:paraId="3B98BE30">
      <w:pPr>
        <w:rPr>
          <w:rFonts w:ascii="宋体" w:hAnsi="宋体" w:eastAsia="宋体" w:cs="宋体"/>
          <w:sz w:val="24"/>
          <w:szCs w:val="24"/>
        </w:rPr>
      </w:pPr>
      <w:bookmarkStart w:id="150" w:name="_Toc28286"/>
      <w:bookmarkStart w:id="151" w:name="_Toc14128"/>
      <w:bookmarkStart w:id="152" w:name="_Toc17893"/>
      <w:bookmarkStart w:id="153" w:name="_Toc20879"/>
      <w:r>
        <w:rPr>
          <w:rFonts w:hint="eastAsia" w:ascii="宋体" w:hAnsi="宋体" w:eastAsia="宋体" w:cs="宋体"/>
          <w:sz w:val="24"/>
          <w:szCs w:val="24"/>
        </w:rPr>
        <w:t>附件8：投标人资质证明文件及认为有必要的其他相关证明材料</w:t>
      </w:r>
      <w:bookmarkEnd w:id="150"/>
      <w:bookmarkEnd w:id="151"/>
      <w:bookmarkEnd w:id="152"/>
      <w:bookmarkEnd w:id="153"/>
    </w:p>
    <w:p w14:paraId="2233406E">
      <w:pPr>
        <w:rPr>
          <w:rFonts w:ascii="宋体" w:hAnsi="宋体" w:eastAsia="宋体" w:cs="宋体"/>
          <w:sz w:val="24"/>
          <w:szCs w:val="24"/>
        </w:rPr>
      </w:pPr>
      <w:r>
        <w:rPr>
          <w:rFonts w:hint="eastAsia" w:ascii="宋体" w:hAnsi="宋体" w:eastAsia="宋体" w:cs="宋体"/>
          <w:sz w:val="24"/>
          <w:szCs w:val="24"/>
        </w:rPr>
        <w:t>附件9：商务偏离表</w:t>
      </w:r>
    </w:p>
    <w:p w14:paraId="21633021">
      <w:pPr>
        <w:rPr>
          <w:rFonts w:ascii="宋体" w:hAnsi="宋体" w:eastAsia="宋体" w:cs="宋体"/>
          <w:sz w:val="24"/>
          <w:szCs w:val="24"/>
        </w:rPr>
      </w:pPr>
      <w:r>
        <w:rPr>
          <w:rFonts w:hint="eastAsia" w:ascii="宋体" w:hAnsi="宋体" w:eastAsia="宋体" w:cs="宋体"/>
          <w:sz w:val="24"/>
          <w:szCs w:val="24"/>
        </w:rPr>
        <w:t>附件10：供应商基本情况</w:t>
      </w:r>
    </w:p>
    <w:p w14:paraId="770D04CB">
      <w:pPr>
        <w:rPr>
          <w:rFonts w:ascii="宋体" w:hAnsi="宋体" w:eastAsia="宋体" w:cs="宋体"/>
          <w:sz w:val="24"/>
          <w:szCs w:val="24"/>
        </w:rPr>
      </w:pPr>
      <w:bookmarkStart w:id="154" w:name="_Toc21707"/>
      <w:bookmarkStart w:id="155" w:name="_Toc7744"/>
      <w:bookmarkStart w:id="156" w:name="_Toc2683"/>
      <w:bookmarkStart w:id="157" w:name="_Toc5188"/>
      <w:r>
        <w:rPr>
          <w:rFonts w:hint="eastAsia" w:ascii="宋体" w:hAnsi="宋体" w:eastAsia="宋体" w:cs="宋体"/>
          <w:sz w:val="24"/>
          <w:szCs w:val="24"/>
        </w:rPr>
        <w:t>附件11：技术偏离表</w:t>
      </w:r>
      <w:bookmarkEnd w:id="154"/>
      <w:bookmarkEnd w:id="155"/>
      <w:bookmarkEnd w:id="156"/>
      <w:bookmarkEnd w:id="157"/>
    </w:p>
    <w:p w14:paraId="3E22FFF0">
      <w:pPr>
        <w:rPr>
          <w:rFonts w:ascii="宋体" w:hAnsi="宋体" w:eastAsia="宋体" w:cs="宋体"/>
          <w:sz w:val="24"/>
          <w:szCs w:val="24"/>
        </w:rPr>
      </w:pPr>
      <w:bookmarkStart w:id="158" w:name="_Toc14469"/>
      <w:bookmarkStart w:id="159" w:name="_Toc19802"/>
      <w:bookmarkStart w:id="160" w:name="_Toc6497"/>
      <w:bookmarkStart w:id="161" w:name="_Toc24039"/>
      <w:r>
        <w:rPr>
          <w:rFonts w:hint="eastAsia" w:ascii="宋体" w:hAnsi="宋体" w:eastAsia="宋体" w:cs="宋体"/>
          <w:sz w:val="24"/>
          <w:szCs w:val="24"/>
        </w:rPr>
        <w:t>附件12：公司业绩一览表</w:t>
      </w:r>
      <w:bookmarkEnd w:id="158"/>
      <w:bookmarkEnd w:id="159"/>
      <w:bookmarkEnd w:id="160"/>
      <w:bookmarkEnd w:id="161"/>
    </w:p>
    <w:p w14:paraId="4290802E">
      <w:pPr>
        <w:rPr>
          <w:rFonts w:ascii="宋体" w:hAnsi="宋体" w:eastAsia="宋体" w:cs="宋体"/>
          <w:sz w:val="24"/>
          <w:szCs w:val="24"/>
        </w:rPr>
      </w:pPr>
      <w:bookmarkStart w:id="162" w:name="_Toc27625"/>
      <w:bookmarkStart w:id="163" w:name="_Toc5871"/>
      <w:bookmarkStart w:id="164" w:name="_Toc9930"/>
      <w:bookmarkStart w:id="165" w:name="_Toc30321"/>
      <w:r>
        <w:rPr>
          <w:rFonts w:hint="eastAsia" w:ascii="宋体" w:hAnsi="宋体" w:eastAsia="宋体" w:cs="宋体"/>
          <w:sz w:val="24"/>
          <w:szCs w:val="24"/>
        </w:rPr>
        <w:t>附件13：优惠条件承诺书</w:t>
      </w:r>
      <w:bookmarkEnd w:id="162"/>
      <w:bookmarkEnd w:id="163"/>
      <w:bookmarkEnd w:id="164"/>
      <w:bookmarkEnd w:id="165"/>
    </w:p>
    <w:p w14:paraId="67A2BC59">
      <w:pPr>
        <w:rPr>
          <w:rFonts w:ascii="宋体" w:hAnsi="宋体" w:eastAsia="宋体" w:cs="宋体"/>
          <w:sz w:val="24"/>
          <w:szCs w:val="24"/>
        </w:rPr>
      </w:pPr>
      <w:bookmarkStart w:id="166" w:name="_Toc19824"/>
      <w:bookmarkStart w:id="167" w:name="_Toc6060"/>
      <w:bookmarkStart w:id="168" w:name="_Toc23992"/>
      <w:bookmarkStart w:id="169" w:name="_Toc25200"/>
      <w:r>
        <w:rPr>
          <w:rFonts w:hint="eastAsia" w:ascii="宋体" w:hAnsi="宋体" w:eastAsia="宋体" w:cs="宋体"/>
          <w:sz w:val="24"/>
          <w:szCs w:val="24"/>
        </w:rPr>
        <w:t>附件14：售后服务承诺</w:t>
      </w:r>
      <w:bookmarkEnd w:id="166"/>
      <w:bookmarkEnd w:id="167"/>
      <w:bookmarkEnd w:id="168"/>
      <w:bookmarkEnd w:id="169"/>
    </w:p>
    <w:p w14:paraId="1F2AD36B">
      <w:pPr>
        <w:rPr>
          <w:rFonts w:ascii="宋体" w:hAnsi="宋体" w:eastAsia="宋体" w:cs="宋体"/>
          <w:sz w:val="24"/>
          <w:szCs w:val="24"/>
        </w:rPr>
      </w:pPr>
      <w:bookmarkStart w:id="170" w:name="_Toc28591"/>
      <w:bookmarkStart w:id="171" w:name="_Toc8973"/>
      <w:bookmarkStart w:id="172" w:name="_Toc1857"/>
      <w:bookmarkStart w:id="173" w:name="_Toc23249"/>
      <w:r>
        <w:rPr>
          <w:rFonts w:hint="eastAsia" w:ascii="宋体" w:hAnsi="宋体" w:eastAsia="宋体" w:cs="宋体"/>
          <w:sz w:val="24"/>
          <w:szCs w:val="24"/>
        </w:rPr>
        <w:t>附件15：无重大违法记录声明</w:t>
      </w:r>
      <w:bookmarkEnd w:id="170"/>
      <w:bookmarkEnd w:id="171"/>
      <w:bookmarkEnd w:id="172"/>
      <w:bookmarkEnd w:id="173"/>
    </w:p>
    <w:p w14:paraId="738E9310">
      <w:pPr>
        <w:rPr>
          <w:rFonts w:ascii="宋体" w:hAnsi="宋体" w:eastAsia="宋体" w:cs="宋体"/>
          <w:sz w:val="24"/>
          <w:szCs w:val="24"/>
        </w:rPr>
      </w:pPr>
      <w:bookmarkStart w:id="174" w:name="_Toc22743"/>
      <w:bookmarkStart w:id="175" w:name="_Toc24308"/>
      <w:bookmarkStart w:id="176" w:name="_Toc12724"/>
      <w:bookmarkStart w:id="177" w:name="_Toc1110"/>
      <w:r>
        <w:rPr>
          <w:rFonts w:hint="eastAsia" w:ascii="宋体" w:hAnsi="宋体" w:eastAsia="宋体" w:cs="宋体"/>
          <w:sz w:val="24"/>
          <w:szCs w:val="24"/>
        </w:rPr>
        <w:t>附件16：中小企业声明函</w:t>
      </w:r>
      <w:bookmarkEnd w:id="174"/>
      <w:bookmarkEnd w:id="175"/>
      <w:bookmarkEnd w:id="176"/>
      <w:bookmarkEnd w:id="177"/>
    </w:p>
    <w:p w14:paraId="7C38601E">
      <w:pPr>
        <w:rPr>
          <w:rFonts w:ascii="宋体" w:hAnsi="宋体" w:eastAsia="宋体" w:cs="宋体"/>
          <w:sz w:val="24"/>
          <w:szCs w:val="24"/>
        </w:rPr>
      </w:pPr>
      <w:bookmarkStart w:id="178" w:name="_Toc7393"/>
      <w:bookmarkStart w:id="179" w:name="_Toc31816"/>
      <w:bookmarkStart w:id="180" w:name="_Toc20710"/>
      <w:bookmarkStart w:id="181" w:name="_Toc21178"/>
      <w:r>
        <w:rPr>
          <w:rFonts w:hint="eastAsia" w:ascii="宋体" w:hAnsi="宋体" w:eastAsia="宋体" w:cs="宋体"/>
          <w:sz w:val="24"/>
          <w:szCs w:val="24"/>
        </w:rPr>
        <w:t>附件17：同意招标文件条款声明</w:t>
      </w:r>
      <w:bookmarkEnd w:id="178"/>
      <w:bookmarkEnd w:id="179"/>
      <w:bookmarkEnd w:id="180"/>
      <w:bookmarkEnd w:id="181"/>
    </w:p>
    <w:p w14:paraId="06F972DA">
      <w:pPr>
        <w:rPr>
          <w:rFonts w:ascii="宋体" w:hAnsi="宋体" w:eastAsia="宋体" w:cs="宋体"/>
          <w:sz w:val="24"/>
          <w:szCs w:val="24"/>
        </w:rPr>
      </w:pPr>
      <w:bookmarkStart w:id="182" w:name="_Toc3434"/>
      <w:bookmarkStart w:id="183" w:name="_Toc3792"/>
      <w:bookmarkStart w:id="184" w:name="_Toc31791"/>
      <w:bookmarkStart w:id="185" w:name="_Toc13934"/>
      <w:r>
        <w:rPr>
          <w:rFonts w:hint="eastAsia" w:ascii="宋体" w:hAnsi="宋体" w:eastAsia="宋体" w:cs="宋体"/>
          <w:sz w:val="24"/>
          <w:szCs w:val="24"/>
        </w:rPr>
        <w:t>附件18：虚假应标承担责任声明</w:t>
      </w:r>
      <w:bookmarkEnd w:id="182"/>
      <w:bookmarkEnd w:id="183"/>
      <w:bookmarkEnd w:id="184"/>
      <w:bookmarkEnd w:id="185"/>
    </w:p>
    <w:p w14:paraId="09507729">
      <w:pPr>
        <w:rPr>
          <w:rFonts w:ascii="宋体" w:hAnsi="宋体" w:eastAsia="宋体" w:cs="宋体"/>
          <w:sz w:val="24"/>
          <w:szCs w:val="24"/>
        </w:rPr>
      </w:pPr>
      <w:bookmarkStart w:id="186" w:name="_Toc7731"/>
      <w:bookmarkStart w:id="187" w:name="_Toc20563"/>
      <w:bookmarkStart w:id="188" w:name="_Toc13824"/>
      <w:bookmarkStart w:id="189" w:name="_Toc28777"/>
      <w:r>
        <w:rPr>
          <w:rFonts w:hint="eastAsia" w:ascii="宋体" w:hAnsi="宋体" w:eastAsia="宋体" w:cs="宋体"/>
          <w:sz w:val="24"/>
          <w:szCs w:val="24"/>
        </w:rPr>
        <w:t>附件19：代理服务费确认书</w:t>
      </w:r>
      <w:bookmarkEnd w:id="186"/>
      <w:bookmarkEnd w:id="187"/>
      <w:bookmarkEnd w:id="188"/>
      <w:bookmarkEnd w:id="189"/>
    </w:p>
    <w:p w14:paraId="3DB1C180">
      <w:pPr>
        <w:rPr>
          <w:rFonts w:ascii="宋体" w:hAnsi="宋体" w:eastAsia="宋体" w:cs="宋体"/>
          <w:sz w:val="24"/>
          <w:szCs w:val="24"/>
        </w:rPr>
      </w:pPr>
      <w:bookmarkStart w:id="190" w:name="_Toc27827"/>
      <w:bookmarkStart w:id="191" w:name="_Toc23678"/>
      <w:bookmarkStart w:id="192" w:name="_Toc29129"/>
      <w:r>
        <w:rPr>
          <w:rFonts w:hint="eastAsia" w:ascii="宋体" w:hAnsi="宋体" w:eastAsia="宋体" w:cs="宋体"/>
          <w:sz w:val="24"/>
          <w:szCs w:val="24"/>
        </w:rPr>
        <w:t>附件20：残疾人福利性单位声明函</w:t>
      </w:r>
      <w:bookmarkEnd w:id="190"/>
      <w:bookmarkEnd w:id="191"/>
      <w:bookmarkEnd w:id="192"/>
    </w:p>
    <w:p w14:paraId="6560DE3C">
      <w:pPr>
        <w:adjustRightInd/>
        <w:snapToGrid/>
        <w:spacing w:after="0" w:line="360" w:lineRule="auto"/>
        <w:ind w:firstLine="482" w:firstLineChars="200"/>
        <w:textAlignment w:val="baseline"/>
        <w:rPr>
          <w:rFonts w:ascii="宋体" w:hAnsi="宋体" w:eastAsia="宋体" w:cs="宋体"/>
          <w:b/>
          <w:bCs/>
          <w:kern w:val="2"/>
          <w:sz w:val="24"/>
          <w:szCs w:val="24"/>
        </w:rPr>
        <w:sectPr>
          <w:headerReference r:id="rId13" w:type="default"/>
          <w:pgSz w:w="11906" w:h="16838"/>
          <w:pgMar w:top="1440" w:right="1080" w:bottom="1440" w:left="1080" w:header="850" w:footer="850" w:gutter="0"/>
          <w:cols w:space="720" w:num="1"/>
          <w:docGrid w:linePitch="381" w:charSpace="0"/>
        </w:sectPr>
      </w:pPr>
      <w:r>
        <w:rPr>
          <w:rFonts w:hint="eastAsia" w:ascii="宋体" w:hAnsi="宋体" w:eastAsia="宋体" w:cs="宋体"/>
          <w:b/>
          <w:bCs/>
          <w:kern w:val="2"/>
          <w:sz w:val="24"/>
          <w:szCs w:val="24"/>
        </w:rPr>
        <w:t>注：上述规定格式必须严格按照招标文件要求制作，未载明的格式供应商自行拟定。</w:t>
      </w:r>
    </w:p>
    <w:p w14:paraId="33B27E3E">
      <w:pPr>
        <w:jc w:val="center"/>
        <w:outlineLvl w:val="1"/>
        <w:rPr>
          <w:rFonts w:ascii="宋体" w:hAnsi="宋体" w:eastAsia="宋体" w:cs="宋体"/>
          <w:sz w:val="28"/>
          <w:szCs w:val="28"/>
        </w:rPr>
      </w:pPr>
      <w:bookmarkStart w:id="193" w:name="_Toc9052"/>
      <w:bookmarkStart w:id="194" w:name="_Toc8965"/>
      <w:bookmarkStart w:id="195" w:name="_Toc25124"/>
      <w:bookmarkStart w:id="196" w:name="_Toc19385"/>
      <w:bookmarkStart w:id="197" w:name="_Toc29533"/>
      <w:bookmarkStart w:id="198" w:name="_Toc6831"/>
      <w:r>
        <w:rPr>
          <w:rFonts w:hint="eastAsia" w:ascii="宋体" w:hAnsi="宋体" w:eastAsia="宋体" w:cs="宋体"/>
          <w:b/>
          <w:bCs/>
          <w:sz w:val="28"/>
          <w:szCs w:val="28"/>
        </w:rPr>
        <w:t>附件1：</w:t>
      </w:r>
      <w:bookmarkEnd w:id="193"/>
      <w:bookmarkEnd w:id="194"/>
      <w:bookmarkEnd w:id="195"/>
      <w:bookmarkEnd w:id="196"/>
      <w:bookmarkEnd w:id="197"/>
      <w:r>
        <w:rPr>
          <w:rFonts w:hint="eastAsia" w:ascii="宋体" w:hAnsi="宋体" w:eastAsia="宋体" w:cs="宋体"/>
          <w:sz w:val="28"/>
          <w:szCs w:val="28"/>
        </w:rPr>
        <w:t xml:space="preserve"> </w:t>
      </w:r>
      <w:r>
        <w:rPr>
          <w:rFonts w:ascii="宋体" w:hAnsi="宋体" w:eastAsia="宋体" w:cs="Times New Roman"/>
          <w:kern w:val="2"/>
          <w:sz w:val="30"/>
        </w:rPr>
        <w:t>投标文件封面格式</w:t>
      </w:r>
      <w:bookmarkEnd w:id="198"/>
    </w:p>
    <w:p w14:paraId="256783AA">
      <w:pPr>
        <w:adjustRightInd/>
        <w:snapToGrid/>
        <w:spacing w:after="0" w:line="360" w:lineRule="auto"/>
        <w:jc w:val="center"/>
        <w:textAlignment w:val="baseline"/>
        <w:rPr>
          <w:rFonts w:ascii="宋体" w:hAnsi="宋体" w:eastAsia="宋体" w:cs="Times New Roman"/>
          <w:b/>
          <w:kern w:val="2"/>
          <w:sz w:val="30"/>
        </w:rPr>
      </w:pPr>
    </w:p>
    <w:p w14:paraId="4A60C9A6">
      <w:pPr>
        <w:tabs>
          <w:tab w:val="left" w:pos="7589"/>
        </w:tabs>
        <w:adjustRightInd/>
        <w:snapToGrid/>
        <w:spacing w:after="0" w:line="360" w:lineRule="auto"/>
        <w:textAlignment w:val="baseline"/>
        <w:rPr>
          <w:rFonts w:ascii="宋体" w:hAnsi="宋体" w:eastAsia="宋体" w:cs="Times New Roman"/>
          <w:b/>
          <w:kern w:val="2"/>
          <w:sz w:val="48"/>
        </w:rPr>
      </w:pPr>
      <w:r>
        <w:rPr>
          <w:rFonts w:ascii="宋体" w:hAnsi="宋体" w:eastAsia="宋体" w:cs="Times New Roman"/>
          <w:b/>
          <w:kern w:val="2"/>
          <w:sz w:val="48"/>
        </w:rPr>
        <w:tab/>
      </w:r>
    </w:p>
    <w:p w14:paraId="5E192734">
      <w:pPr>
        <w:adjustRightInd/>
        <w:snapToGrid/>
        <w:spacing w:after="0" w:line="360" w:lineRule="auto"/>
        <w:jc w:val="center"/>
        <w:textAlignment w:val="baseline"/>
        <w:rPr>
          <w:rFonts w:ascii="宋体" w:hAnsi="宋体" w:eastAsia="宋体" w:cs="Times New Roman"/>
          <w:b/>
          <w:kern w:val="2"/>
          <w:sz w:val="36"/>
          <w:szCs w:val="28"/>
        </w:rPr>
      </w:pPr>
      <w:r>
        <w:rPr>
          <w:rFonts w:hint="eastAsia" w:ascii="宋体" w:hAnsi="宋体" w:eastAsia="宋体" w:cs="Times New Roman"/>
          <w:b/>
          <w:kern w:val="2"/>
          <w:sz w:val="36"/>
          <w:szCs w:val="28"/>
        </w:rPr>
        <w:t>宕昌某部购买技术服务项目</w:t>
      </w:r>
    </w:p>
    <w:p w14:paraId="7EAACF4E">
      <w:pPr>
        <w:adjustRightInd/>
        <w:snapToGrid/>
        <w:spacing w:after="0" w:line="360" w:lineRule="auto"/>
        <w:jc w:val="center"/>
        <w:textAlignment w:val="baseline"/>
        <w:rPr>
          <w:rFonts w:ascii="宋体" w:hAnsi="宋体" w:eastAsia="宋体" w:cs="Times New Roman"/>
          <w:b/>
          <w:kern w:val="2"/>
          <w:sz w:val="30"/>
        </w:rPr>
      </w:pPr>
    </w:p>
    <w:p w14:paraId="53085956">
      <w:pPr>
        <w:adjustRightInd/>
        <w:snapToGrid/>
        <w:spacing w:after="0" w:line="360" w:lineRule="auto"/>
        <w:jc w:val="center"/>
        <w:textAlignment w:val="baseline"/>
        <w:rPr>
          <w:rFonts w:ascii="宋体" w:hAnsi="宋体" w:eastAsia="宋体" w:cs="Times New Roman"/>
          <w:b/>
          <w:kern w:val="2"/>
          <w:sz w:val="72"/>
        </w:rPr>
      </w:pPr>
    </w:p>
    <w:p w14:paraId="1916F4FB">
      <w:pPr>
        <w:adjustRightInd/>
        <w:snapToGrid/>
        <w:spacing w:after="0" w:line="360" w:lineRule="auto"/>
        <w:jc w:val="center"/>
        <w:textAlignment w:val="baseline"/>
        <w:rPr>
          <w:rFonts w:ascii="宋体" w:hAnsi="宋体" w:eastAsia="宋体" w:cs="Times New Roman"/>
          <w:b/>
          <w:kern w:val="2"/>
          <w:sz w:val="72"/>
        </w:rPr>
      </w:pPr>
      <w:r>
        <w:rPr>
          <w:rFonts w:hint="eastAsia" w:ascii="宋体" w:hAnsi="宋体" w:eastAsia="宋体" w:cs="Times New Roman"/>
          <w:b/>
          <w:kern w:val="2"/>
          <w:sz w:val="72"/>
        </w:rPr>
        <w:t>响 应</w:t>
      </w:r>
      <w:r>
        <w:rPr>
          <w:rFonts w:ascii="宋体" w:hAnsi="宋体" w:eastAsia="宋体" w:cs="Times New Roman"/>
          <w:b/>
          <w:kern w:val="2"/>
          <w:sz w:val="72"/>
        </w:rPr>
        <w:t xml:space="preserve"> 文 件</w:t>
      </w:r>
    </w:p>
    <w:p w14:paraId="62EC56B5">
      <w:pPr>
        <w:adjustRightInd/>
        <w:snapToGrid/>
        <w:spacing w:after="0" w:line="360" w:lineRule="auto"/>
        <w:jc w:val="both"/>
        <w:textAlignment w:val="baseline"/>
        <w:rPr>
          <w:rFonts w:ascii="宋体" w:hAnsi="宋体" w:eastAsia="宋体" w:cs="Times New Roman"/>
          <w:b/>
          <w:kern w:val="2"/>
          <w:sz w:val="30"/>
          <w:u w:val="single"/>
        </w:rPr>
      </w:pPr>
    </w:p>
    <w:p w14:paraId="414DD985">
      <w:pPr>
        <w:adjustRightInd/>
        <w:snapToGrid/>
        <w:spacing w:after="0" w:line="360" w:lineRule="auto"/>
        <w:jc w:val="both"/>
        <w:textAlignment w:val="baseline"/>
        <w:rPr>
          <w:rFonts w:ascii="宋体" w:hAnsi="宋体" w:eastAsia="宋体" w:cs="Times New Roman"/>
          <w:b/>
          <w:kern w:val="2"/>
          <w:sz w:val="30"/>
          <w:u w:val="single"/>
        </w:rPr>
      </w:pPr>
    </w:p>
    <w:p w14:paraId="127C94FB">
      <w:pPr>
        <w:adjustRightInd/>
        <w:snapToGrid/>
        <w:spacing w:after="0" w:line="360" w:lineRule="auto"/>
        <w:jc w:val="both"/>
        <w:textAlignment w:val="baseline"/>
        <w:rPr>
          <w:rFonts w:ascii="宋体" w:hAnsi="宋体" w:eastAsia="宋体" w:cs="Times New Roman"/>
          <w:b/>
          <w:kern w:val="2"/>
          <w:sz w:val="30"/>
          <w:u w:val="single"/>
        </w:rPr>
      </w:pPr>
    </w:p>
    <w:p w14:paraId="77DA76CC">
      <w:pPr>
        <w:adjustRightInd/>
        <w:snapToGrid/>
        <w:spacing w:after="0" w:line="360" w:lineRule="auto"/>
        <w:ind w:firstLine="2096" w:firstLineChars="696"/>
        <w:jc w:val="both"/>
        <w:textAlignment w:val="baseline"/>
        <w:rPr>
          <w:rFonts w:ascii="宋体" w:hAnsi="宋体" w:eastAsia="宋体" w:cs="Times New Roman"/>
          <w:b/>
          <w:kern w:val="2"/>
          <w:sz w:val="30"/>
        </w:rPr>
      </w:pPr>
      <w:r>
        <w:rPr>
          <w:rFonts w:hint="eastAsia" w:ascii="宋体" w:hAnsi="宋体" w:eastAsia="宋体" w:cs="Times New Roman"/>
          <w:b/>
          <w:kern w:val="2"/>
          <w:sz w:val="30"/>
        </w:rPr>
        <w:t>招标编号：</w:t>
      </w:r>
    </w:p>
    <w:p w14:paraId="23C0713D">
      <w:pPr>
        <w:adjustRightInd/>
        <w:snapToGrid/>
        <w:spacing w:after="0" w:line="360" w:lineRule="auto"/>
        <w:ind w:firstLine="2096" w:firstLineChars="696"/>
        <w:jc w:val="both"/>
        <w:textAlignment w:val="baseline"/>
        <w:rPr>
          <w:rFonts w:ascii="宋体" w:hAnsi="宋体" w:eastAsia="宋体" w:cs="Times New Roman"/>
          <w:b/>
          <w:kern w:val="2"/>
          <w:sz w:val="30"/>
        </w:rPr>
      </w:pPr>
      <w:r>
        <w:rPr>
          <w:rFonts w:ascii="宋体" w:hAnsi="宋体" w:eastAsia="宋体" w:cs="Times New Roman"/>
          <w:b/>
          <w:kern w:val="2"/>
          <w:sz w:val="30"/>
        </w:rPr>
        <w:t>投标人名称：</w:t>
      </w:r>
      <w:r>
        <w:rPr>
          <w:rFonts w:ascii="宋体" w:hAnsi="宋体" w:eastAsia="宋体" w:cs="Times New Roman"/>
          <w:b/>
          <w:kern w:val="2"/>
          <w:sz w:val="30"/>
          <w:u w:val="single"/>
        </w:rPr>
        <w:t xml:space="preserve">              （公章）</w:t>
      </w:r>
    </w:p>
    <w:p w14:paraId="4E3A1BE3">
      <w:pPr>
        <w:adjustRightInd/>
        <w:snapToGrid/>
        <w:spacing w:after="0" w:line="360" w:lineRule="auto"/>
        <w:ind w:firstLine="2096" w:firstLineChars="696"/>
        <w:jc w:val="both"/>
        <w:textAlignment w:val="baseline"/>
        <w:rPr>
          <w:rFonts w:ascii="宋体" w:hAnsi="宋体" w:eastAsia="宋体" w:cs="Times New Roman"/>
          <w:b/>
          <w:kern w:val="2"/>
          <w:sz w:val="30"/>
        </w:rPr>
      </w:pPr>
      <w:r>
        <w:rPr>
          <w:rFonts w:ascii="宋体" w:hAnsi="宋体" w:eastAsia="宋体" w:cs="Times New Roman"/>
          <w:b/>
          <w:kern w:val="2"/>
          <w:sz w:val="30"/>
        </w:rPr>
        <w:t>投标人地址：</w:t>
      </w:r>
    </w:p>
    <w:p w14:paraId="093D3B94">
      <w:pPr>
        <w:adjustRightInd/>
        <w:snapToGrid/>
        <w:spacing w:after="0" w:line="360" w:lineRule="auto"/>
        <w:ind w:firstLine="2096" w:firstLineChars="696"/>
        <w:jc w:val="both"/>
        <w:textAlignment w:val="baseline"/>
        <w:rPr>
          <w:rFonts w:ascii="宋体" w:hAnsi="宋体" w:eastAsia="宋体" w:cs="Times New Roman"/>
          <w:b/>
          <w:kern w:val="2"/>
          <w:sz w:val="30"/>
        </w:rPr>
      </w:pPr>
      <w:r>
        <w:rPr>
          <w:rFonts w:ascii="宋体" w:hAnsi="宋体" w:eastAsia="宋体" w:cs="Times New Roman"/>
          <w:b/>
          <w:kern w:val="2"/>
          <w:sz w:val="30"/>
        </w:rPr>
        <w:t>投标人法定代表人或授权委托人（签字）：</w:t>
      </w:r>
    </w:p>
    <w:p w14:paraId="75C8B128">
      <w:pPr>
        <w:adjustRightInd/>
        <w:snapToGrid/>
        <w:spacing w:after="0" w:line="360" w:lineRule="auto"/>
        <w:ind w:firstLine="3915" w:firstLineChars="1300"/>
        <w:jc w:val="both"/>
        <w:textAlignment w:val="baseline"/>
        <w:rPr>
          <w:rFonts w:ascii="宋体" w:hAnsi="宋体" w:eastAsia="宋体" w:cs="Times New Roman"/>
          <w:b/>
          <w:kern w:val="2"/>
          <w:sz w:val="30"/>
        </w:rPr>
      </w:pPr>
    </w:p>
    <w:p w14:paraId="1183E7FC">
      <w:pPr>
        <w:adjustRightInd/>
        <w:snapToGrid/>
        <w:spacing w:after="0" w:line="360" w:lineRule="auto"/>
        <w:ind w:firstLine="3915" w:firstLineChars="1300"/>
        <w:jc w:val="both"/>
        <w:textAlignment w:val="baseline"/>
        <w:rPr>
          <w:rFonts w:ascii="宋体" w:hAnsi="宋体" w:eastAsia="宋体" w:cs="Times New Roman"/>
          <w:b/>
          <w:kern w:val="2"/>
          <w:sz w:val="30"/>
        </w:rPr>
      </w:pPr>
      <w:r>
        <w:rPr>
          <w:rFonts w:ascii="宋体" w:hAnsi="宋体" w:eastAsia="宋体" w:cs="Times New Roman"/>
          <w:b/>
          <w:kern w:val="2"/>
          <w:sz w:val="30"/>
        </w:rPr>
        <w:t>年</w:t>
      </w:r>
      <w:r>
        <w:rPr>
          <w:rFonts w:hint="eastAsia" w:ascii="宋体" w:hAnsi="宋体" w:eastAsia="宋体" w:cs="Times New Roman"/>
          <w:b/>
          <w:kern w:val="2"/>
          <w:sz w:val="30"/>
        </w:rPr>
        <w:t xml:space="preserve"> </w:t>
      </w:r>
      <w:r>
        <w:rPr>
          <w:rFonts w:ascii="宋体" w:hAnsi="宋体" w:eastAsia="宋体" w:cs="Times New Roman"/>
          <w:b/>
          <w:kern w:val="2"/>
          <w:sz w:val="30"/>
        </w:rPr>
        <w:t>月</w:t>
      </w:r>
      <w:r>
        <w:rPr>
          <w:rFonts w:hint="eastAsia" w:ascii="宋体" w:hAnsi="宋体" w:eastAsia="宋体" w:cs="Times New Roman"/>
          <w:b/>
          <w:kern w:val="2"/>
          <w:sz w:val="30"/>
        </w:rPr>
        <w:t xml:space="preserve"> </w:t>
      </w:r>
      <w:r>
        <w:rPr>
          <w:rFonts w:ascii="宋体" w:hAnsi="宋体" w:eastAsia="宋体" w:cs="Times New Roman"/>
          <w:b/>
          <w:kern w:val="2"/>
          <w:sz w:val="30"/>
        </w:rPr>
        <w:t>日</w:t>
      </w:r>
    </w:p>
    <w:p w14:paraId="70BBDEDC">
      <w:pPr>
        <w:pStyle w:val="12"/>
        <w:rPr>
          <w:rFonts w:ascii="宋体" w:hAnsi="宋体"/>
          <w:b/>
          <w:sz w:val="30"/>
        </w:rPr>
      </w:pPr>
    </w:p>
    <w:p w14:paraId="6CAE1E78">
      <w:pPr>
        <w:rPr>
          <w:rFonts w:ascii="宋体" w:hAnsi="宋体" w:eastAsia="宋体" w:cs="宋体"/>
          <w:b/>
          <w:bCs/>
          <w:sz w:val="28"/>
          <w:szCs w:val="28"/>
        </w:rPr>
      </w:pPr>
      <w:bookmarkStart w:id="199" w:name="_Toc1130"/>
      <w:bookmarkStart w:id="200" w:name="_Toc3610"/>
      <w:bookmarkStart w:id="201" w:name="_Toc28065"/>
      <w:bookmarkStart w:id="202" w:name="_Toc21437"/>
      <w:bookmarkStart w:id="203" w:name="_Toc30824"/>
      <w:r>
        <w:rPr>
          <w:rFonts w:hint="eastAsia" w:ascii="宋体" w:hAnsi="宋体" w:eastAsia="宋体" w:cs="宋体"/>
          <w:b/>
          <w:bCs/>
          <w:sz w:val="28"/>
          <w:szCs w:val="28"/>
        </w:rPr>
        <w:br w:type="page"/>
      </w:r>
    </w:p>
    <w:p w14:paraId="4DED2ECA">
      <w:pPr>
        <w:jc w:val="center"/>
        <w:outlineLvl w:val="1"/>
        <w:rPr>
          <w:rFonts w:ascii="宋体" w:hAnsi="宋体" w:eastAsia="宋体" w:cs="宋体"/>
          <w:b/>
          <w:kern w:val="2"/>
          <w:sz w:val="28"/>
          <w:szCs w:val="28"/>
        </w:rPr>
      </w:pPr>
      <w:bookmarkStart w:id="204" w:name="_Toc24518"/>
      <w:r>
        <w:rPr>
          <w:rFonts w:hint="eastAsia" w:ascii="宋体" w:hAnsi="宋体" w:eastAsia="宋体" w:cs="宋体"/>
          <w:b/>
          <w:bCs/>
          <w:sz w:val="28"/>
          <w:szCs w:val="28"/>
        </w:rPr>
        <w:t>附件2：</w:t>
      </w:r>
      <w:bookmarkEnd w:id="199"/>
      <w:bookmarkEnd w:id="200"/>
      <w:bookmarkEnd w:id="201"/>
      <w:bookmarkEnd w:id="202"/>
      <w:bookmarkEnd w:id="203"/>
      <w:r>
        <w:rPr>
          <w:rFonts w:hint="eastAsia" w:ascii="宋体" w:hAnsi="宋体" w:eastAsia="宋体" w:cs="宋体"/>
          <w:b/>
          <w:kern w:val="2"/>
          <w:sz w:val="28"/>
          <w:szCs w:val="28"/>
        </w:rPr>
        <w:t>投标函</w:t>
      </w:r>
      <w:bookmarkEnd w:id="204"/>
    </w:p>
    <w:p w14:paraId="245DF6F8">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bCs/>
          <w:kern w:val="2"/>
          <w:sz w:val="24"/>
          <w:szCs w:val="24"/>
        </w:rPr>
        <w:t>致：宕昌县公安局</w:t>
      </w:r>
    </w:p>
    <w:p w14:paraId="323CBE89">
      <w:pPr>
        <w:adjustRightInd/>
        <w:snapToGrid/>
        <w:spacing w:after="0" w:line="360" w:lineRule="auto"/>
        <w:ind w:firstLine="456" w:firstLineChars="200"/>
        <w:jc w:val="both"/>
        <w:textAlignment w:val="baseline"/>
        <w:rPr>
          <w:rFonts w:ascii="宋体" w:hAnsi="宋体" w:eastAsia="宋体" w:cs="宋体"/>
          <w:kern w:val="2"/>
          <w:sz w:val="24"/>
          <w:szCs w:val="24"/>
        </w:rPr>
      </w:pPr>
      <w:r>
        <w:rPr>
          <w:rFonts w:hint="eastAsia" w:ascii="宋体" w:hAnsi="宋体" w:eastAsia="宋体" w:cs="宋体"/>
          <w:spacing w:val="-6"/>
          <w:kern w:val="2"/>
          <w:sz w:val="24"/>
          <w:szCs w:val="24"/>
        </w:rPr>
        <w:t>根据贵方(</w:t>
      </w:r>
      <w:r>
        <w:rPr>
          <w:rFonts w:hint="eastAsia" w:ascii="宋体" w:hAnsi="宋体" w:eastAsia="宋体" w:cs="宋体"/>
          <w:spacing w:val="-6"/>
          <w:kern w:val="2"/>
          <w:sz w:val="24"/>
          <w:szCs w:val="24"/>
          <w:u w:val="single"/>
        </w:rPr>
        <w:t xml:space="preserve">      </w:t>
      </w:r>
      <w:r>
        <w:rPr>
          <w:rFonts w:hint="eastAsia" w:ascii="宋体" w:hAnsi="宋体" w:eastAsia="宋体" w:cs="宋体"/>
          <w:spacing w:val="-6"/>
          <w:kern w:val="2"/>
          <w:sz w:val="24"/>
          <w:szCs w:val="24"/>
        </w:rPr>
        <w:t>)项目</w:t>
      </w:r>
      <w:r>
        <w:rPr>
          <w:rFonts w:hint="eastAsia" w:ascii="宋体" w:hAnsi="宋体" w:eastAsia="宋体" w:cs="宋体"/>
          <w:kern w:val="2"/>
          <w:sz w:val="24"/>
          <w:szCs w:val="24"/>
        </w:rPr>
        <w:t>的</w:t>
      </w:r>
      <w:r>
        <w:rPr>
          <w:rFonts w:hint="eastAsia" w:ascii="宋体" w:hAnsi="宋体" w:eastAsia="宋体" w:cs="宋体"/>
          <w:spacing w:val="-6"/>
          <w:kern w:val="2"/>
          <w:sz w:val="24"/>
          <w:szCs w:val="24"/>
        </w:rPr>
        <w:t>招标采购</w:t>
      </w:r>
      <w:r>
        <w:rPr>
          <w:rFonts w:hint="eastAsia" w:ascii="宋体" w:hAnsi="宋体" w:eastAsia="宋体" w:cs="宋体"/>
          <w:kern w:val="2"/>
          <w:sz w:val="24"/>
          <w:szCs w:val="24"/>
        </w:rPr>
        <w:t>(招标编号: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)，正式授权的下述签字人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（姓名和职务）代表投标人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（投标人名称），提交电子投标文件。    </w:t>
      </w:r>
    </w:p>
    <w:p w14:paraId="7138F516">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1.投标函</w:t>
      </w:r>
    </w:p>
    <w:p w14:paraId="06793BEA">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2.开标一览表</w:t>
      </w:r>
    </w:p>
    <w:p w14:paraId="5132AE33">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3.投标报价表</w:t>
      </w:r>
    </w:p>
    <w:p w14:paraId="541066C2">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4.按招标文件要求投标人提交的全部文件</w:t>
      </w:r>
    </w:p>
    <w:p w14:paraId="4E3048B7">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    据此函，签字人兹宣布同意如下条款：</w:t>
      </w:r>
    </w:p>
    <w:p w14:paraId="149628B6">
      <w:pPr>
        <w:adjustRightInd/>
        <w:snapToGrid/>
        <w:spacing w:after="0" w:line="360" w:lineRule="auto"/>
        <w:ind w:left="480"/>
        <w:jc w:val="both"/>
        <w:rPr>
          <w:rFonts w:ascii="宋体" w:hAnsi="宋体" w:eastAsia="宋体" w:cs="宋体"/>
          <w:kern w:val="2"/>
          <w:sz w:val="24"/>
          <w:szCs w:val="24"/>
        </w:rPr>
      </w:pPr>
      <w:r>
        <w:rPr>
          <w:rFonts w:hint="eastAsia" w:ascii="宋体" w:hAnsi="宋体" w:eastAsia="宋体" w:cs="宋体"/>
          <w:kern w:val="2"/>
          <w:sz w:val="24"/>
          <w:szCs w:val="24"/>
        </w:rPr>
        <w:t>（1）所附投标价格表中规定的应提供服务投标总价为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（大写）。</w:t>
      </w:r>
    </w:p>
    <w:p w14:paraId="430C988B">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（2）我们将按招标文件的规定履行合同责任和义务。</w:t>
      </w:r>
    </w:p>
    <w:p w14:paraId="6892F70F">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（3）我们已详细审查全部招标文件，包括修改意见（如有则附）以及全部参考资料和有关附件。我们完全理解并同意放弃对这方面有不明及误解而要求招标方解释和承担责任的权利。</w:t>
      </w:r>
    </w:p>
    <w:p w14:paraId="53B1609E">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（4）在投标人须知规定的投标有效期</w:t>
      </w:r>
      <w:r>
        <w:rPr>
          <w:rFonts w:hint="eastAsia" w:ascii="宋体" w:hAnsi="宋体" w:eastAsia="宋体" w:cs="宋体"/>
          <w:kern w:val="2"/>
          <w:sz w:val="24"/>
          <w:szCs w:val="24"/>
          <w:u w:val="single"/>
        </w:rPr>
        <w:t xml:space="preserve"> 60</w:t>
      </w:r>
      <w:r>
        <w:rPr>
          <w:rFonts w:hint="eastAsia" w:ascii="宋体" w:hAnsi="宋体" w:eastAsia="宋体" w:cs="宋体"/>
          <w:kern w:val="2"/>
          <w:sz w:val="24"/>
          <w:szCs w:val="24"/>
        </w:rPr>
        <w:t>天内遵循本投标文件，并在投标人须知规定的投标有效期期满之前具有约束力。</w:t>
      </w:r>
    </w:p>
    <w:p w14:paraId="53E28DFD">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（5）意提供贵方可能要求的与本投标有关的任何证据或资料。</w:t>
      </w:r>
    </w:p>
    <w:p w14:paraId="30145BA2">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（6）我们同意提供按照招标单位可能出示的与其投标有关的一切数据或资料。</w:t>
      </w:r>
    </w:p>
    <w:p w14:paraId="3BF079AD">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（7）我们理解贵方不一定要接受最低报价的投标或收到的任何投标。</w:t>
      </w:r>
    </w:p>
    <w:p w14:paraId="71938014">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（8）与本投标有关的一切正式往来通讯请寄至：     </w:t>
      </w:r>
    </w:p>
    <w:p w14:paraId="051F6EC8">
      <w:pPr>
        <w:adjustRightInd/>
        <w:snapToGrid/>
        <w:spacing w:after="0" w:line="360" w:lineRule="auto"/>
        <w:ind w:firstLine="480" w:firstLineChars="200"/>
        <w:jc w:val="both"/>
        <w:textAlignment w:val="baseline"/>
        <w:rPr>
          <w:rFonts w:ascii="宋体" w:hAnsi="宋体" w:eastAsia="宋体" w:cs="宋体"/>
          <w:kern w:val="2"/>
          <w:sz w:val="24"/>
          <w:szCs w:val="24"/>
          <w:u w:val="single"/>
        </w:rPr>
      </w:pPr>
      <w:r>
        <w:rPr>
          <w:rFonts w:hint="eastAsia" w:ascii="宋体" w:hAnsi="宋体" w:eastAsia="宋体" w:cs="宋体"/>
          <w:kern w:val="2"/>
          <w:sz w:val="24"/>
          <w:szCs w:val="24"/>
        </w:rPr>
        <w:t xml:space="preserve"> 电话：</w:t>
      </w:r>
    </w:p>
    <w:p w14:paraId="54950AA1">
      <w:pPr>
        <w:adjustRightInd/>
        <w:snapToGrid/>
        <w:spacing w:after="0" w:line="360" w:lineRule="auto"/>
        <w:jc w:val="both"/>
        <w:textAlignment w:val="baseline"/>
        <w:rPr>
          <w:rFonts w:hAnsi="宋体" w:eastAsia="宋体" w:cs="宋体"/>
          <w:sz w:val="24"/>
          <w:szCs w:val="24"/>
        </w:rPr>
      </w:pPr>
      <w:r>
        <w:rPr>
          <w:rFonts w:hint="eastAsia" w:ascii="宋体" w:hAnsi="宋体" w:eastAsia="宋体" w:cs="宋体"/>
          <w:kern w:val="2"/>
          <w:sz w:val="24"/>
          <w:szCs w:val="24"/>
        </w:rPr>
        <w:t xml:space="preserve">                                        投标人名称（公章）：</w:t>
      </w:r>
    </w:p>
    <w:p w14:paraId="6DBA0A73">
      <w:pPr>
        <w:adjustRightInd/>
        <w:snapToGrid/>
        <w:spacing w:after="0" w:line="360" w:lineRule="auto"/>
        <w:ind w:firstLine="2880" w:firstLineChars="1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               法定代表人或授权代表人（签字）：</w:t>
      </w:r>
    </w:p>
    <w:p w14:paraId="2099E3BC">
      <w:pPr>
        <w:adjustRightInd/>
        <w:snapToGrid/>
        <w:spacing w:after="0" w:line="360" w:lineRule="auto"/>
        <w:ind w:firstLine="2880" w:firstLineChars="1200"/>
        <w:jc w:val="both"/>
        <w:textAlignment w:val="baseline"/>
        <w:rPr>
          <w:rFonts w:ascii="宋体" w:hAnsi="宋体" w:eastAsia="宋体" w:cs="宋体"/>
          <w:bCs/>
          <w:kern w:val="2"/>
          <w:sz w:val="24"/>
          <w:szCs w:val="24"/>
        </w:rPr>
      </w:pPr>
    </w:p>
    <w:p w14:paraId="4175181C">
      <w:pPr>
        <w:adjustRightInd/>
        <w:snapToGrid/>
        <w:spacing w:after="0" w:line="360" w:lineRule="auto"/>
        <w:ind w:firstLine="3840" w:firstLineChars="16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 xml:space="preserve">          日期：   年   月     日</w:t>
      </w:r>
    </w:p>
    <w:p w14:paraId="3C4C20B9">
      <w:pPr>
        <w:adjustRightInd/>
        <w:snapToGrid/>
        <w:spacing w:after="0" w:line="360" w:lineRule="auto"/>
        <w:ind w:firstLine="3840" w:firstLineChars="1600"/>
        <w:jc w:val="both"/>
        <w:textAlignment w:val="baseline"/>
        <w:rPr>
          <w:rFonts w:ascii="宋体" w:hAnsi="宋体" w:eastAsia="宋体" w:cs="宋体"/>
          <w:bCs/>
          <w:kern w:val="2"/>
          <w:sz w:val="24"/>
          <w:szCs w:val="24"/>
        </w:rPr>
      </w:pPr>
    </w:p>
    <w:p w14:paraId="366989E6">
      <w:pPr>
        <w:rPr>
          <w:rFonts w:ascii="宋体" w:hAnsi="宋体" w:eastAsia="宋体" w:cs="宋体"/>
          <w:b/>
          <w:bCs/>
          <w:sz w:val="24"/>
          <w:szCs w:val="24"/>
        </w:rPr>
      </w:pPr>
      <w:bookmarkStart w:id="205" w:name="_Toc13529"/>
      <w:bookmarkStart w:id="206" w:name="_Toc26559"/>
      <w:bookmarkStart w:id="207" w:name="_Toc11759"/>
      <w:bookmarkStart w:id="208" w:name="_Toc2787"/>
      <w:r>
        <w:rPr>
          <w:rFonts w:hint="eastAsia" w:ascii="宋体" w:hAnsi="宋体" w:eastAsia="宋体" w:cs="宋体"/>
          <w:b/>
          <w:bCs/>
          <w:sz w:val="24"/>
          <w:szCs w:val="24"/>
        </w:rPr>
        <w:br w:type="page"/>
      </w:r>
    </w:p>
    <w:p w14:paraId="1527BACE">
      <w:pPr>
        <w:jc w:val="center"/>
        <w:outlineLvl w:val="1"/>
        <w:rPr>
          <w:rFonts w:ascii="宋体" w:hAnsi="宋体" w:eastAsia="宋体" w:cs="宋体"/>
          <w:b/>
          <w:kern w:val="2"/>
          <w:sz w:val="24"/>
          <w:szCs w:val="24"/>
        </w:rPr>
      </w:pPr>
      <w:bookmarkStart w:id="209" w:name="_Toc2928"/>
      <w:r>
        <w:rPr>
          <w:rFonts w:hint="eastAsia" w:ascii="宋体" w:hAnsi="宋体" w:eastAsia="宋体" w:cs="宋体"/>
          <w:b/>
          <w:bCs/>
          <w:sz w:val="24"/>
          <w:szCs w:val="24"/>
        </w:rPr>
        <w:t>附件3：</w:t>
      </w:r>
      <w:bookmarkEnd w:id="205"/>
      <w:bookmarkEnd w:id="206"/>
      <w:bookmarkEnd w:id="207"/>
      <w:bookmarkEnd w:id="208"/>
      <w:bookmarkStart w:id="210" w:name="_Toc16377"/>
      <w:bookmarkStart w:id="211" w:name="_Toc5466"/>
      <w:bookmarkStart w:id="212" w:name="_Toc24943"/>
      <w:bookmarkStart w:id="213" w:name="_Toc6165"/>
      <w:bookmarkStart w:id="214" w:name="_Toc4031_WPSOffice_Level2"/>
      <w:bookmarkStart w:id="215" w:name="_Toc2685_WPSOffice_Level2"/>
      <w:bookmarkStart w:id="216" w:name="_Toc10818_WPSOffice_Level2"/>
      <w:bookmarkStart w:id="217" w:name="_Toc15633"/>
      <w:r>
        <w:rPr>
          <w:rFonts w:hint="eastAsia" w:ascii="宋体" w:hAnsi="宋体" w:eastAsia="宋体" w:cs="宋体"/>
          <w:b/>
          <w:kern w:val="2"/>
          <w:sz w:val="24"/>
          <w:szCs w:val="24"/>
        </w:rPr>
        <w:t>法定代表人身份证明(法定代表人参加投标)</w:t>
      </w:r>
      <w:bookmarkEnd w:id="209"/>
      <w:bookmarkEnd w:id="210"/>
      <w:bookmarkEnd w:id="211"/>
      <w:bookmarkEnd w:id="212"/>
      <w:bookmarkEnd w:id="213"/>
      <w:bookmarkEnd w:id="214"/>
      <w:bookmarkEnd w:id="215"/>
      <w:bookmarkEnd w:id="216"/>
      <w:bookmarkEnd w:id="217"/>
    </w:p>
    <w:p w14:paraId="5438A2B7">
      <w:pPr>
        <w:adjustRightInd/>
        <w:snapToGrid/>
        <w:spacing w:after="0" w:line="360" w:lineRule="auto"/>
        <w:jc w:val="both"/>
        <w:textAlignment w:val="baseline"/>
        <w:rPr>
          <w:rFonts w:ascii="宋体" w:hAnsi="宋体" w:eastAsia="宋体" w:cs="宋体"/>
          <w:b/>
          <w:kern w:val="2"/>
          <w:sz w:val="24"/>
          <w:szCs w:val="24"/>
        </w:rPr>
      </w:pPr>
    </w:p>
    <w:p w14:paraId="2BD8D866">
      <w:pPr>
        <w:pStyle w:val="23"/>
        <w:framePr w:wrap="around" w:vAnchor="page" w:hAnchor="page" w:x="646" w:y="1141"/>
        <w:rPr>
          <w:rFonts w:cs="宋体"/>
          <w:sz w:val="24"/>
          <w:szCs w:val="24"/>
        </w:rPr>
      </w:pPr>
      <w:bookmarkStart w:id="218" w:name="_Toc21861"/>
      <w:bookmarkStart w:id="219" w:name="_Toc10536"/>
    </w:p>
    <w:p w14:paraId="1875AF32">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供应商名称：                       </w:t>
      </w:r>
    </w:p>
    <w:p w14:paraId="60D36088">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单位性质：                      </w:t>
      </w:r>
    </w:p>
    <w:p w14:paraId="794F144E">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地址：                           </w:t>
      </w:r>
    </w:p>
    <w:p w14:paraId="42D8FF9A">
      <w:pPr>
        <w:jc w:val="both"/>
        <w:rPr>
          <w:rFonts w:ascii="宋体" w:hAnsi="宋体" w:eastAsia="宋体" w:cs="宋体"/>
          <w:bCs/>
          <w:kern w:val="2"/>
          <w:sz w:val="24"/>
          <w:szCs w:val="24"/>
        </w:rPr>
      </w:pPr>
      <w:r>
        <w:rPr>
          <w:rFonts w:hint="eastAsia" w:ascii="宋体" w:hAnsi="宋体" w:eastAsia="宋体" w:cs="宋体"/>
          <w:bCs/>
          <w:kern w:val="2"/>
          <w:sz w:val="24"/>
          <w:szCs w:val="24"/>
        </w:rPr>
        <w:t>成立时间：         年    月     日</w:t>
      </w:r>
    </w:p>
    <w:p w14:paraId="57C98BC9">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经营期限：                        </w:t>
      </w:r>
    </w:p>
    <w:p w14:paraId="0F648257">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姓名：               性别：    年龄：      职务：       </w:t>
      </w:r>
    </w:p>
    <w:p w14:paraId="27F3B7DE">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身份证号码：                 联系电话：           </w:t>
      </w:r>
    </w:p>
    <w:p w14:paraId="710DD38C">
      <w:pPr>
        <w:jc w:val="both"/>
        <w:rPr>
          <w:rFonts w:ascii="宋体" w:hAnsi="宋体" w:eastAsia="宋体" w:cs="宋体"/>
          <w:bCs/>
          <w:kern w:val="2"/>
          <w:sz w:val="24"/>
          <w:szCs w:val="24"/>
        </w:rPr>
      </w:pPr>
      <w:r>
        <w:rPr>
          <w:rFonts w:hint="eastAsia" w:ascii="宋体" w:hAnsi="宋体" w:eastAsia="宋体" w:cs="宋体"/>
          <w:bCs/>
          <w:kern w:val="2"/>
          <w:sz w:val="24"/>
          <w:szCs w:val="24"/>
        </w:rPr>
        <w:t>系                                         （供应商名称）的法定代表人。</w:t>
      </w:r>
    </w:p>
    <w:p w14:paraId="144EA167">
      <w:pPr>
        <w:jc w:val="both"/>
        <w:rPr>
          <w:rFonts w:ascii="宋体" w:hAnsi="宋体" w:eastAsia="宋体" w:cs="宋体"/>
          <w:bCs/>
          <w:kern w:val="2"/>
          <w:sz w:val="24"/>
          <w:szCs w:val="24"/>
        </w:rPr>
      </w:pPr>
      <w:r>
        <w:rPr>
          <w:rFonts w:hint="eastAsia" w:ascii="宋体" w:hAnsi="宋体" w:eastAsia="宋体" w:cs="宋体"/>
          <w:bCs/>
          <w:kern w:val="2"/>
          <w:sz w:val="24"/>
          <w:szCs w:val="24"/>
        </w:rPr>
        <w:t>特此证明。</w:t>
      </w:r>
    </w:p>
    <w:p w14:paraId="3C2CC53C">
      <w:pPr>
        <w:jc w:val="both"/>
        <w:rPr>
          <w:rFonts w:ascii="宋体" w:hAnsi="宋体" w:eastAsia="宋体" w:cs="宋体"/>
          <w:bCs/>
          <w:kern w:val="2"/>
          <w:sz w:val="24"/>
          <w:szCs w:val="24"/>
        </w:rPr>
      </w:pPr>
      <w:r>
        <w:rPr>
          <w:rFonts w:hint="eastAsia" w:ascii="宋体" w:hAnsi="宋体" w:eastAsia="宋体" w:cs="宋体"/>
          <w:bCs/>
          <w:kern w:val="2"/>
          <w:sz w:val="24"/>
          <w:szCs w:val="24"/>
        </w:rPr>
        <w:t xml:space="preserve">供应商（加盖公章）：                                       </w:t>
      </w:r>
    </w:p>
    <w:p w14:paraId="1686E9C3">
      <w:pPr>
        <w:jc w:val="both"/>
        <w:rPr>
          <w:rFonts w:ascii="宋体" w:hAnsi="宋体" w:eastAsia="宋体" w:cs="宋体"/>
          <w:bCs/>
          <w:kern w:val="2"/>
          <w:sz w:val="24"/>
          <w:szCs w:val="24"/>
        </w:rPr>
      </w:pPr>
      <w:r>
        <w:rPr>
          <w:rFonts w:hint="eastAsia" w:ascii="宋体" w:hAnsi="宋体" w:eastAsia="宋体" w:cs="宋体"/>
          <w:bCs/>
          <w:kern w:val="2"/>
          <w:sz w:val="24"/>
          <w:szCs w:val="24"/>
        </w:rPr>
        <w:t>日期：         年     月      日</w:t>
      </w:r>
    </w:p>
    <w:p w14:paraId="1F74BC85">
      <w:pPr>
        <w:jc w:val="both"/>
        <w:rPr>
          <w:rFonts w:ascii="宋体" w:hAnsi="宋体" w:eastAsia="宋体" w:cs="宋体"/>
          <w:bCs/>
          <w:kern w:val="2"/>
          <w:sz w:val="24"/>
          <w:szCs w:val="24"/>
        </w:rPr>
      </w:pPr>
      <w:r>
        <w:rPr>
          <w:rFonts w:hint="eastAsia" w:ascii="宋体" w:hAnsi="宋体" w:eastAsia="宋体" w:cs="宋体"/>
          <w:bCs/>
          <w:kern w:val="2"/>
          <w:sz w:val="24"/>
          <w:szCs w:val="24"/>
        </w:rPr>
        <w:t>法定代表人身份证复印件：</w:t>
      </w:r>
    </w:p>
    <w:tbl>
      <w:tblPr>
        <w:tblStyle w:val="15"/>
        <w:tblpPr w:leftFromText="180" w:rightFromText="180" w:vertAnchor="text" w:horzAnchor="page" w:tblpX="1243" w:tblpY="22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5"/>
      </w:tblGrid>
      <w:tr w14:paraId="2E56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9795" w:type="dxa"/>
          </w:tcPr>
          <w:p w14:paraId="0AA055BF">
            <w:pPr>
              <w:rPr>
                <w:rFonts w:ascii="宋体" w:hAnsi="宋体" w:eastAsia="宋体" w:cs="宋体"/>
                <w:bCs/>
                <w:kern w:val="2"/>
                <w:sz w:val="24"/>
                <w:szCs w:val="24"/>
              </w:rPr>
            </w:pPr>
          </w:p>
          <w:p w14:paraId="179C2204">
            <w:pPr>
              <w:rPr>
                <w:rFonts w:ascii="宋体" w:hAnsi="宋体" w:eastAsia="宋体" w:cs="宋体"/>
                <w:bCs/>
                <w:kern w:val="2"/>
                <w:sz w:val="24"/>
                <w:szCs w:val="24"/>
              </w:rPr>
            </w:pPr>
          </w:p>
          <w:p w14:paraId="50EE4057">
            <w:pPr>
              <w:jc w:val="center"/>
              <w:rPr>
                <w:rFonts w:ascii="宋体" w:hAnsi="宋体" w:eastAsia="宋体" w:cs="宋体"/>
                <w:bCs/>
                <w:kern w:val="2"/>
                <w:sz w:val="24"/>
                <w:szCs w:val="24"/>
              </w:rPr>
            </w:pPr>
            <w:r>
              <w:rPr>
                <w:rFonts w:hint="eastAsia" w:ascii="宋体" w:hAnsi="宋体" w:eastAsia="宋体" w:cs="宋体"/>
                <w:bCs/>
                <w:kern w:val="2"/>
                <w:sz w:val="24"/>
                <w:szCs w:val="24"/>
              </w:rPr>
              <w:t>法定代表人身份证</w:t>
            </w:r>
          </w:p>
          <w:p w14:paraId="6DEF3DF5">
            <w:pPr>
              <w:jc w:val="center"/>
              <w:rPr>
                <w:rFonts w:ascii="宋体" w:hAnsi="宋体" w:eastAsia="宋体" w:cs="宋体"/>
                <w:bCs/>
                <w:kern w:val="2"/>
                <w:sz w:val="24"/>
                <w:szCs w:val="24"/>
              </w:rPr>
            </w:pPr>
            <w:r>
              <w:rPr>
                <w:rFonts w:hint="eastAsia" w:ascii="宋体" w:hAnsi="宋体" w:eastAsia="宋体" w:cs="宋体"/>
                <w:bCs/>
                <w:kern w:val="2"/>
                <w:sz w:val="24"/>
                <w:szCs w:val="24"/>
              </w:rPr>
              <w:t>复印件（正反面分别加盖公章）</w:t>
            </w:r>
          </w:p>
          <w:p w14:paraId="022F8114">
            <w:pPr>
              <w:rPr>
                <w:rFonts w:ascii="宋体" w:hAnsi="宋体" w:eastAsia="宋体" w:cs="宋体"/>
                <w:bCs/>
                <w:kern w:val="2"/>
                <w:sz w:val="24"/>
                <w:szCs w:val="24"/>
              </w:rPr>
            </w:pPr>
          </w:p>
          <w:p w14:paraId="78394FEB">
            <w:pPr>
              <w:rPr>
                <w:rFonts w:ascii="宋体" w:hAnsi="宋体" w:eastAsia="宋体" w:cs="宋体"/>
                <w:bCs/>
                <w:kern w:val="2"/>
                <w:sz w:val="24"/>
                <w:szCs w:val="24"/>
              </w:rPr>
            </w:pPr>
          </w:p>
          <w:p w14:paraId="25F3ED26">
            <w:pPr>
              <w:rPr>
                <w:rFonts w:ascii="宋体" w:hAnsi="宋体" w:eastAsia="宋体" w:cs="宋体"/>
                <w:bCs/>
                <w:kern w:val="2"/>
                <w:sz w:val="24"/>
                <w:szCs w:val="24"/>
              </w:rPr>
            </w:pPr>
          </w:p>
        </w:tc>
      </w:tr>
      <w:bookmarkEnd w:id="218"/>
      <w:bookmarkEnd w:id="219"/>
    </w:tbl>
    <w:p w14:paraId="01206B12">
      <w:pPr>
        <w:pStyle w:val="2"/>
        <w:ind w:firstLine="482"/>
        <w:rPr>
          <w:rFonts w:hAnsi="宋体" w:eastAsia="宋体" w:cs="宋体"/>
          <w:b/>
          <w:kern w:val="2"/>
          <w:sz w:val="24"/>
          <w:szCs w:val="24"/>
          <w:lang w:eastAsia="zh-CN"/>
        </w:rPr>
      </w:pPr>
    </w:p>
    <w:p w14:paraId="6C52A386">
      <w:pPr>
        <w:pStyle w:val="2"/>
        <w:ind w:firstLine="0" w:firstLineChars="0"/>
        <w:rPr>
          <w:rFonts w:hAnsi="宋体" w:eastAsia="宋体" w:cs="宋体"/>
          <w:sz w:val="24"/>
          <w:szCs w:val="24"/>
          <w:lang w:eastAsia="zh-CN"/>
        </w:rPr>
      </w:pPr>
    </w:p>
    <w:p w14:paraId="564EAD59">
      <w:pPr>
        <w:outlineLvl w:val="0"/>
        <w:rPr>
          <w:rFonts w:ascii="宋体" w:hAnsi="宋体" w:eastAsia="宋体" w:cs="宋体"/>
          <w:b/>
          <w:bCs/>
          <w:sz w:val="24"/>
          <w:szCs w:val="24"/>
        </w:rPr>
        <w:sectPr>
          <w:headerReference r:id="rId14" w:type="default"/>
          <w:pgSz w:w="11906" w:h="16838"/>
          <w:pgMar w:top="1440" w:right="1080" w:bottom="1440" w:left="1080" w:header="851" w:footer="992" w:gutter="0"/>
          <w:cols w:space="720" w:num="1"/>
          <w:docGrid w:linePitch="312" w:charSpace="0"/>
        </w:sectPr>
      </w:pPr>
      <w:bookmarkStart w:id="220" w:name="_Toc20408"/>
      <w:bookmarkStart w:id="221" w:name="_Toc27110"/>
      <w:bookmarkStart w:id="222" w:name="_Toc7412"/>
      <w:bookmarkStart w:id="223" w:name="_Toc18846"/>
    </w:p>
    <w:p w14:paraId="0CE7DD12">
      <w:pPr>
        <w:jc w:val="center"/>
        <w:outlineLvl w:val="1"/>
        <w:rPr>
          <w:rFonts w:ascii="宋体" w:hAnsi="宋体" w:eastAsia="宋体" w:cs="宋体"/>
          <w:b/>
          <w:kern w:val="2"/>
          <w:sz w:val="24"/>
          <w:szCs w:val="24"/>
        </w:rPr>
      </w:pPr>
      <w:bookmarkStart w:id="224" w:name="_Toc6116"/>
      <w:bookmarkStart w:id="225" w:name="_Toc21775"/>
      <w:r>
        <w:rPr>
          <w:rFonts w:hint="eastAsia" w:ascii="宋体" w:hAnsi="宋体" w:eastAsia="宋体" w:cs="宋体"/>
          <w:b/>
          <w:bCs/>
          <w:sz w:val="24"/>
          <w:szCs w:val="24"/>
        </w:rPr>
        <w:t>附件4：</w:t>
      </w:r>
      <w:bookmarkEnd w:id="220"/>
      <w:bookmarkEnd w:id="221"/>
      <w:bookmarkEnd w:id="222"/>
      <w:bookmarkEnd w:id="223"/>
      <w:bookmarkEnd w:id="224"/>
      <w:r>
        <w:rPr>
          <w:rFonts w:hint="eastAsia" w:ascii="宋体" w:hAnsi="宋体" w:eastAsia="宋体" w:cs="宋体"/>
          <w:b/>
          <w:kern w:val="2"/>
          <w:sz w:val="24"/>
          <w:szCs w:val="24"/>
        </w:rPr>
        <w:t>法人授权函（委托代理人参加投标时提供）</w:t>
      </w:r>
      <w:bookmarkEnd w:id="225"/>
    </w:p>
    <w:p w14:paraId="53CE8100">
      <w:pPr>
        <w:adjustRightInd/>
        <w:snapToGrid/>
        <w:spacing w:after="0" w:line="360" w:lineRule="auto"/>
        <w:jc w:val="center"/>
        <w:textAlignment w:val="baseline"/>
        <w:rPr>
          <w:rFonts w:ascii="宋体" w:hAnsi="宋体" w:eastAsia="宋体" w:cs="宋体"/>
          <w:kern w:val="2"/>
          <w:sz w:val="24"/>
          <w:szCs w:val="24"/>
        </w:rPr>
      </w:pPr>
    </w:p>
    <w:p w14:paraId="2EA57DFD">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本授权函声明：任命为我公司的授权代表人，参与招标编号为的项目</w:t>
      </w:r>
      <w:r>
        <w:rPr>
          <w:rFonts w:hint="eastAsia" w:ascii="宋体" w:hAnsi="宋体" w:eastAsia="宋体" w:cs="宋体"/>
          <w:bCs/>
          <w:sz w:val="24"/>
          <w:szCs w:val="24"/>
        </w:rPr>
        <w:t>的</w:t>
      </w:r>
      <w:r>
        <w:rPr>
          <w:rFonts w:hint="eastAsia" w:ascii="宋体" w:hAnsi="宋体" w:eastAsia="宋体" w:cs="宋体"/>
          <w:sz w:val="24"/>
          <w:szCs w:val="24"/>
        </w:rPr>
        <w:t>投标活动，以投标人的名义签署投标文件、进行合同谈判、签署合同和全权处理与之有关的一切事务。</w:t>
      </w:r>
    </w:p>
    <w:p w14:paraId="7E586342">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14:paraId="4037E67B">
      <w:pPr>
        <w:adjustRightInd/>
        <w:snapToGrid/>
        <w:spacing w:after="0" w:line="360" w:lineRule="auto"/>
        <w:textAlignment w:val="baseline"/>
        <w:rPr>
          <w:rFonts w:ascii="宋体" w:hAnsi="宋体" w:eastAsia="宋体" w:cs="宋体"/>
          <w:kern w:val="2"/>
          <w:sz w:val="24"/>
          <w:szCs w:val="24"/>
        </w:rPr>
      </w:pPr>
    </w:p>
    <w:p w14:paraId="4847173B">
      <w:pPr>
        <w:adjustRightInd/>
        <w:snapToGrid/>
        <w:spacing w:after="120" w:line="360" w:lineRule="auto"/>
        <w:ind w:firstLine="437"/>
        <w:jc w:val="both"/>
        <w:textAlignment w:val="baseline"/>
        <w:rPr>
          <w:rFonts w:ascii="宋体" w:hAnsi="宋体" w:eastAsia="宋体" w:cs="宋体"/>
          <w:b/>
          <w:kern w:val="2"/>
          <w:sz w:val="24"/>
          <w:szCs w:val="24"/>
          <w:u w:val="single"/>
        </w:rPr>
      </w:pPr>
      <w:r>
        <w:rPr>
          <w:rFonts w:hint="eastAsia" w:ascii="宋体" w:hAnsi="宋体" w:eastAsia="宋体" w:cs="宋体"/>
          <w:b/>
          <w:kern w:val="2"/>
          <w:sz w:val="24"/>
          <w:szCs w:val="24"/>
        </w:rPr>
        <w:t>投标人名称（公章）：</w:t>
      </w:r>
    </w:p>
    <w:p w14:paraId="40907F7B">
      <w:pPr>
        <w:adjustRightInd/>
        <w:snapToGrid/>
        <w:spacing w:after="120" w:line="360" w:lineRule="auto"/>
        <w:ind w:firstLine="437"/>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法定代表人签字：</w:t>
      </w:r>
    </w:p>
    <w:p w14:paraId="1E724808">
      <w:pPr>
        <w:adjustRightInd/>
        <w:snapToGrid/>
        <w:spacing w:after="120" w:line="360" w:lineRule="auto"/>
        <w:ind w:firstLine="437"/>
        <w:jc w:val="both"/>
        <w:textAlignment w:val="baseline"/>
        <w:rPr>
          <w:rFonts w:ascii="宋体" w:hAnsi="宋体" w:eastAsia="宋体" w:cs="宋体"/>
          <w:b/>
          <w:kern w:val="2"/>
          <w:sz w:val="24"/>
          <w:szCs w:val="24"/>
          <w:u w:val="single"/>
        </w:rPr>
      </w:pPr>
      <w:r>
        <w:rPr>
          <w:rFonts w:hint="eastAsia" w:ascii="宋体" w:hAnsi="宋体" w:eastAsia="宋体" w:cs="宋体"/>
          <w:b/>
          <w:kern w:val="2"/>
          <w:sz w:val="24"/>
          <w:szCs w:val="24"/>
        </w:rPr>
        <w:t>授权代表人签字：</w:t>
      </w:r>
    </w:p>
    <w:p w14:paraId="3FACCE9D">
      <w:pPr>
        <w:adjustRightInd/>
        <w:snapToGrid/>
        <w:spacing w:after="0" w:line="300" w:lineRule="auto"/>
        <w:ind w:firstLine="472" w:firstLineChars="196"/>
        <w:jc w:val="both"/>
        <w:textAlignment w:val="baseline"/>
        <w:rPr>
          <w:rFonts w:ascii="宋体" w:hAnsi="宋体" w:eastAsia="宋体" w:cs="宋体"/>
          <w:kern w:val="2"/>
          <w:sz w:val="24"/>
          <w:szCs w:val="24"/>
        </w:rPr>
      </w:pPr>
      <w:r>
        <w:rPr>
          <w:rFonts w:hint="eastAsia" w:ascii="宋体" w:hAnsi="宋体" w:eastAsia="宋体" w:cs="宋体"/>
          <w:b/>
          <w:kern w:val="2"/>
          <w:sz w:val="24"/>
          <w:szCs w:val="24"/>
        </w:rPr>
        <w:t>授权日期：年月日</w:t>
      </w:r>
    </w:p>
    <w:p w14:paraId="0D17F733">
      <w:pPr>
        <w:adjustRightInd/>
        <w:snapToGrid/>
        <w:spacing w:after="0" w:line="300" w:lineRule="auto"/>
        <w:jc w:val="right"/>
        <w:textAlignment w:val="baseline"/>
        <w:rPr>
          <w:rFonts w:ascii="宋体" w:hAnsi="宋体" w:eastAsia="宋体" w:cs="宋体"/>
          <w:kern w:val="2"/>
          <w:sz w:val="24"/>
          <w:szCs w:val="24"/>
        </w:rPr>
      </w:pPr>
    </w:p>
    <w:tbl>
      <w:tblPr>
        <w:tblStyle w:val="15"/>
        <w:tblW w:w="9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5"/>
        <w:gridCol w:w="4659"/>
      </w:tblGrid>
      <w:tr w14:paraId="1437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trPr>
        <w:tc>
          <w:tcPr>
            <w:tcW w:w="4545" w:type="dxa"/>
            <w:tcBorders>
              <w:top w:val="single" w:color="000000" w:sz="4" w:space="0"/>
              <w:left w:val="single" w:color="000000" w:sz="4" w:space="0"/>
              <w:bottom w:val="single" w:color="000000" w:sz="4" w:space="0"/>
              <w:right w:val="single" w:color="000000" w:sz="4" w:space="0"/>
            </w:tcBorders>
            <w:vAlign w:val="center"/>
          </w:tcPr>
          <w:p w14:paraId="7AA1B939">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法定代表人身份证</w:t>
            </w:r>
          </w:p>
          <w:p w14:paraId="6D865D12">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复印件（正面）</w:t>
            </w:r>
          </w:p>
        </w:tc>
        <w:tc>
          <w:tcPr>
            <w:tcW w:w="4659" w:type="dxa"/>
            <w:tcBorders>
              <w:top w:val="single" w:color="000000" w:sz="4" w:space="0"/>
              <w:left w:val="single" w:color="000000" w:sz="4" w:space="0"/>
              <w:bottom w:val="single" w:color="000000" w:sz="4" w:space="0"/>
              <w:right w:val="single" w:color="000000" w:sz="4" w:space="0"/>
            </w:tcBorders>
            <w:vAlign w:val="center"/>
          </w:tcPr>
          <w:p w14:paraId="1CEBFD5D">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法定代表人身份证</w:t>
            </w:r>
          </w:p>
          <w:p w14:paraId="129FEB0A">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复印件（反面）</w:t>
            </w:r>
          </w:p>
        </w:tc>
      </w:tr>
      <w:tr w14:paraId="5988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trPr>
        <w:tc>
          <w:tcPr>
            <w:tcW w:w="4545" w:type="dxa"/>
            <w:tcBorders>
              <w:top w:val="single" w:color="000000" w:sz="4" w:space="0"/>
              <w:left w:val="single" w:color="000000" w:sz="4" w:space="0"/>
              <w:bottom w:val="single" w:color="000000" w:sz="4" w:space="0"/>
              <w:right w:val="single" w:color="000000" w:sz="4" w:space="0"/>
            </w:tcBorders>
            <w:vAlign w:val="center"/>
          </w:tcPr>
          <w:p w14:paraId="332EBFA0">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授权委托人身份证</w:t>
            </w:r>
          </w:p>
          <w:p w14:paraId="164BF464">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复印件（正面）</w:t>
            </w:r>
          </w:p>
        </w:tc>
        <w:tc>
          <w:tcPr>
            <w:tcW w:w="4659" w:type="dxa"/>
            <w:tcBorders>
              <w:top w:val="single" w:color="000000" w:sz="4" w:space="0"/>
              <w:left w:val="single" w:color="000000" w:sz="4" w:space="0"/>
              <w:bottom w:val="single" w:color="000000" w:sz="4" w:space="0"/>
              <w:right w:val="single" w:color="000000" w:sz="4" w:space="0"/>
            </w:tcBorders>
            <w:vAlign w:val="center"/>
          </w:tcPr>
          <w:p w14:paraId="52638777">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授权委托人身份证</w:t>
            </w:r>
          </w:p>
          <w:p w14:paraId="02D9DCBF">
            <w:pPr>
              <w:adjustRightInd/>
              <w:snapToGrid/>
              <w:spacing w:after="12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复印件（反面）</w:t>
            </w:r>
          </w:p>
        </w:tc>
      </w:tr>
    </w:tbl>
    <w:p w14:paraId="199551B3">
      <w:pPr>
        <w:pStyle w:val="14"/>
        <w:ind w:left="0" w:leftChars="0" w:firstLine="0" w:firstLineChars="0"/>
        <w:rPr>
          <w:rFonts w:ascii="宋体" w:hAnsi="宋体" w:eastAsia="宋体" w:cs="宋体"/>
          <w:sz w:val="24"/>
          <w:szCs w:val="24"/>
        </w:rPr>
      </w:pPr>
    </w:p>
    <w:p w14:paraId="1C4BDE55">
      <w:pPr>
        <w:adjustRightInd/>
        <w:snapToGrid/>
        <w:spacing w:after="0" w:line="360" w:lineRule="auto"/>
        <w:textAlignment w:val="baseline"/>
        <w:rPr>
          <w:rFonts w:ascii="宋体" w:hAnsi="宋体" w:eastAsia="宋体" w:cs="宋体"/>
          <w:b/>
          <w:kern w:val="2"/>
          <w:sz w:val="24"/>
          <w:szCs w:val="24"/>
        </w:rPr>
      </w:pPr>
      <w:bookmarkStart w:id="226" w:name="_Toc22997"/>
    </w:p>
    <w:p w14:paraId="12B08CC2">
      <w:pPr>
        <w:outlineLvl w:val="0"/>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bookmarkStart w:id="227" w:name="_Toc23501"/>
      <w:bookmarkStart w:id="228" w:name="_Toc1011"/>
      <w:bookmarkStart w:id="229" w:name="_Toc15995"/>
    </w:p>
    <w:p w14:paraId="6437CF2A">
      <w:pPr>
        <w:jc w:val="center"/>
        <w:outlineLvl w:val="1"/>
        <w:rPr>
          <w:rFonts w:ascii="宋体" w:hAnsi="宋体" w:eastAsia="宋体" w:cs="宋体"/>
          <w:b/>
          <w:kern w:val="2"/>
          <w:sz w:val="24"/>
          <w:szCs w:val="24"/>
        </w:rPr>
      </w:pPr>
      <w:bookmarkStart w:id="230" w:name="_Toc26363"/>
      <w:bookmarkStart w:id="231" w:name="_Toc6664"/>
      <w:r>
        <w:rPr>
          <w:rFonts w:hint="eastAsia" w:ascii="宋体" w:hAnsi="宋体" w:eastAsia="宋体" w:cs="宋体"/>
          <w:b/>
          <w:bCs/>
          <w:sz w:val="24"/>
          <w:szCs w:val="24"/>
        </w:rPr>
        <w:t>附件5：</w:t>
      </w:r>
      <w:bookmarkEnd w:id="226"/>
      <w:bookmarkEnd w:id="227"/>
      <w:bookmarkEnd w:id="228"/>
      <w:bookmarkEnd w:id="229"/>
      <w:bookmarkEnd w:id="230"/>
      <w:r>
        <w:rPr>
          <w:rFonts w:hint="eastAsia" w:ascii="宋体" w:hAnsi="宋体" w:eastAsia="宋体" w:cs="宋体"/>
          <w:b/>
          <w:kern w:val="2"/>
          <w:sz w:val="24"/>
          <w:szCs w:val="24"/>
        </w:rPr>
        <w:t>投标报价表（开标一览表）</w:t>
      </w:r>
      <w:bookmarkEnd w:id="231"/>
    </w:p>
    <w:p w14:paraId="0014ECAF">
      <w:pPr>
        <w:pStyle w:val="3"/>
        <w:spacing w:before="66" w:line="600" w:lineRule="exact"/>
        <w:ind w:left="738"/>
        <w:rPr>
          <w:rFonts w:ascii="宋体" w:hAnsi="宋体" w:cs="宋体"/>
          <w:sz w:val="24"/>
          <w:u w:val="single"/>
        </w:rPr>
      </w:pPr>
      <w:r>
        <w:rPr>
          <w:rFonts w:hint="eastAsia" w:ascii="宋体" w:hAnsi="宋体" w:cs="宋体"/>
          <w:spacing w:val="-2"/>
          <w:sz w:val="24"/>
        </w:rPr>
        <w:t>项目名称：</w:t>
      </w:r>
      <w:r>
        <w:rPr>
          <w:rFonts w:hint="eastAsia" w:ascii="宋体" w:hAnsi="宋体" w:cs="宋体"/>
          <w:sz w:val="24"/>
          <w:u w:val="single"/>
        </w:rPr>
        <w:t xml:space="preserve">             </w:t>
      </w:r>
    </w:p>
    <w:p w14:paraId="0196CFF0">
      <w:pPr>
        <w:pStyle w:val="3"/>
        <w:tabs>
          <w:tab w:val="left" w:pos="7098"/>
        </w:tabs>
        <w:spacing w:before="67" w:line="600" w:lineRule="exact"/>
        <w:ind w:left="17" w:hanging="16" w:hangingChars="7"/>
        <w:jc w:val="center"/>
        <w:rPr>
          <w:rFonts w:ascii="宋体" w:hAnsi="宋体" w:cs="宋体"/>
          <w:sz w:val="24"/>
        </w:rPr>
      </w:pPr>
      <w:r>
        <w:rPr>
          <w:rFonts w:hint="eastAsia" w:ascii="宋体" w:hAnsi="宋体" w:cs="宋体"/>
          <w:sz w:val="24"/>
        </w:rPr>
        <w:t>招标文件编号：                                      价格单位：人民币/元</w:t>
      </w:r>
    </w:p>
    <w:p w14:paraId="7177BE88">
      <w:pPr>
        <w:pStyle w:val="2"/>
        <w:ind w:firstLine="0" w:firstLineChars="0"/>
        <w:rPr>
          <w:rFonts w:hAnsi="宋体" w:eastAsia="宋体" w:cs="宋体"/>
          <w:sz w:val="24"/>
          <w:szCs w:val="24"/>
          <w:lang w:eastAsia="zh-CN"/>
        </w:rPr>
      </w:pPr>
    </w:p>
    <w:tbl>
      <w:tblPr>
        <w:tblStyle w:val="24"/>
        <w:tblW w:w="9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9"/>
        <w:gridCol w:w="3202"/>
        <w:gridCol w:w="3806"/>
      </w:tblGrid>
      <w:tr w14:paraId="11EB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2699" w:type="dxa"/>
          </w:tcPr>
          <w:p w14:paraId="2B1DC362">
            <w:pPr>
              <w:spacing w:line="248" w:lineRule="auto"/>
              <w:rPr>
                <w:rFonts w:ascii="Arial"/>
                <w:sz w:val="21"/>
              </w:rPr>
            </w:pPr>
          </w:p>
          <w:p w14:paraId="4DF7A044">
            <w:pPr>
              <w:spacing w:before="68" w:line="221" w:lineRule="auto"/>
              <w:ind w:left="10" w:hanging="10"/>
              <w:jc w:val="center"/>
              <w:rPr>
                <w:rFonts w:ascii="宋体" w:hAnsi="宋体" w:eastAsia="宋体" w:cs="宋体"/>
                <w:sz w:val="21"/>
                <w:szCs w:val="21"/>
              </w:rPr>
            </w:pPr>
            <w:r>
              <w:rPr>
                <w:rFonts w:ascii="宋体" w:hAnsi="宋体" w:eastAsia="宋体" w:cs="宋体"/>
                <w:spacing w:val="32"/>
                <w:sz w:val="21"/>
                <w:szCs w:val="21"/>
              </w:rPr>
              <w:t>投</w:t>
            </w:r>
            <w:r>
              <w:rPr>
                <w:rFonts w:ascii="宋体" w:hAnsi="宋体" w:eastAsia="宋体" w:cs="宋体"/>
                <w:spacing w:val="29"/>
                <w:sz w:val="21"/>
                <w:szCs w:val="21"/>
              </w:rPr>
              <w:t>标人名称</w:t>
            </w:r>
          </w:p>
        </w:tc>
        <w:tc>
          <w:tcPr>
            <w:tcW w:w="3202" w:type="dxa"/>
          </w:tcPr>
          <w:p w14:paraId="1672853F">
            <w:pPr>
              <w:spacing w:line="247" w:lineRule="auto"/>
              <w:rPr>
                <w:rFonts w:ascii="Arial"/>
                <w:sz w:val="21"/>
              </w:rPr>
            </w:pPr>
          </w:p>
          <w:p w14:paraId="25C8C12A">
            <w:pPr>
              <w:spacing w:before="69" w:line="233" w:lineRule="auto"/>
              <w:jc w:val="center"/>
              <w:rPr>
                <w:rFonts w:ascii="宋体" w:hAnsi="宋体" w:eastAsia="宋体" w:cs="宋体"/>
                <w:sz w:val="21"/>
                <w:szCs w:val="21"/>
              </w:rPr>
            </w:pPr>
            <w:r>
              <w:rPr>
                <w:rFonts w:ascii="宋体" w:hAnsi="宋体" w:eastAsia="宋体" w:cs="宋体"/>
                <w:spacing w:val="15"/>
                <w:sz w:val="21"/>
                <w:szCs w:val="21"/>
              </w:rPr>
              <w:t>总</w:t>
            </w:r>
            <w:r>
              <w:rPr>
                <w:rFonts w:ascii="宋体" w:hAnsi="宋体" w:eastAsia="宋体" w:cs="宋体"/>
                <w:spacing w:val="11"/>
                <w:sz w:val="21"/>
                <w:szCs w:val="21"/>
              </w:rPr>
              <w:t>报价</w:t>
            </w:r>
          </w:p>
        </w:tc>
        <w:tc>
          <w:tcPr>
            <w:tcW w:w="3806" w:type="dxa"/>
          </w:tcPr>
          <w:p w14:paraId="4DE3E554">
            <w:pPr>
              <w:spacing w:line="247" w:lineRule="auto"/>
              <w:rPr>
                <w:rFonts w:ascii="Arial"/>
                <w:sz w:val="21"/>
              </w:rPr>
            </w:pPr>
          </w:p>
          <w:p w14:paraId="688AACEB">
            <w:pPr>
              <w:spacing w:before="68" w:line="221" w:lineRule="auto"/>
              <w:jc w:val="center"/>
              <w:rPr>
                <w:rFonts w:ascii="宋体" w:hAnsi="宋体" w:eastAsia="宋体" w:cs="宋体"/>
                <w:sz w:val="21"/>
                <w:szCs w:val="21"/>
              </w:rPr>
            </w:pPr>
            <w:r>
              <w:rPr>
                <w:rFonts w:ascii="宋体" w:hAnsi="宋体" w:eastAsia="宋体" w:cs="宋体"/>
                <w:spacing w:val="-2"/>
                <w:sz w:val="21"/>
                <w:szCs w:val="21"/>
              </w:rPr>
              <w:t>服</w:t>
            </w:r>
            <w:r>
              <w:rPr>
                <w:rFonts w:ascii="宋体" w:hAnsi="宋体" w:eastAsia="宋体" w:cs="宋体"/>
                <w:spacing w:val="-1"/>
                <w:sz w:val="21"/>
                <w:szCs w:val="21"/>
              </w:rPr>
              <w:t>务期</w:t>
            </w:r>
          </w:p>
        </w:tc>
      </w:tr>
      <w:tr w14:paraId="19BE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2699" w:type="dxa"/>
          </w:tcPr>
          <w:p w14:paraId="03BF30C6">
            <w:pPr>
              <w:rPr>
                <w:rFonts w:ascii="Arial"/>
                <w:sz w:val="21"/>
              </w:rPr>
            </w:pPr>
          </w:p>
        </w:tc>
        <w:tc>
          <w:tcPr>
            <w:tcW w:w="3202" w:type="dxa"/>
          </w:tcPr>
          <w:p w14:paraId="3E88E3EC">
            <w:pPr>
              <w:spacing w:line="462" w:lineRule="auto"/>
              <w:rPr>
                <w:rFonts w:ascii="Arial"/>
                <w:sz w:val="21"/>
              </w:rPr>
            </w:pPr>
          </w:p>
          <w:p w14:paraId="4A950D27">
            <w:pPr>
              <w:spacing w:before="78" w:line="239" w:lineRule="auto"/>
              <w:ind w:left="128"/>
              <w:rPr>
                <w:rFonts w:ascii="宋体" w:hAnsi="宋体" w:eastAsia="宋体" w:cs="宋体"/>
                <w:sz w:val="24"/>
                <w:szCs w:val="24"/>
              </w:rPr>
            </w:pPr>
            <w:r>
              <w:rPr>
                <w:rFonts w:ascii="宋体" w:hAnsi="宋体" w:eastAsia="宋体" w:cs="宋体"/>
                <w:sz w:val="24"/>
                <w:szCs w:val="24"/>
              </w:rPr>
              <w:t>￥</w:t>
            </w:r>
          </w:p>
        </w:tc>
        <w:tc>
          <w:tcPr>
            <w:tcW w:w="3806" w:type="dxa"/>
          </w:tcPr>
          <w:p w14:paraId="748696A5">
            <w:pPr>
              <w:rPr>
                <w:rFonts w:ascii="Arial"/>
                <w:sz w:val="21"/>
              </w:rPr>
            </w:pPr>
          </w:p>
        </w:tc>
      </w:tr>
      <w:tr w14:paraId="64865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9707" w:type="dxa"/>
            <w:gridSpan w:val="3"/>
          </w:tcPr>
          <w:p w14:paraId="7D0A354B">
            <w:pPr>
              <w:spacing w:line="244" w:lineRule="auto"/>
              <w:rPr>
                <w:rFonts w:ascii="Arial"/>
                <w:sz w:val="21"/>
              </w:rPr>
            </w:pPr>
          </w:p>
          <w:p w14:paraId="6DFFD5E4">
            <w:pPr>
              <w:spacing w:before="69" w:line="220" w:lineRule="auto"/>
              <w:ind w:left="542"/>
              <w:rPr>
                <w:rFonts w:ascii="宋体" w:hAnsi="宋体" w:eastAsia="宋体" w:cs="宋体"/>
                <w:sz w:val="21"/>
                <w:szCs w:val="21"/>
              </w:rPr>
            </w:pPr>
            <w:r>
              <w:rPr>
                <w:rFonts w:ascii="宋体" w:hAnsi="宋体" w:eastAsia="宋体" w:cs="宋体"/>
                <w:spacing w:val="31"/>
                <w:sz w:val="21"/>
                <w:szCs w:val="21"/>
              </w:rPr>
              <w:t>(</w:t>
            </w:r>
            <w:r>
              <w:rPr>
                <w:rFonts w:ascii="宋体" w:hAnsi="宋体" w:eastAsia="宋体" w:cs="宋体"/>
                <w:spacing w:val="28"/>
                <w:sz w:val="21"/>
                <w:szCs w:val="21"/>
              </w:rPr>
              <w:t>大写)人民币</w:t>
            </w:r>
          </w:p>
        </w:tc>
      </w:tr>
    </w:tbl>
    <w:p w14:paraId="40170972">
      <w:pPr>
        <w:adjustRightInd/>
        <w:snapToGrid/>
        <w:spacing w:after="0" w:line="360" w:lineRule="auto"/>
        <w:jc w:val="both"/>
        <w:textAlignment w:val="baseline"/>
        <w:rPr>
          <w:rFonts w:ascii="宋体" w:hAnsi="宋体" w:eastAsia="宋体" w:cs="宋体"/>
          <w:b/>
          <w:kern w:val="2"/>
          <w:sz w:val="24"/>
          <w:szCs w:val="24"/>
          <w:lang w:bidi="zh-CN"/>
        </w:rPr>
      </w:pPr>
    </w:p>
    <w:p w14:paraId="179FDA23">
      <w:pPr>
        <w:adjustRightInd/>
        <w:snapToGrid/>
        <w:spacing w:after="0" w:line="360" w:lineRule="auto"/>
        <w:ind w:firstLine="3600" w:firstLineChars="1500"/>
        <w:jc w:val="both"/>
        <w:textAlignment w:val="baseline"/>
        <w:rPr>
          <w:rFonts w:ascii="宋体" w:hAnsi="宋体" w:eastAsia="宋体" w:cs="宋体"/>
          <w:kern w:val="2"/>
          <w:sz w:val="24"/>
          <w:szCs w:val="24"/>
        </w:rPr>
      </w:pPr>
    </w:p>
    <w:p w14:paraId="5A6299E2">
      <w:pPr>
        <w:pStyle w:val="3"/>
      </w:pPr>
    </w:p>
    <w:p w14:paraId="76B3FC68">
      <w:pPr>
        <w:adjustRightInd/>
        <w:snapToGrid/>
        <w:spacing w:after="0" w:line="360" w:lineRule="auto"/>
        <w:ind w:firstLine="3600" w:firstLineChars="15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投标人名称（公章）：</w:t>
      </w:r>
    </w:p>
    <w:p w14:paraId="4C30A223">
      <w:pPr>
        <w:adjustRightInd/>
        <w:snapToGrid/>
        <w:spacing w:after="0" w:line="360" w:lineRule="auto"/>
        <w:ind w:firstLine="3360" w:firstLineChars="14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法定代表人或法人授权代表（签字）：</w:t>
      </w:r>
    </w:p>
    <w:p w14:paraId="4C8B0DBE">
      <w:pPr>
        <w:adjustRightInd/>
        <w:snapToGrid/>
        <w:spacing w:after="0" w:line="360" w:lineRule="auto"/>
        <w:ind w:firstLine="4080" w:firstLineChars="1700"/>
        <w:textAlignment w:val="baseline"/>
        <w:rPr>
          <w:rFonts w:ascii="宋体" w:hAnsi="宋体" w:eastAsia="宋体" w:cs="宋体"/>
          <w:kern w:val="2"/>
          <w:sz w:val="24"/>
          <w:szCs w:val="24"/>
        </w:rPr>
      </w:pPr>
      <w:r>
        <w:rPr>
          <w:rFonts w:hint="eastAsia" w:ascii="宋体" w:hAnsi="宋体" w:eastAsia="宋体" w:cs="宋体"/>
          <w:kern w:val="2"/>
          <w:sz w:val="24"/>
          <w:szCs w:val="24"/>
        </w:rPr>
        <w:t>日期：  年  月   日</w:t>
      </w:r>
    </w:p>
    <w:p w14:paraId="6E72399C">
      <w:pPr>
        <w:pStyle w:val="2"/>
        <w:ind w:firstLine="480"/>
        <w:rPr>
          <w:rFonts w:hAnsi="宋体" w:eastAsia="宋体" w:cs="宋体"/>
          <w:kern w:val="2"/>
          <w:sz w:val="24"/>
          <w:szCs w:val="24"/>
          <w:lang w:eastAsia="zh-CN"/>
        </w:rPr>
      </w:pPr>
    </w:p>
    <w:p w14:paraId="220FA129">
      <w:pPr>
        <w:outlineLvl w:val="0"/>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p>
    <w:p w14:paraId="4E7B5DED">
      <w:pPr>
        <w:jc w:val="center"/>
        <w:outlineLvl w:val="1"/>
        <w:rPr>
          <w:rFonts w:ascii="宋体" w:hAnsi="宋体" w:eastAsia="宋体" w:cs="宋体"/>
          <w:b/>
          <w:bCs/>
          <w:sz w:val="24"/>
          <w:szCs w:val="24"/>
        </w:rPr>
      </w:pPr>
      <w:bookmarkStart w:id="232" w:name="_Toc20816"/>
      <w:bookmarkStart w:id="233" w:name="_Toc3727"/>
      <w:r>
        <w:rPr>
          <w:rFonts w:hint="eastAsia" w:ascii="宋体" w:hAnsi="宋体" w:eastAsia="宋体" w:cs="宋体"/>
          <w:b/>
          <w:bCs/>
          <w:sz w:val="24"/>
          <w:szCs w:val="24"/>
        </w:rPr>
        <w:t>附件6：</w:t>
      </w:r>
      <w:bookmarkEnd w:id="232"/>
      <w:bookmarkStart w:id="234" w:name="_Toc27044"/>
      <w:r>
        <w:rPr>
          <w:rFonts w:hint="eastAsia" w:ascii="宋体" w:hAnsi="宋体" w:eastAsia="宋体" w:cs="宋体"/>
          <w:b/>
          <w:bCs/>
          <w:sz w:val="24"/>
          <w:szCs w:val="24"/>
        </w:rPr>
        <w:t>投标报价明细表</w:t>
      </w:r>
      <w:bookmarkEnd w:id="233"/>
      <w:bookmarkEnd w:id="234"/>
    </w:p>
    <w:p w14:paraId="447363FB">
      <w:pPr>
        <w:pStyle w:val="3"/>
        <w:spacing w:before="66" w:line="600" w:lineRule="exact"/>
        <w:ind w:left="738"/>
        <w:rPr>
          <w:rFonts w:ascii="宋体" w:hAnsi="宋体" w:cs="宋体"/>
          <w:spacing w:val="-1"/>
          <w:sz w:val="24"/>
        </w:rPr>
      </w:pPr>
      <w:r>
        <w:rPr>
          <w:rFonts w:hint="eastAsia" w:ascii="宋体" w:hAnsi="宋体" w:cs="宋体"/>
          <w:spacing w:val="-1"/>
          <w:sz w:val="24"/>
        </w:rPr>
        <w:t>项目名称：</w:t>
      </w:r>
    </w:p>
    <w:p w14:paraId="0631CFCC">
      <w:pPr>
        <w:pStyle w:val="3"/>
        <w:spacing w:before="66" w:line="600" w:lineRule="exact"/>
        <w:ind w:left="738"/>
        <w:rPr>
          <w:rFonts w:ascii="宋体" w:hAnsi="宋体" w:cs="宋体"/>
          <w:sz w:val="24"/>
        </w:rPr>
      </w:pPr>
      <w:r>
        <w:rPr>
          <w:rFonts w:hint="eastAsia" w:ascii="宋体" w:hAnsi="宋体" w:cs="宋体"/>
          <w:sz w:val="24"/>
        </w:rPr>
        <w:t>招标文件编号：</w:t>
      </w:r>
    </w:p>
    <w:tbl>
      <w:tblPr>
        <w:tblStyle w:val="24"/>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617"/>
        <w:gridCol w:w="1015"/>
        <w:gridCol w:w="935"/>
        <w:gridCol w:w="1000"/>
        <w:gridCol w:w="1150"/>
        <w:gridCol w:w="1484"/>
        <w:gridCol w:w="1877"/>
      </w:tblGrid>
      <w:tr w14:paraId="135CB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707" w:type="dxa"/>
          </w:tcPr>
          <w:p w14:paraId="05C744F2">
            <w:pPr>
              <w:spacing w:line="288" w:lineRule="auto"/>
              <w:rPr>
                <w:rFonts w:ascii="Arial"/>
                <w:sz w:val="21"/>
              </w:rPr>
            </w:pPr>
          </w:p>
          <w:p w14:paraId="16526E48">
            <w:pPr>
              <w:spacing w:before="68" w:line="222" w:lineRule="auto"/>
              <w:ind w:left="148"/>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617" w:type="dxa"/>
          </w:tcPr>
          <w:p w14:paraId="1583FFF8">
            <w:pPr>
              <w:spacing w:line="287" w:lineRule="auto"/>
              <w:rPr>
                <w:rFonts w:ascii="Arial"/>
                <w:sz w:val="21"/>
              </w:rPr>
            </w:pPr>
          </w:p>
          <w:p w14:paraId="3282AA15">
            <w:pPr>
              <w:spacing w:before="69" w:line="221" w:lineRule="auto"/>
              <w:ind w:left="284"/>
              <w:rPr>
                <w:rFonts w:ascii="宋体" w:hAnsi="宋体" w:eastAsia="宋体" w:cs="宋体"/>
                <w:sz w:val="21"/>
                <w:szCs w:val="21"/>
              </w:rPr>
            </w:pPr>
            <w:r>
              <w:rPr>
                <w:rFonts w:ascii="宋体" w:hAnsi="宋体" w:eastAsia="宋体" w:cs="宋体"/>
                <w:spacing w:val="-2"/>
                <w:sz w:val="21"/>
                <w:szCs w:val="21"/>
              </w:rPr>
              <w:t>服</w:t>
            </w:r>
            <w:r>
              <w:rPr>
                <w:rFonts w:ascii="宋体" w:hAnsi="宋体" w:eastAsia="宋体" w:cs="宋体"/>
                <w:spacing w:val="-1"/>
                <w:sz w:val="21"/>
                <w:szCs w:val="21"/>
              </w:rPr>
              <w:t>务名称</w:t>
            </w:r>
          </w:p>
        </w:tc>
        <w:tc>
          <w:tcPr>
            <w:tcW w:w="1015" w:type="dxa"/>
          </w:tcPr>
          <w:p w14:paraId="6B542E93">
            <w:pPr>
              <w:spacing w:line="287" w:lineRule="auto"/>
              <w:rPr>
                <w:rFonts w:ascii="Arial"/>
                <w:sz w:val="21"/>
              </w:rPr>
            </w:pPr>
          </w:p>
          <w:p w14:paraId="593D04D0">
            <w:pPr>
              <w:spacing w:before="69" w:line="221" w:lineRule="auto"/>
              <w:ind w:left="431"/>
              <w:rPr>
                <w:rFonts w:ascii="宋体" w:hAnsi="宋体" w:eastAsia="宋体" w:cs="宋体"/>
                <w:sz w:val="21"/>
                <w:szCs w:val="21"/>
              </w:rPr>
            </w:pPr>
            <w:r>
              <w:rPr>
                <w:rFonts w:ascii="宋体" w:hAnsi="宋体" w:eastAsia="宋体" w:cs="宋体"/>
                <w:spacing w:val="-8"/>
                <w:sz w:val="21"/>
                <w:szCs w:val="21"/>
              </w:rPr>
              <w:t>内容</w:t>
            </w:r>
          </w:p>
        </w:tc>
        <w:tc>
          <w:tcPr>
            <w:tcW w:w="935" w:type="dxa"/>
          </w:tcPr>
          <w:p w14:paraId="1294015B">
            <w:pPr>
              <w:spacing w:line="288" w:lineRule="auto"/>
              <w:rPr>
                <w:rFonts w:ascii="Arial"/>
                <w:sz w:val="21"/>
              </w:rPr>
            </w:pPr>
          </w:p>
          <w:p w14:paraId="49A50BC7">
            <w:pPr>
              <w:spacing w:before="68" w:line="221" w:lineRule="auto"/>
              <w:ind w:left="201"/>
              <w:rPr>
                <w:rFonts w:ascii="宋体" w:hAnsi="宋体" w:eastAsia="宋体" w:cs="宋体"/>
                <w:sz w:val="21"/>
                <w:szCs w:val="21"/>
              </w:rPr>
            </w:pPr>
            <w:r>
              <w:rPr>
                <w:rFonts w:ascii="宋体" w:hAnsi="宋体" w:eastAsia="宋体" w:cs="宋体"/>
                <w:spacing w:val="-2"/>
                <w:sz w:val="21"/>
                <w:szCs w:val="21"/>
              </w:rPr>
              <w:t>单位</w:t>
            </w:r>
          </w:p>
        </w:tc>
        <w:tc>
          <w:tcPr>
            <w:tcW w:w="1000" w:type="dxa"/>
          </w:tcPr>
          <w:p w14:paraId="2721CBB2">
            <w:pPr>
              <w:spacing w:line="287" w:lineRule="auto"/>
              <w:rPr>
                <w:rFonts w:ascii="Arial"/>
                <w:sz w:val="21"/>
              </w:rPr>
            </w:pPr>
          </w:p>
          <w:p w14:paraId="24A0F930">
            <w:pPr>
              <w:spacing w:before="69" w:line="221" w:lineRule="auto"/>
              <w:ind w:left="151"/>
              <w:rPr>
                <w:rFonts w:ascii="宋体" w:hAnsi="宋体" w:eastAsia="宋体" w:cs="宋体"/>
                <w:sz w:val="21"/>
                <w:szCs w:val="21"/>
              </w:rPr>
            </w:pPr>
            <w:r>
              <w:rPr>
                <w:rFonts w:ascii="宋体" w:hAnsi="宋体" w:eastAsia="宋体" w:cs="宋体"/>
                <w:spacing w:val="-2"/>
                <w:sz w:val="21"/>
                <w:szCs w:val="21"/>
              </w:rPr>
              <w:t>数量</w:t>
            </w:r>
          </w:p>
        </w:tc>
        <w:tc>
          <w:tcPr>
            <w:tcW w:w="1150" w:type="dxa"/>
          </w:tcPr>
          <w:p w14:paraId="3A29F9CF">
            <w:pPr>
              <w:spacing w:line="288" w:lineRule="auto"/>
              <w:rPr>
                <w:rFonts w:ascii="Arial"/>
                <w:sz w:val="21"/>
              </w:rPr>
            </w:pPr>
          </w:p>
          <w:p w14:paraId="2E468597">
            <w:pPr>
              <w:spacing w:before="68" w:line="219" w:lineRule="auto"/>
              <w:ind w:left="372"/>
              <w:rPr>
                <w:rFonts w:ascii="宋体" w:hAnsi="宋体" w:eastAsia="宋体" w:cs="宋体"/>
                <w:sz w:val="21"/>
                <w:szCs w:val="21"/>
              </w:rPr>
            </w:pPr>
            <w:r>
              <w:rPr>
                <w:rFonts w:ascii="宋体" w:hAnsi="宋体" w:eastAsia="宋体" w:cs="宋体"/>
                <w:spacing w:val="-2"/>
                <w:sz w:val="21"/>
                <w:szCs w:val="21"/>
              </w:rPr>
              <w:t>单价</w:t>
            </w:r>
          </w:p>
        </w:tc>
        <w:tc>
          <w:tcPr>
            <w:tcW w:w="1484" w:type="dxa"/>
          </w:tcPr>
          <w:p w14:paraId="42D67FCD">
            <w:pPr>
              <w:spacing w:line="288" w:lineRule="auto"/>
              <w:rPr>
                <w:rFonts w:ascii="Arial"/>
                <w:sz w:val="21"/>
              </w:rPr>
            </w:pPr>
          </w:p>
          <w:p w14:paraId="5E918306">
            <w:pPr>
              <w:spacing w:before="68" w:line="219" w:lineRule="auto"/>
              <w:ind w:left="211"/>
              <w:rPr>
                <w:rFonts w:ascii="宋体" w:hAnsi="宋体" w:eastAsia="宋体" w:cs="宋体"/>
                <w:sz w:val="21"/>
                <w:szCs w:val="21"/>
              </w:rPr>
            </w:pPr>
            <w:r>
              <w:rPr>
                <w:rFonts w:ascii="宋体" w:hAnsi="宋体" w:eastAsia="宋体" w:cs="宋体"/>
                <w:spacing w:val="-2"/>
                <w:sz w:val="21"/>
                <w:szCs w:val="21"/>
              </w:rPr>
              <w:t>金额</w:t>
            </w:r>
          </w:p>
        </w:tc>
        <w:tc>
          <w:tcPr>
            <w:tcW w:w="1877" w:type="dxa"/>
          </w:tcPr>
          <w:p w14:paraId="3D2CD98A">
            <w:pPr>
              <w:spacing w:line="288" w:lineRule="auto"/>
              <w:rPr>
                <w:rFonts w:ascii="Arial"/>
                <w:sz w:val="21"/>
              </w:rPr>
            </w:pPr>
          </w:p>
          <w:p w14:paraId="2FB9843A">
            <w:pPr>
              <w:spacing w:before="68" w:line="222" w:lineRule="auto"/>
              <w:ind w:left="640"/>
              <w:rPr>
                <w:rFonts w:ascii="宋体" w:hAnsi="宋体" w:eastAsia="宋体" w:cs="宋体"/>
                <w:sz w:val="21"/>
                <w:szCs w:val="21"/>
              </w:rPr>
            </w:pPr>
            <w:r>
              <w:rPr>
                <w:rFonts w:ascii="宋体" w:hAnsi="宋体" w:eastAsia="宋体" w:cs="宋体"/>
                <w:spacing w:val="-3"/>
                <w:sz w:val="21"/>
                <w:szCs w:val="21"/>
              </w:rPr>
              <w:t>备</w:t>
            </w:r>
            <w:r>
              <w:rPr>
                <w:rFonts w:ascii="宋体" w:hAnsi="宋体" w:eastAsia="宋体" w:cs="宋体"/>
                <w:spacing w:val="-2"/>
                <w:sz w:val="21"/>
                <w:szCs w:val="21"/>
              </w:rPr>
              <w:t>注</w:t>
            </w:r>
          </w:p>
        </w:tc>
      </w:tr>
      <w:tr w14:paraId="1DFC4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7" w:type="dxa"/>
          </w:tcPr>
          <w:p w14:paraId="04ACA44D">
            <w:pPr>
              <w:spacing w:before="258" w:line="186" w:lineRule="auto"/>
              <w:ind w:left="321"/>
              <w:rPr>
                <w:rFonts w:ascii="宋体" w:hAnsi="宋体" w:eastAsia="宋体" w:cs="宋体"/>
                <w:sz w:val="21"/>
                <w:szCs w:val="21"/>
              </w:rPr>
            </w:pPr>
            <w:r>
              <w:rPr>
                <w:rFonts w:ascii="宋体" w:hAnsi="宋体" w:eastAsia="宋体" w:cs="宋体"/>
                <w:sz w:val="21"/>
                <w:szCs w:val="21"/>
              </w:rPr>
              <w:t>1</w:t>
            </w:r>
          </w:p>
        </w:tc>
        <w:tc>
          <w:tcPr>
            <w:tcW w:w="1617" w:type="dxa"/>
          </w:tcPr>
          <w:p w14:paraId="10787A7C">
            <w:pPr>
              <w:rPr>
                <w:rFonts w:ascii="Arial"/>
                <w:sz w:val="21"/>
              </w:rPr>
            </w:pPr>
          </w:p>
        </w:tc>
        <w:tc>
          <w:tcPr>
            <w:tcW w:w="1015" w:type="dxa"/>
          </w:tcPr>
          <w:p w14:paraId="05DB4D78">
            <w:pPr>
              <w:rPr>
                <w:rFonts w:ascii="Arial"/>
                <w:sz w:val="21"/>
              </w:rPr>
            </w:pPr>
          </w:p>
        </w:tc>
        <w:tc>
          <w:tcPr>
            <w:tcW w:w="935" w:type="dxa"/>
          </w:tcPr>
          <w:p w14:paraId="45EB2EBF">
            <w:pPr>
              <w:rPr>
                <w:rFonts w:ascii="Arial"/>
                <w:sz w:val="21"/>
              </w:rPr>
            </w:pPr>
          </w:p>
        </w:tc>
        <w:tc>
          <w:tcPr>
            <w:tcW w:w="1000" w:type="dxa"/>
          </w:tcPr>
          <w:p w14:paraId="29CE6E3B">
            <w:pPr>
              <w:rPr>
                <w:rFonts w:ascii="Arial"/>
                <w:sz w:val="21"/>
              </w:rPr>
            </w:pPr>
          </w:p>
        </w:tc>
        <w:tc>
          <w:tcPr>
            <w:tcW w:w="1150" w:type="dxa"/>
          </w:tcPr>
          <w:p w14:paraId="3F0B8136">
            <w:pPr>
              <w:rPr>
                <w:rFonts w:ascii="Arial"/>
                <w:sz w:val="21"/>
              </w:rPr>
            </w:pPr>
          </w:p>
        </w:tc>
        <w:tc>
          <w:tcPr>
            <w:tcW w:w="1484" w:type="dxa"/>
          </w:tcPr>
          <w:p w14:paraId="58E0AD9A">
            <w:pPr>
              <w:rPr>
                <w:rFonts w:ascii="Arial"/>
                <w:sz w:val="21"/>
              </w:rPr>
            </w:pPr>
          </w:p>
        </w:tc>
        <w:tc>
          <w:tcPr>
            <w:tcW w:w="1877" w:type="dxa"/>
          </w:tcPr>
          <w:p w14:paraId="02DE29AE">
            <w:pPr>
              <w:rPr>
                <w:rFonts w:ascii="Arial"/>
                <w:sz w:val="21"/>
              </w:rPr>
            </w:pPr>
          </w:p>
        </w:tc>
      </w:tr>
      <w:tr w14:paraId="6545E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7" w:type="dxa"/>
          </w:tcPr>
          <w:p w14:paraId="3503546D">
            <w:pPr>
              <w:spacing w:before="248" w:line="185" w:lineRule="auto"/>
              <w:ind w:left="308"/>
              <w:rPr>
                <w:rFonts w:ascii="宋体" w:hAnsi="宋体" w:eastAsia="宋体" w:cs="宋体"/>
                <w:sz w:val="21"/>
                <w:szCs w:val="21"/>
              </w:rPr>
            </w:pPr>
            <w:r>
              <w:rPr>
                <w:rFonts w:ascii="宋体" w:hAnsi="宋体" w:eastAsia="宋体" w:cs="宋体"/>
                <w:sz w:val="21"/>
                <w:szCs w:val="21"/>
              </w:rPr>
              <w:t>2</w:t>
            </w:r>
          </w:p>
        </w:tc>
        <w:tc>
          <w:tcPr>
            <w:tcW w:w="1617" w:type="dxa"/>
          </w:tcPr>
          <w:p w14:paraId="7DD78BDB">
            <w:pPr>
              <w:rPr>
                <w:rFonts w:ascii="Arial"/>
                <w:sz w:val="21"/>
              </w:rPr>
            </w:pPr>
          </w:p>
        </w:tc>
        <w:tc>
          <w:tcPr>
            <w:tcW w:w="1015" w:type="dxa"/>
          </w:tcPr>
          <w:p w14:paraId="7DD73B60">
            <w:pPr>
              <w:rPr>
                <w:rFonts w:ascii="Arial"/>
                <w:sz w:val="21"/>
              </w:rPr>
            </w:pPr>
          </w:p>
        </w:tc>
        <w:tc>
          <w:tcPr>
            <w:tcW w:w="935" w:type="dxa"/>
          </w:tcPr>
          <w:p w14:paraId="7B8B83F5">
            <w:pPr>
              <w:rPr>
                <w:rFonts w:ascii="Arial"/>
                <w:sz w:val="21"/>
              </w:rPr>
            </w:pPr>
          </w:p>
        </w:tc>
        <w:tc>
          <w:tcPr>
            <w:tcW w:w="1000" w:type="dxa"/>
          </w:tcPr>
          <w:p w14:paraId="5376EC74">
            <w:pPr>
              <w:rPr>
                <w:rFonts w:ascii="Arial"/>
                <w:sz w:val="21"/>
              </w:rPr>
            </w:pPr>
          </w:p>
        </w:tc>
        <w:tc>
          <w:tcPr>
            <w:tcW w:w="1150" w:type="dxa"/>
          </w:tcPr>
          <w:p w14:paraId="50C533D9">
            <w:pPr>
              <w:rPr>
                <w:rFonts w:ascii="Arial"/>
                <w:sz w:val="21"/>
              </w:rPr>
            </w:pPr>
          </w:p>
        </w:tc>
        <w:tc>
          <w:tcPr>
            <w:tcW w:w="1484" w:type="dxa"/>
          </w:tcPr>
          <w:p w14:paraId="4C52AF97">
            <w:pPr>
              <w:rPr>
                <w:rFonts w:ascii="Arial"/>
                <w:sz w:val="21"/>
              </w:rPr>
            </w:pPr>
          </w:p>
        </w:tc>
        <w:tc>
          <w:tcPr>
            <w:tcW w:w="1877" w:type="dxa"/>
          </w:tcPr>
          <w:p w14:paraId="069D122B">
            <w:pPr>
              <w:rPr>
                <w:rFonts w:ascii="Arial"/>
                <w:sz w:val="21"/>
              </w:rPr>
            </w:pPr>
          </w:p>
        </w:tc>
      </w:tr>
      <w:tr w14:paraId="3DC2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7" w:type="dxa"/>
          </w:tcPr>
          <w:p w14:paraId="791F5838">
            <w:pPr>
              <w:spacing w:before="261" w:line="183" w:lineRule="auto"/>
              <w:ind w:left="309"/>
              <w:rPr>
                <w:rFonts w:ascii="宋体" w:hAnsi="宋体" w:eastAsia="宋体" w:cs="宋体"/>
                <w:sz w:val="21"/>
                <w:szCs w:val="21"/>
              </w:rPr>
            </w:pPr>
            <w:r>
              <w:rPr>
                <w:rFonts w:ascii="宋体" w:hAnsi="宋体" w:eastAsia="宋体" w:cs="宋体"/>
                <w:sz w:val="21"/>
                <w:szCs w:val="21"/>
              </w:rPr>
              <w:t>3</w:t>
            </w:r>
          </w:p>
        </w:tc>
        <w:tc>
          <w:tcPr>
            <w:tcW w:w="1617" w:type="dxa"/>
          </w:tcPr>
          <w:p w14:paraId="717513B9">
            <w:pPr>
              <w:rPr>
                <w:rFonts w:ascii="Arial"/>
                <w:sz w:val="21"/>
              </w:rPr>
            </w:pPr>
          </w:p>
        </w:tc>
        <w:tc>
          <w:tcPr>
            <w:tcW w:w="1015" w:type="dxa"/>
          </w:tcPr>
          <w:p w14:paraId="35C92CD1">
            <w:pPr>
              <w:rPr>
                <w:rFonts w:ascii="Arial"/>
                <w:sz w:val="21"/>
              </w:rPr>
            </w:pPr>
          </w:p>
        </w:tc>
        <w:tc>
          <w:tcPr>
            <w:tcW w:w="935" w:type="dxa"/>
          </w:tcPr>
          <w:p w14:paraId="110918A2">
            <w:pPr>
              <w:rPr>
                <w:rFonts w:ascii="Arial"/>
                <w:sz w:val="21"/>
              </w:rPr>
            </w:pPr>
          </w:p>
        </w:tc>
        <w:tc>
          <w:tcPr>
            <w:tcW w:w="1000" w:type="dxa"/>
          </w:tcPr>
          <w:p w14:paraId="6EA05B32">
            <w:pPr>
              <w:rPr>
                <w:rFonts w:ascii="Arial"/>
                <w:sz w:val="21"/>
              </w:rPr>
            </w:pPr>
          </w:p>
        </w:tc>
        <w:tc>
          <w:tcPr>
            <w:tcW w:w="1150" w:type="dxa"/>
          </w:tcPr>
          <w:p w14:paraId="701B9D1A">
            <w:pPr>
              <w:rPr>
                <w:rFonts w:ascii="Arial"/>
                <w:sz w:val="21"/>
              </w:rPr>
            </w:pPr>
          </w:p>
        </w:tc>
        <w:tc>
          <w:tcPr>
            <w:tcW w:w="1484" w:type="dxa"/>
          </w:tcPr>
          <w:p w14:paraId="1AB7194E">
            <w:pPr>
              <w:rPr>
                <w:rFonts w:ascii="Arial"/>
                <w:sz w:val="21"/>
              </w:rPr>
            </w:pPr>
          </w:p>
        </w:tc>
        <w:tc>
          <w:tcPr>
            <w:tcW w:w="1877" w:type="dxa"/>
          </w:tcPr>
          <w:p w14:paraId="7774EBD3">
            <w:pPr>
              <w:rPr>
                <w:rFonts w:ascii="Arial"/>
                <w:sz w:val="21"/>
              </w:rPr>
            </w:pPr>
          </w:p>
        </w:tc>
      </w:tr>
      <w:tr w14:paraId="223A8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7" w:type="dxa"/>
          </w:tcPr>
          <w:p w14:paraId="0FBEE46D">
            <w:pPr>
              <w:spacing w:before="261" w:line="185" w:lineRule="auto"/>
              <w:ind w:left="304"/>
              <w:rPr>
                <w:rFonts w:ascii="宋体" w:hAnsi="宋体" w:eastAsia="宋体" w:cs="宋体"/>
                <w:sz w:val="21"/>
                <w:szCs w:val="21"/>
              </w:rPr>
            </w:pPr>
            <w:r>
              <w:rPr>
                <w:rFonts w:ascii="宋体" w:hAnsi="宋体" w:eastAsia="宋体" w:cs="宋体"/>
                <w:sz w:val="21"/>
                <w:szCs w:val="21"/>
              </w:rPr>
              <w:t>4</w:t>
            </w:r>
          </w:p>
        </w:tc>
        <w:tc>
          <w:tcPr>
            <w:tcW w:w="1617" w:type="dxa"/>
          </w:tcPr>
          <w:p w14:paraId="66870660">
            <w:pPr>
              <w:rPr>
                <w:rFonts w:ascii="Arial"/>
                <w:sz w:val="21"/>
              </w:rPr>
            </w:pPr>
          </w:p>
        </w:tc>
        <w:tc>
          <w:tcPr>
            <w:tcW w:w="1015" w:type="dxa"/>
          </w:tcPr>
          <w:p w14:paraId="4C74F900">
            <w:pPr>
              <w:rPr>
                <w:rFonts w:ascii="Arial"/>
                <w:sz w:val="21"/>
              </w:rPr>
            </w:pPr>
          </w:p>
        </w:tc>
        <w:tc>
          <w:tcPr>
            <w:tcW w:w="935" w:type="dxa"/>
          </w:tcPr>
          <w:p w14:paraId="2BE309EE">
            <w:pPr>
              <w:rPr>
                <w:rFonts w:ascii="Arial"/>
                <w:sz w:val="21"/>
              </w:rPr>
            </w:pPr>
          </w:p>
        </w:tc>
        <w:tc>
          <w:tcPr>
            <w:tcW w:w="1000" w:type="dxa"/>
          </w:tcPr>
          <w:p w14:paraId="01C33781">
            <w:pPr>
              <w:rPr>
                <w:rFonts w:ascii="Arial"/>
                <w:sz w:val="21"/>
              </w:rPr>
            </w:pPr>
          </w:p>
        </w:tc>
        <w:tc>
          <w:tcPr>
            <w:tcW w:w="1150" w:type="dxa"/>
          </w:tcPr>
          <w:p w14:paraId="3F75E72F">
            <w:pPr>
              <w:rPr>
                <w:rFonts w:ascii="Arial"/>
                <w:sz w:val="21"/>
              </w:rPr>
            </w:pPr>
          </w:p>
        </w:tc>
        <w:tc>
          <w:tcPr>
            <w:tcW w:w="1484" w:type="dxa"/>
          </w:tcPr>
          <w:p w14:paraId="156C7BC3">
            <w:pPr>
              <w:rPr>
                <w:rFonts w:ascii="Arial"/>
                <w:sz w:val="21"/>
              </w:rPr>
            </w:pPr>
          </w:p>
        </w:tc>
        <w:tc>
          <w:tcPr>
            <w:tcW w:w="1877" w:type="dxa"/>
          </w:tcPr>
          <w:p w14:paraId="787AD6B6">
            <w:pPr>
              <w:rPr>
                <w:rFonts w:ascii="Arial"/>
                <w:sz w:val="21"/>
              </w:rPr>
            </w:pPr>
          </w:p>
        </w:tc>
      </w:tr>
      <w:tr w14:paraId="36F1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7" w:type="dxa"/>
          </w:tcPr>
          <w:p w14:paraId="5794D957">
            <w:pPr>
              <w:spacing w:before="264" w:line="182" w:lineRule="auto"/>
              <w:ind w:left="309"/>
              <w:rPr>
                <w:rFonts w:ascii="宋体" w:hAnsi="宋体" w:eastAsia="宋体" w:cs="宋体"/>
                <w:sz w:val="21"/>
                <w:szCs w:val="21"/>
              </w:rPr>
            </w:pPr>
            <w:r>
              <w:rPr>
                <w:rFonts w:ascii="宋体" w:hAnsi="宋体" w:eastAsia="宋体" w:cs="宋体"/>
                <w:sz w:val="21"/>
                <w:szCs w:val="21"/>
              </w:rPr>
              <w:t>5</w:t>
            </w:r>
          </w:p>
        </w:tc>
        <w:tc>
          <w:tcPr>
            <w:tcW w:w="1617" w:type="dxa"/>
          </w:tcPr>
          <w:p w14:paraId="46F58539">
            <w:pPr>
              <w:rPr>
                <w:rFonts w:ascii="Arial"/>
                <w:sz w:val="21"/>
              </w:rPr>
            </w:pPr>
          </w:p>
        </w:tc>
        <w:tc>
          <w:tcPr>
            <w:tcW w:w="1015" w:type="dxa"/>
          </w:tcPr>
          <w:p w14:paraId="27AED032">
            <w:pPr>
              <w:rPr>
                <w:rFonts w:ascii="Arial"/>
                <w:sz w:val="21"/>
              </w:rPr>
            </w:pPr>
          </w:p>
        </w:tc>
        <w:tc>
          <w:tcPr>
            <w:tcW w:w="935" w:type="dxa"/>
          </w:tcPr>
          <w:p w14:paraId="6BBCDF50">
            <w:pPr>
              <w:rPr>
                <w:rFonts w:ascii="Arial"/>
                <w:sz w:val="21"/>
              </w:rPr>
            </w:pPr>
          </w:p>
        </w:tc>
        <w:tc>
          <w:tcPr>
            <w:tcW w:w="1000" w:type="dxa"/>
          </w:tcPr>
          <w:p w14:paraId="16A8E6AA">
            <w:pPr>
              <w:rPr>
                <w:rFonts w:ascii="Arial"/>
                <w:sz w:val="21"/>
              </w:rPr>
            </w:pPr>
          </w:p>
        </w:tc>
        <w:tc>
          <w:tcPr>
            <w:tcW w:w="1150" w:type="dxa"/>
          </w:tcPr>
          <w:p w14:paraId="6CC83F9B">
            <w:pPr>
              <w:rPr>
                <w:rFonts w:ascii="Arial"/>
                <w:sz w:val="21"/>
              </w:rPr>
            </w:pPr>
          </w:p>
        </w:tc>
        <w:tc>
          <w:tcPr>
            <w:tcW w:w="1484" w:type="dxa"/>
          </w:tcPr>
          <w:p w14:paraId="738872A0">
            <w:pPr>
              <w:rPr>
                <w:rFonts w:ascii="Arial"/>
                <w:sz w:val="21"/>
              </w:rPr>
            </w:pPr>
          </w:p>
        </w:tc>
        <w:tc>
          <w:tcPr>
            <w:tcW w:w="1877" w:type="dxa"/>
          </w:tcPr>
          <w:p w14:paraId="13088E13">
            <w:pPr>
              <w:rPr>
                <w:rFonts w:ascii="Arial"/>
                <w:sz w:val="21"/>
              </w:rPr>
            </w:pPr>
          </w:p>
        </w:tc>
      </w:tr>
      <w:tr w14:paraId="3CDC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7" w:type="dxa"/>
          </w:tcPr>
          <w:p w14:paraId="20FB5B2F">
            <w:pPr>
              <w:spacing w:before="297" w:line="87" w:lineRule="exact"/>
              <w:ind w:left="208"/>
              <w:rPr>
                <w:rFonts w:ascii="宋体" w:hAnsi="宋体" w:eastAsia="宋体" w:cs="宋体"/>
                <w:sz w:val="21"/>
                <w:szCs w:val="21"/>
              </w:rPr>
            </w:pPr>
            <w:r>
              <w:rPr>
                <w:rFonts w:ascii="宋体" w:hAnsi="宋体" w:eastAsia="宋体" w:cs="宋体"/>
                <w:spacing w:val="-4"/>
                <w:position w:val="1"/>
                <w:sz w:val="21"/>
                <w:szCs w:val="21"/>
              </w:rPr>
              <w:t>.</w:t>
            </w:r>
            <w:r>
              <w:rPr>
                <w:rFonts w:ascii="宋体" w:hAnsi="宋体" w:eastAsia="宋体" w:cs="宋体"/>
                <w:spacing w:val="-3"/>
                <w:position w:val="1"/>
                <w:sz w:val="21"/>
                <w:szCs w:val="21"/>
              </w:rPr>
              <w:t>.</w:t>
            </w:r>
            <w:r>
              <w:rPr>
                <w:rFonts w:ascii="宋体" w:hAnsi="宋体" w:eastAsia="宋体" w:cs="宋体"/>
                <w:spacing w:val="-2"/>
                <w:position w:val="1"/>
                <w:sz w:val="21"/>
                <w:szCs w:val="21"/>
              </w:rPr>
              <w:t>.</w:t>
            </w:r>
          </w:p>
        </w:tc>
        <w:tc>
          <w:tcPr>
            <w:tcW w:w="1617" w:type="dxa"/>
          </w:tcPr>
          <w:p w14:paraId="26CF6561">
            <w:pPr>
              <w:rPr>
                <w:rFonts w:ascii="Arial"/>
                <w:sz w:val="21"/>
              </w:rPr>
            </w:pPr>
          </w:p>
        </w:tc>
        <w:tc>
          <w:tcPr>
            <w:tcW w:w="1015" w:type="dxa"/>
          </w:tcPr>
          <w:p w14:paraId="6BF69D56">
            <w:pPr>
              <w:rPr>
                <w:rFonts w:ascii="Arial"/>
                <w:sz w:val="21"/>
              </w:rPr>
            </w:pPr>
          </w:p>
        </w:tc>
        <w:tc>
          <w:tcPr>
            <w:tcW w:w="935" w:type="dxa"/>
          </w:tcPr>
          <w:p w14:paraId="061165DE">
            <w:pPr>
              <w:rPr>
                <w:rFonts w:ascii="Arial"/>
                <w:sz w:val="21"/>
              </w:rPr>
            </w:pPr>
          </w:p>
        </w:tc>
        <w:tc>
          <w:tcPr>
            <w:tcW w:w="1000" w:type="dxa"/>
          </w:tcPr>
          <w:p w14:paraId="5E7C0128">
            <w:pPr>
              <w:rPr>
                <w:rFonts w:ascii="Arial"/>
                <w:sz w:val="21"/>
              </w:rPr>
            </w:pPr>
          </w:p>
        </w:tc>
        <w:tc>
          <w:tcPr>
            <w:tcW w:w="1150" w:type="dxa"/>
          </w:tcPr>
          <w:p w14:paraId="7225C4E9">
            <w:pPr>
              <w:rPr>
                <w:rFonts w:ascii="Arial"/>
                <w:sz w:val="21"/>
              </w:rPr>
            </w:pPr>
          </w:p>
        </w:tc>
        <w:tc>
          <w:tcPr>
            <w:tcW w:w="1484" w:type="dxa"/>
          </w:tcPr>
          <w:p w14:paraId="186182B9">
            <w:pPr>
              <w:rPr>
                <w:rFonts w:ascii="Arial"/>
                <w:sz w:val="21"/>
              </w:rPr>
            </w:pPr>
          </w:p>
        </w:tc>
        <w:tc>
          <w:tcPr>
            <w:tcW w:w="1877" w:type="dxa"/>
          </w:tcPr>
          <w:p w14:paraId="527D00AC">
            <w:pPr>
              <w:rPr>
                <w:rFonts w:ascii="Arial"/>
                <w:sz w:val="21"/>
              </w:rPr>
            </w:pPr>
          </w:p>
        </w:tc>
      </w:tr>
      <w:tr w14:paraId="05D24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2324" w:type="dxa"/>
            <w:gridSpan w:val="2"/>
          </w:tcPr>
          <w:p w14:paraId="735C2CCA">
            <w:pPr>
              <w:spacing w:line="374" w:lineRule="auto"/>
              <w:rPr>
                <w:rFonts w:ascii="Arial"/>
                <w:sz w:val="21"/>
              </w:rPr>
            </w:pPr>
          </w:p>
          <w:p w14:paraId="772155B4">
            <w:pPr>
              <w:spacing w:before="68" w:line="219" w:lineRule="auto"/>
              <w:ind w:left="538"/>
              <w:rPr>
                <w:rFonts w:ascii="宋体" w:hAnsi="宋体" w:eastAsia="宋体" w:cs="宋体"/>
                <w:sz w:val="21"/>
                <w:szCs w:val="21"/>
              </w:rPr>
            </w:pPr>
            <w:r>
              <w:rPr>
                <w:rFonts w:ascii="宋体" w:hAnsi="宋体" w:eastAsia="宋体" w:cs="宋体"/>
                <w:spacing w:val="-2"/>
                <w:sz w:val="21"/>
                <w:szCs w:val="21"/>
              </w:rPr>
              <w:t>投标总</w:t>
            </w:r>
            <w:r>
              <w:rPr>
                <w:rFonts w:ascii="宋体" w:hAnsi="宋体" w:eastAsia="宋体" w:cs="宋体"/>
                <w:spacing w:val="-1"/>
                <w:sz w:val="21"/>
                <w:szCs w:val="21"/>
              </w:rPr>
              <w:t>报价</w:t>
            </w:r>
          </w:p>
        </w:tc>
        <w:tc>
          <w:tcPr>
            <w:tcW w:w="7461" w:type="dxa"/>
            <w:gridSpan w:val="6"/>
          </w:tcPr>
          <w:p w14:paraId="10E32AB9">
            <w:pPr>
              <w:spacing w:before="142" w:line="352" w:lineRule="auto"/>
              <w:ind w:left="118"/>
              <w:rPr>
                <w:rFonts w:ascii="宋体" w:hAnsi="宋体" w:eastAsia="宋体" w:cs="宋体"/>
                <w:sz w:val="21"/>
                <w:szCs w:val="21"/>
              </w:rPr>
            </w:pPr>
            <w:r>
              <w:rPr>
                <w:rFonts w:ascii="宋体" w:hAnsi="宋体" w:eastAsia="宋体" w:cs="宋体"/>
                <w:spacing w:val="10"/>
                <w:sz w:val="21"/>
                <w:szCs w:val="21"/>
              </w:rPr>
              <w:t>(大写</w:t>
            </w:r>
            <w:r>
              <w:rPr>
                <w:rFonts w:ascii="宋体" w:hAnsi="宋体" w:eastAsia="宋体" w:cs="宋体"/>
                <w:spacing w:val="7"/>
                <w:sz w:val="21"/>
                <w:szCs w:val="21"/>
              </w:rPr>
              <w:t>)</w:t>
            </w:r>
            <w:r>
              <w:rPr>
                <w:rFonts w:ascii="宋体" w:hAnsi="宋体" w:eastAsia="宋体" w:cs="宋体"/>
                <w:spacing w:val="5"/>
                <w:sz w:val="21"/>
                <w:szCs w:val="21"/>
              </w:rPr>
              <w:t xml:space="preserve"> 人民币</w:t>
            </w:r>
            <w:r>
              <w:rPr>
                <w:rFonts w:ascii="宋体" w:hAnsi="宋体" w:eastAsia="宋体" w:cs="宋体"/>
                <w:spacing w:val="5"/>
                <w:sz w:val="21"/>
                <w:szCs w:val="21"/>
                <w:u w:val="single"/>
              </w:rPr>
              <w:t xml:space="preserve">                          </w:t>
            </w:r>
            <w:r>
              <w:rPr>
                <w:rFonts w:ascii="宋体" w:hAnsi="宋体" w:eastAsia="宋体" w:cs="宋体"/>
                <w:spacing w:val="5"/>
                <w:sz w:val="21"/>
                <w:szCs w:val="21"/>
              </w:rPr>
              <w:t xml:space="preserve"> 。</w:t>
            </w:r>
          </w:p>
          <w:p w14:paraId="37E8F26D">
            <w:pPr>
              <w:spacing w:line="222" w:lineRule="auto"/>
              <w:ind w:left="118"/>
              <w:rPr>
                <w:rFonts w:ascii="宋体" w:hAnsi="宋体" w:eastAsia="宋体" w:cs="宋体"/>
                <w:sz w:val="21"/>
                <w:szCs w:val="21"/>
              </w:rPr>
            </w:pPr>
            <w:r>
              <w:rPr>
                <w:rFonts w:ascii="宋体" w:hAnsi="宋体" w:eastAsia="宋体" w:cs="宋体"/>
                <w:spacing w:val="9"/>
                <w:sz w:val="21"/>
                <w:szCs w:val="21"/>
              </w:rPr>
              <w:t>(小写：￥</w:t>
            </w:r>
            <w:r>
              <w:rPr>
                <w:rFonts w:ascii="宋体" w:hAnsi="宋体" w:eastAsia="宋体" w:cs="宋体"/>
                <w:spacing w:val="9"/>
                <w:sz w:val="21"/>
                <w:szCs w:val="21"/>
                <w:u w:val="single"/>
              </w:rPr>
              <w:t xml:space="preserve">            </w:t>
            </w:r>
            <w:r>
              <w:rPr>
                <w:rFonts w:ascii="宋体" w:hAnsi="宋体" w:eastAsia="宋体" w:cs="宋体"/>
                <w:spacing w:val="9"/>
                <w:sz w:val="21"/>
                <w:szCs w:val="21"/>
              </w:rPr>
              <w:t>)</w:t>
            </w:r>
            <w:r>
              <w:rPr>
                <w:rFonts w:ascii="宋体" w:hAnsi="宋体" w:eastAsia="宋体" w:cs="宋体"/>
                <w:spacing w:val="6"/>
                <w:sz w:val="21"/>
                <w:szCs w:val="21"/>
              </w:rPr>
              <w:t>。</w:t>
            </w:r>
          </w:p>
        </w:tc>
      </w:tr>
    </w:tbl>
    <w:p w14:paraId="1891CC63">
      <w:pPr>
        <w:pStyle w:val="3"/>
        <w:spacing w:before="67" w:after="2" w:line="600" w:lineRule="exact"/>
        <w:ind w:left="738"/>
        <w:rPr>
          <w:rFonts w:ascii="宋体" w:hAnsi="宋体" w:cs="宋体"/>
          <w:sz w:val="24"/>
        </w:rPr>
      </w:pPr>
    </w:p>
    <w:p w14:paraId="63C7A82D">
      <w:pPr>
        <w:pStyle w:val="3"/>
        <w:spacing w:before="67" w:after="2" w:line="600" w:lineRule="exact"/>
        <w:ind w:left="738"/>
        <w:rPr>
          <w:rFonts w:ascii="宋体" w:hAnsi="宋体" w:cs="宋体"/>
          <w:sz w:val="24"/>
        </w:rPr>
      </w:pPr>
    </w:p>
    <w:p w14:paraId="551403A2">
      <w:pPr>
        <w:pStyle w:val="3"/>
        <w:spacing w:before="6" w:line="600" w:lineRule="exact"/>
        <w:ind w:firstLine="714" w:firstLineChars="300"/>
        <w:rPr>
          <w:rFonts w:ascii="宋体" w:hAnsi="宋体" w:cs="宋体"/>
          <w:spacing w:val="-1"/>
          <w:sz w:val="24"/>
        </w:rPr>
      </w:pPr>
      <w:r>
        <w:rPr>
          <w:rFonts w:hint="eastAsia" w:ascii="宋体" w:hAnsi="宋体" w:cs="宋体"/>
          <w:spacing w:val="-1"/>
          <w:sz w:val="24"/>
        </w:rPr>
        <w:t>注：1.如果按单价计算的结果与总价不一致，以单价为准修正总价。</w:t>
      </w:r>
    </w:p>
    <w:p w14:paraId="18922D0B">
      <w:pPr>
        <w:pStyle w:val="3"/>
        <w:spacing w:before="6" w:line="600" w:lineRule="exact"/>
        <w:ind w:firstLine="1190" w:firstLineChars="500"/>
        <w:rPr>
          <w:rFonts w:ascii="宋体" w:hAnsi="宋体" w:cs="宋体"/>
          <w:spacing w:val="-1"/>
          <w:sz w:val="24"/>
        </w:rPr>
      </w:pPr>
      <w:r>
        <w:rPr>
          <w:rFonts w:hint="eastAsia" w:ascii="宋体" w:hAnsi="宋体" w:cs="宋体"/>
          <w:spacing w:val="-1"/>
          <w:sz w:val="24"/>
        </w:rPr>
        <w:t>2.如果不提供投标报价明细表将视为没有实质性响应招标文件。</w:t>
      </w:r>
    </w:p>
    <w:p w14:paraId="7CC4CE08">
      <w:pPr>
        <w:pStyle w:val="3"/>
        <w:spacing w:before="6" w:line="600" w:lineRule="exact"/>
        <w:ind w:firstLine="1200" w:firstLineChars="500"/>
        <w:rPr>
          <w:rFonts w:ascii="宋体" w:hAnsi="宋体" w:cs="宋体"/>
          <w:sz w:val="24"/>
        </w:rPr>
      </w:pPr>
      <w:r>
        <w:rPr>
          <w:rFonts w:hint="eastAsia" w:ascii="宋体" w:hAnsi="宋体" w:cs="宋体"/>
          <w:sz w:val="24"/>
        </w:rPr>
        <w:t>3.本表为样表，供应商可根据具体内容自行调整。</w:t>
      </w:r>
    </w:p>
    <w:p w14:paraId="05B36972">
      <w:pPr>
        <w:pStyle w:val="3"/>
        <w:tabs>
          <w:tab w:val="left" w:pos="6978"/>
        </w:tabs>
        <w:spacing w:line="600" w:lineRule="exact"/>
        <w:ind w:left="3738"/>
        <w:rPr>
          <w:rFonts w:ascii="宋体" w:hAnsi="宋体" w:cs="宋体"/>
          <w:sz w:val="24"/>
        </w:rPr>
      </w:pPr>
      <w:r>
        <w:rPr>
          <w:rFonts w:hint="eastAsia" w:ascii="宋体" w:hAnsi="宋体" w:cs="宋体"/>
          <w:sz w:val="24"/>
        </w:rPr>
        <w:t>供应商名称：</w:t>
      </w:r>
      <w:r>
        <w:rPr>
          <w:rFonts w:hint="eastAsia" w:ascii="宋体" w:hAnsi="宋体" w:cs="宋体"/>
          <w:sz w:val="24"/>
          <w:u w:val="single"/>
        </w:rPr>
        <w:tab/>
      </w:r>
      <w:r>
        <w:rPr>
          <w:rFonts w:hint="eastAsia" w:ascii="宋体" w:hAnsi="宋体" w:cs="宋体"/>
          <w:sz w:val="24"/>
          <w:u w:val="single"/>
        </w:rPr>
        <w:t>（单位公章）</w:t>
      </w:r>
    </w:p>
    <w:p w14:paraId="38D16454">
      <w:pPr>
        <w:pStyle w:val="3"/>
        <w:tabs>
          <w:tab w:val="left" w:pos="8355"/>
        </w:tabs>
        <w:spacing w:line="600" w:lineRule="exact"/>
        <w:ind w:left="3738"/>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ab/>
      </w:r>
      <w:r>
        <w:rPr>
          <w:rFonts w:hint="eastAsia" w:ascii="宋体" w:hAnsi="宋体" w:cs="宋体"/>
          <w:sz w:val="24"/>
          <w:u w:val="single"/>
        </w:rPr>
        <w:t>（签字）</w:t>
      </w:r>
    </w:p>
    <w:p w14:paraId="6BD32E41">
      <w:pPr>
        <w:pStyle w:val="3"/>
        <w:tabs>
          <w:tab w:val="left" w:pos="4458"/>
          <w:tab w:val="left" w:pos="6258"/>
          <w:tab w:val="left" w:pos="7218"/>
          <w:tab w:val="left" w:pos="8298"/>
        </w:tabs>
        <w:spacing w:line="600" w:lineRule="exact"/>
        <w:ind w:left="3738"/>
        <w:rPr>
          <w:rFonts w:ascii="宋体" w:hAnsi="宋体" w:cs="宋体"/>
          <w:sz w:val="24"/>
        </w:rPr>
        <w:sectPr>
          <w:pgSz w:w="11906" w:h="16838"/>
          <w:pgMar w:top="1440" w:right="1080" w:bottom="1440" w:left="1080" w:header="851" w:footer="992" w:gutter="0"/>
          <w:cols w:space="720" w:num="1"/>
          <w:docGrid w:linePitch="312" w:charSpace="0"/>
        </w:sectPr>
      </w:pPr>
      <w:r>
        <w:rPr>
          <w:rFonts w:hint="eastAsia" w:ascii="宋体" w:hAnsi="宋体" w:cs="宋体"/>
          <w:sz w:val="24"/>
        </w:rPr>
        <w:t>日</w:t>
      </w:r>
      <w:r>
        <w:rPr>
          <w:rFonts w:hint="eastAsia" w:ascii="宋体" w:hAnsi="宋体" w:cs="宋体"/>
          <w:sz w:val="24"/>
        </w:rPr>
        <w:tab/>
      </w:r>
      <w:r>
        <w:rPr>
          <w:rFonts w:hint="eastAsia" w:ascii="宋体" w:hAnsi="宋体" w:cs="宋体"/>
          <w:sz w:val="24"/>
        </w:rPr>
        <w:t>期：</w:t>
      </w:r>
      <w:r>
        <w:rPr>
          <w:rFonts w:hint="eastAsia" w:ascii="宋体" w:hAnsi="宋体" w:cs="宋体"/>
          <w:sz w:val="24"/>
          <w:u w:val="single"/>
        </w:rPr>
        <w:tab/>
      </w:r>
      <w:r>
        <w:rPr>
          <w:rFonts w:hint="eastAsia" w:ascii="宋体" w:hAnsi="宋体" w:cs="宋体"/>
          <w:sz w:val="24"/>
          <w:u w:val="single"/>
        </w:rPr>
        <w:t>年</w:t>
      </w:r>
      <w:r>
        <w:rPr>
          <w:rFonts w:hint="eastAsia" w:ascii="宋体" w:hAnsi="宋体" w:cs="宋体"/>
          <w:sz w:val="24"/>
          <w:u w:val="single"/>
        </w:rPr>
        <w:tab/>
      </w:r>
      <w:r>
        <w:rPr>
          <w:rFonts w:hint="eastAsia" w:ascii="宋体" w:hAnsi="宋体" w:cs="宋体"/>
          <w:sz w:val="24"/>
          <w:u w:val="single"/>
        </w:rPr>
        <w:t>月        日</w:t>
      </w:r>
    </w:p>
    <w:p w14:paraId="5426303F">
      <w:pPr>
        <w:jc w:val="center"/>
        <w:outlineLvl w:val="1"/>
        <w:rPr>
          <w:rFonts w:ascii="宋体" w:hAnsi="宋体" w:eastAsia="宋体" w:cs="宋体"/>
          <w:b/>
          <w:kern w:val="2"/>
          <w:sz w:val="24"/>
          <w:szCs w:val="24"/>
        </w:rPr>
      </w:pPr>
      <w:bookmarkStart w:id="235" w:name="_Toc26870"/>
      <w:bookmarkStart w:id="236" w:name="_Toc11227"/>
      <w:r>
        <w:rPr>
          <w:rFonts w:hint="eastAsia" w:ascii="宋体" w:hAnsi="宋体" w:eastAsia="宋体" w:cs="宋体"/>
          <w:b/>
          <w:bCs/>
          <w:sz w:val="24"/>
          <w:szCs w:val="24"/>
        </w:rPr>
        <w:t>附件7：</w:t>
      </w:r>
      <w:bookmarkEnd w:id="235"/>
      <w:r>
        <w:rPr>
          <w:rFonts w:hint="eastAsia" w:ascii="宋体" w:hAnsi="宋体" w:eastAsia="宋体" w:cs="宋体"/>
          <w:b/>
          <w:kern w:val="2"/>
          <w:sz w:val="24"/>
          <w:szCs w:val="24"/>
        </w:rPr>
        <w:t>投标材料真实性保证承诺书</w:t>
      </w:r>
      <w:bookmarkEnd w:id="236"/>
    </w:p>
    <w:p w14:paraId="661D25F8">
      <w:pPr>
        <w:tabs>
          <w:tab w:val="left" w:pos="4657"/>
        </w:tabs>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u w:val="single"/>
        </w:rPr>
        <w:t xml:space="preserve">  (招标人名称):</w:t>
      </w:r>
    </w:p>
    <w:p w14:paraId="5371E2CE">
      <w:pPr>
        <w:adjustRightInd/>
        <w:snapToGrid/>
        <w:spacing w:after="0" w:line="360" w:lineRule="auto"/>
        <w:ind w:firstLine="480" w:firstLineChars="200"/>
        <w:jc w:val="both"/>
        <w:textAlignment w:val="baseline"/>
        <w:rPr>
          <w:rFonts w:ascii="宋体" w:hAnsi="宋体" w:eastAsia="宋体" w:cs="宋体"/>
          <w:kern w:val="2"/>
          <w:sz w:val="24"/>
          <w:szCs w:val="24"/>
        </w:rPr>
      </w:pPr>
    </w:p>
    <w:p w14:paraId="3F619133">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我单位采取“不见面”开标模式参加贵单位</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项目投标,不能到达开标现场提供各类企业和人员证书及相关资料原件备查,在此:</w:t>
      </w:r>
    </w:p>
    <w:p w14:paraId="67322797">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1、我单位郑重承诺如我单位电子投标文件中提供的各类企业和人员证书及相关资料的扫描件与原件一致,真实有效；</w:t>
      </w:r>
    </w:p>
    <w:p w14:paraId="59952B2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2、我单位愿意在中标公告中公示本单位投标文件中的企业和人员资质证书及相关资料,接受社会监督；</w:t>
      </w:r>
    </w:p>
    <w:p w14:paraId="782820A8">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3、贵单位对投标文件中的相关资料若有任何疑义,我单位可随时提供该资料原件供贵单位核实；</w:t>
      </w:r>
    </w:p>
    <w:p w14:paraId="07DCB28D">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4、若我单位提供不真实或无效的各类企业和人员证书及相关资料,我单位愿意无条件受本级人民政府政府采购办及其他部门依法依规给予的处罚,并承担相关损失。</w:t>
      </w:r>
    </w:p>
    <w:p w14:paraId="5C19BEE7">
      <w:pPr>
        <w:adjustRightInd/>
        <w:snapToGrid/>
        <w:spacing w:after="0" w:line="360" w:lineRule="auto"/>
        <w:jc w:val="both"/>
        <w:textAlignment w:val="baseline"/>
        <w:rPr>
          <w:rFonts w:ascii="宋体" w:hAnsi="宋体" w:eastAsia="宋体" w:cs="宋体"/>
          <w:kern w:val="2"/>
          <w:sz w:val="24"/>
          <w:szCs w:val="24"/>
        </w:rPr>
      </w:pPr>
    </w:p>
    <w:p w14:paraId="4B8D1DAF">
      <w:pPr>
        <w:adjustRightInd/>
        <w:snapToGrid/>
        <w:spacing w:after="0" w:line="360" w:lineRule="auto"/>
        <w:ind w:firstLine="480" w:firstLineChars="200"/>
        <w:jc w:val="both"/>
        <w:textAlignment w:val="baseline"/>
        <w:rPr>
          <w:rFonts w:ascii="宋体" w:hAnsi="宋体" w:eastAsia="宋体" w:cs="宋体"/>
          <w:kern w:val="2"/>
          <w:sz w:val="24"/>
          <w:szCs w:val="24"/>
        </w:rPr>
      </w:pPr>
    </w:p>
    <w:p w14:paraId="5D65ED33">
      <w:pPr>
        <w:adjustRightInd/>
        <w:snapToGrid/>
        <w:spacing w:after="0" w:line="360" w:lineRule="auto"/>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0BBF99E3">
      <w:pPr>
        <w:adjustRightInd/>
        <w:snapToGrid/>
        <w:spacing w:after="0" w:line="360" w:lineRule="auto"/>
        <w:jc w:val="both"/>
        <w:textAlignment w:val="baseline"/>
        <w:rPr>
          <w:rFonts w:ascii="宋体" w:hAnsi="宋体" w:eastAsia="宋体" w:cs="宋体"/>
          <w:bCs/>
          <w:kern w:val="2"/>
          <w:sz w:val="24"/>
          <w:szCs w:val="24"/>
        </w:rPr>
      </w:pPr>
    </w:p>
    <w:p w14:paraId="0409BEAB">
      <w:pPr>
        <w:adjustRightInd/>
        <w:snapToGrid/>
        <w:spacing w:after="0" w:line="360" w:lineRule="auto"/>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法定代表人或授权代表人（签字）：</w:t>
      </w:r>
    </w:p>
    <w:p w14:paraId="1728FB65">
      <w:pPr>
        <w:pStyle w:val="2"/>
        <w:ind w:firstLine="480"/>
        <w:rPr>
          <w:rFonts w:hAnsi="宋体" w:eastAsia="宋体" w:cs="宋体"/>
          <w:sz w:val="24"/>
          <w:szCs w:val="24"/>
          <w:lang w:eastAsia="zh-CN"/>
        </w:rPr>
      </w:pPr>
    </w:p>
    <w:p w14:paraId="03FC8713">
      <w:pPr>
        <w:rPr>
          <w:rFonts w:ascii="宋体" w:hAnsi="宋体" w:eastAsia="宋体" w:cs="宋体"/>
          <w:sz w:val="24"/>
          <w:szCs w:val="24"/>
        </w:rPr>
      </w:pPr>
    </w:p>
    <w:p w14:paraId="63F7D1F5">
      <w:pPr>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bookmarkStart w:id="237" w:name="_Toc29597"/>
    </w:p>
    <w:p w14:paraId="6D15B6F4">
      <w:pPr>
        <w:jc w:val="center"/>
        <w:outlineLvl w:val="1"/>
        <w:rPr>
          <w:rFonts w:ascii="宋体" w:hAnsi="宋体" w:eastAsia="宋体" w:cs="宋体"/>
          <w:kern w:val="2"/>
          <w:sz w:val="24"/>
          <w:szCs w:val="24"/>
        </w:rPr>
      </w:pPr>
      <w:bookmarkStart w:id="238" w:name="_Toc17857"/>
      <w:bookmarkStart w:id="239" w:name="_Toc21443"/>
      <w:r>
        <w:rPr>
          <w:rFonts w:hint="eastAsia" w:ascii="宋体" w:hAnsi="宋体" w:eastAsia="宋体" w:cs="宋体"/>
          <w:b/>
          <w:bCs/>
          <w:sz w:val="24"/>
          <w:szCs w:val="24"/>
        </w:rPr>
        <w:t>附件8：</w:t>
      </w:r>
      <w:bookmarkEnd w:id="237"/>
      <w:bookmarkEnd w:id="238"/>
      <w:r>
        <w:rPr>
          <w:rFonts w:hint="eastAsia" w:ascii="宋体" w:hAnsi="宋体" w:eastAsia="宋体" w:cs="宋体"/>
          <w:b/>
          <w:bCs/>
          <w:kern w:val="2"/>
          <w:sz w:val="24"/>
          <w:szCs w:val="24"/>
        </w:rPr>
        <w:t>投标人资质证明文件及认为有必要的其他相关证明材料</w:t>
      </w:r>
      <w:bookmarkEnd w:id="239"/>
    </w:p>
    <w:p w14:paraId="5F0FF0BA">
      <w:pPr>
        <w:adjustRightInd/>
        <w:snapToGrid/>
        <w:spacing w:after="0" w:line="360" w:lineRule="auto"/>
        <w:jc w:val="center"/>
        <w:textAlignment w:val="baseline"/>
        <w:rPr>
          <w:rFonts w:ascii="宋体" w:hAnsi="宋体" w:eastAsia="宋体" w:cs="宋体"/>
          <w:b/>
          <w:kern w:val="2"/>
          <w:sz w:val="24"/>
          <w:szCs w:val="24"/>
        </w:rPr>
      </w:pPr>
    </w:p>
    <w:p w14:paraId="05C2F669">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格式自拟</w:t>
      </w:r>
    </w:p>
    <w:p w14:paraId="05AF59BD">
      <w:pPr>
        <w:adjustRightInd/>
        <w:snapToGrid/>
        <w:spacing w:after="0"/>
        <w:rPr>
          <w:rFonts w:ascii="宋体" w:hAnsi="宋体" w:eastAsia="宋体" w:cs="宋体"/>
          <w:b/>
          <w:kern w:val="2"/>
          <w:sz w:val="24"/>
          <w:szCs w:val="24"/>
        </w:rPr>
      </w:pPr>
      <w:r>
        <w:rPr>
          <w:rFonts w:hint="eastAsia" w:ascii="宋体" w:hAnsi="宋体" w:eastAsia="宋体" w:cs="宋体"/>
          <w:b/>
          <w:kern w:val="2"/>
          <w:sz w:val="24"/>
          <w:szCs w:val="24"/>
        </w:rPr>
        <w:br w:type="page"/>
      </w:r>
    </w:p>
    <w:p w14:paraId="2B4A5915">
      <w:pPr>
        <w:jc w:val="center"/>
        <w:outlineLvl w:val="1"/>
        <w:rPr>
          <w:rFonts w:ascii="宋体" w:hAnsi="宋体" w:eastAsia="宋体" w:cs="宋体"/>
          <w:b/>
          <w:kern w:val="2"/>
          <w:sz w:val="24"/>
          <w:szCs w:val="24"/>
        </w:rPr>
      </w:pPr>
      <w:bookmarkStart w:id="240" w:name="_Toc13243"/>
      <w:bookmarkStart w:id="241" w:name="_Toc16286"/>
      <w:bookmarkStart w:id="242" w:name="_Toc711"/>
      <w:bookmarkStart w:id="243" w:name="_Toc3354"/>
      <w:bookmarkStart w:id="244" w:name="_Toc31634"/>
      <w:bookmarkStart w:id="245" w:name="_Toc19286"/>
      <w:r>
        <w:rPr>
          <w:rFonts w:hint="eastAsia" w:ascii="宋体" w:hAnsi="宋体" w:eastAsia="宋体" w:cs="宋体"/>
          <w:b/>
          <w:bCs/>
          <w:sz w:val="24"/>
          <w:szCs w:val="24"/>
        </w:rPr>
        <w:t>附件9：</w:t>
      </w:r>
      <w:bookmarkEnd w:id="240"/>
      <w:bookmarkEnd w:id="241"/>
      <w:bookmarkEnd w:id="242"/>
      <w:bookmarkEnd w:id="243"/>
      <w:bookmarkEnd w:id="244"/>
      <w:r>
        <w:rPr>
          <w:rFonts w:hint="eastAsia" w:ascii="宋体" w:hAnsi="宋体" w:eastAsia="宋体" w:cs="宋体"/>
          <w:b/>
          <w:kern w:val="2"/>
          <w:sz w:val="24"/>
          <w:szCs w:val="24"/>
        </w:rPr>
        <w:t>商务偏离表</w:t>
      </w:r>
      <w:bookmarkEnd w:id="245"/>
    </w:p>
    <w:p w14:paraId="647BC088">
      <w:pPr>
        <w:adjustRightInd/>
        <w:snapToGrid/>
        <w:spacing w:after="0" w:line="360" w:lineRule="auto"/>
        <w:jc w:val="center"/>
        <w:textAlignment w:val="baseline"/>
        <w:rPr>
          <w:rFonts w:ascii="宋体" w:hAnsi="宋体" w:eastAsia="宋体" w:cs="宋体"/>
          <w:b/>
          <w:kern w:val="2"/>
          <w:sz w:val="24"/>
          <w:szCs w:val="24"/>
        </w:rPr>
      </w:pPr>
    </w:p>
    <w:tbl>
      <w:tblPr>
        <w:tblStyle w:val="15"/>
        <w:tblW w:w="87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730"/>
        <w:gridCol w:w="2726"/>
        <w:gridCol w:w="1481"/>
        <w:gridCol w:w="1046"/>
      </w:tblGrid>
      <w:tr w14:paraId="680E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20D4FBB6">
            <w:pPr>
              <w:adjustRightInd/>
              <w:snapToGrid/>
              <w:spacing w:after="0" w:line="360" w:lineRule="auto"/>
              <w:jc w:val="center"/>
              <w:textAlignment w:val="baseline"/>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2730" w:type="dxa"/>
            <w:tcBorders>
              <w:top w:val="single" w:color="000000" w:sz="6" w:space="0"/>
              <w:left w:val="single" w:color="000000" w:sz="6" w:space="0"/>
              <w:bottom w:val="single" w:color="000000" w:sz="6" w:space="0"/>
              <w:right w:val="single" w:color="000000" w:sz="6" w:space="0"/>
            </w:tcBorders>
            <w:vAlign w:val="center"/>
          </w:tcPr>
          <w:p w14:paraId="7B9F833E">
            <w:pPr>
              <w:adjustRightInd/>
              <w:snapToGrid/>
              <w:spacing w:after="0" w:line="360" w:lineRule="auto"/>
              <w:jc w:val="center"/>
              <w:textAlignment w:val="baseline"/>
              <w:rPr>
                <w:rFonts w:ascii="宋体" w:hAnsi="宋体" w:eastAsia="宋体" w:cs="宋体"/>
                <w:bCs/>
                <w:kern w:val="2"/>
                <w:sz w:val="24"/>
                <w:szCs w:val="24"/>
              </w:rPr>
            </w:pPr>
            <w:r>
              <w:rPr>
                <w:rFonts w:hint="eastAsia" w:ascii="宋体" w:hAnsi="宋体" w:eastAsia="宋体" w:cs="宋体"/>
                <w:bCs/>
                <w:kern w:val="2"/>
                <w:sz w:val="24"/>
                <w:szCs w:val="24"/>
              </w:rPr>
              <w:t>招标文件的商务条款</w:t>
            </w:r>
          </w:p>
        </w:tc>
        <w:tc>
          <w:tcPr>
            <w:tcW w:w="2726" w:type="dxa"/>
            <w:tcBorders>
              <w:top w:val="single" w:color="000000" w:sz="6" w:space="0"/>
              <w:left w:val="single" w:color="000000" w:sz="6" w:space="0"/>
              <w:bottom w:val="single" w:color="000000" w:sz="6" w:space="0"/>
              <w:right w:val="single" w:color="000000" w:sz="6" w:space="0"/>
            </w:tcBorders>
            <w:vAlign w:val="center"/>
          </w:tcPr>
          <w:p w14:paraId="51FA4365">
            <w:pPr>
              <w:adjustRightInd/>
              <w:snapToGrid/>
              <w:spacing w:after="0" w:line="360" w:lineRule="auto"/>
              <w:jc w:val="center"/>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投标文件的商务条款</w:t>
            </w:r>
          </w:p>
        </w:tc>
        <w:tc>
          <w:tcPr>
            <w:tcW w:w="1481" w:type="dxa"/>
            <w:tcBorders>
              <w:top w:val="single" w:color="000000" w:sz="6" w:space="0"/>
              <w:left w:val="single" w:color="000000" w:sz="6" w:space="0"/>
              <w:bottom w:val="single" w:color="000000" w:sz="6" w:space="0"/>
              <w:right w:val="single" w:color="000000" w:sz="4" w:space="0"/>
            </w:tcBorders>
            <w:vAlign w:val="center"/>
          </w:tcPr>
          <w:p w14:paraId="4638ADA9">
            <w:pPr>
              <w:adjustRightInd/>
              <w:snapToGrid/>
              <w:spacing w:after="0" w:line="360" w:lineRule="auto"/>
              <w:jc w:val="center"/>
              <w:textAlignment w:val="baseline"/>
              <w:rPr>
                <w:rFonts w:ascii="宋体" w:hAnsi="宋体" w:eastAsia="宋体" w:cs="宋体"/>
                <w:bCs/>
                <w:kern w:val="2"/>
                <w:sz w:val="24"/>
                <w:szCs w:val="24"/>
              </w:rPr>
            </w:pPr>
            <w:r>
              <w:rPr>
                <w:rFonts w:hint="eastAsia" w:ascii="宋体" w:hAnsi="宋体" w:eastAsia="宋体" w:cs="宋体"/>
                <w:bCs/>
                <w:kern w:val="2"/>
                <w:sz w:val="24"/>
                <w:szCs w:val="24"/>
              </w:rPr>
              <w:t>偏离情况</w:t>
            </w:r>
          </w:p>
        </w:tc>
        <w:tc>
          <w:tcPr>
            <w:tcW w:w="1046" w:type="dxa"/>
            <w:tcBorders>
              <w:top w:val="single" w:color="000000" w:sz="6" w:space="0"/>
              <w:left w:val="single" w:color="000000" w:sz="4" w:space="0"/>
              <w:bottom w:val="single" w:color="000000" w:sz="6" w:space="0"/>
              <w:right w:val="single" w:color="000000" w:sz="6" w:space="0"/>
            </w:tcBorders>
            <w:vAlign w:val="center"/>
          </w:tcPr>
          <w:p w14:paraId="0CDF3304">
            <w:pPr>
              <w:adjustRightInd/>
              <w:snapToGrid/>
              <w:spacing w:after="0" w:line="360" w:lineRule="auto"/>
              <w:jc w:val="center"/>
              <w:textAlignment w:val="baseline"/>
              <w:rPr>
                <w:rFonts w:ascii="宋体" w:hAnsi="宋体" w:eastAsia="宋体" w:cs="宋体"/>
                <w:bCs/>
                <w:kern w:val="2"/>
                <w:sz w:val="24"/>
                <w:szCs w:val="24"/>
              </w:rPr>
            </w:pPr>
            <w:r>
              <w:rPr>
                <w:rFonts w:hint="eastAsia" w:ascii="宋体" w:hAnsi="宋体" w:eastAsia="宋体" w:cs="宋体"/>
                <w:bCs/>
                <w:kern w:val="2"/>
                <w:sz w:val="24"/>
                <w:szCs w:val="24"/>
              </w:rPr>
              <w:t>说明</w:t>
            </w:r>
          </w:p>
        </w:tc>
      </w:tr>
      <w:tr w14:paraId="0032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77DD2483">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16B98ABA">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1BC31885">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130802C1">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7EB00EA4">
            <w:pPr>
              <w:adjustRightInd/>
              <w:snapToGrid/>
              <w:spacing w:after="0" w:line="360" w:lineRule="auto"/>
              <w:jc w:val="center"/>
              <w:textAlignment w:val="baseline"/>
              <w:rPr>
                <w:rFonts w:ascii="宋体" w:hAnsi="宋体" w:eastAsia="宋体" w:cs="宋体"/>
                <w:bCs/>
                <w:kern w:val="2"/>
                <w:sz w:val="24"/>
                <w:szCs w:val="24"/>
              </w:rPr>
            </w:pPr>
          </w:p>
        </w:tc>
      </w:tr>
      <w:tr w14:paraId="6188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4C6DFC4F">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75264C19">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110E2379">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573087A3">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5437C67E">
            <w:pPr>
              <w:adjustRightInd/>
              <w:snapToGrid/>
              <w:spacing w:after="0" w:line="360" w:lineRule="auto"/>
              <w:jc w:val="center"/>
              <w:textAlignment w:val="baseline"/>
              <w:rPr>
                <w:rFonts w:ascii="宋体" w:hAnsi="宋体" w:eastAsia="宋体" w:cs="宋体"/>
                <w:bCs/>
                <w:kern w:val="2"/>
                <w:sz w:val="24"/>
                <w:szCs w:val="24"/>
              </w:rPr>
            </w:pPr>
          </w:p>
        </w:tc>
      </w:tr>
      <w:tr w14:paraId="76BA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67886E9E">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6F66D8CF">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19A34318">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5C7760EE">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5CBCAC24">
            <w:pPr>
              <w:adjustRightInd/>
              <w:snapToGrid/>
              <w:spacing w:after="0" w:line="360" w:lineRule="auto"/>
              <w:jc w:val="center"/>
              <w:textAlignment w:val="baseline"/>
              <w:rPr>
                <w:rFonts w:ascii="宋体" w:hAnsi="宋体" w:eastAsia="宋体" w:cs="宋体"/>
                <w:bCs/>
                <w:kern w:val="2"/>
                <w:sz w:val="24"/>
                <w:szCs w:val="24"/>
              </w:rPr>
            </w:pPr>
          </w:p>
        </w:tc>
      </w:tr>
      <w:tr w14:paraId="22FD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4E0B40FE">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0C2F9463">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21DC6A7E">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6231A80C">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0D772754">
            <w:pPr>
              <w:adjustRightInd/>
              <w:snapToGrid/>
              <w:spacing w:after="0" w:line="360" w:lineRule="auto"/>
              <w:jc w:val="center"/>
              <w:textAlignment w:val="baseline"/>
              <w:rPr>
                <w:rFonts w:ascii="宋体" w:hAnsi="宋体" w:eastAsia="宋体" w:cs="宋体"/>
                <w:bCs/>
                <w:kern w:val="2"/>
                <w:sz w:val="24"/>
                <w:szCs w:val="24"/>
              </w:rPr>
            </w:pPr>
          </w:p>
        </w:tc>
      </w:tr>
      <w:tr w14:paraId="68FF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75A2BDD0">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284E1234">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7A2F2B82">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70C876E9">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50A618D2">
            <w:pPr>
              <w:adjustRightInd/>
              <w:snapToGrid/>
              <w:spacing w:after="0" w:line="360" w:lineRule="auto"/>
              <w:jc w:val="center"/>
              <w:textAlignment w:val="baseline"/>
              <w:rPr>
                <w:rFonts w:ascii="宋体" w:hAnsi="宋体" w:eastAsia="宋体" w:cs="宋体"/>
                <w:bCs/>
                <w:kern w:val="2"/>
                <w:sz w:val="24"/>
                <w:szCs w:val="24"/>
              </w:rPr>
            </w:pPr>
          </w:p>
        </w:tc>
      </w:tr>
      <w:tr w14:paraId="3D54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03A4738A">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35B8D4B3">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72D2AC3F">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30907484">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016E7708">
            <w:pPr>
              <w:adjustRightInd/>
              <w:snapToGrid/>
              <w:spacing w:after="0" w:line="360" w:lineRule="auto"/>
              <w:jc w:val="center"/>
              <w:textAlignment w:val="baseline"/>
              <w:rPr>
                <w:rFonts w:ascii="宋体" w:hAnsi="宋体" w:eastAsia="宋体" w:cs="宋体"/>
                <w:bCs/>
                <w:kern w:val="2"/>
                <w:sz w:val="24"/>
                <w:szCs w:val="24"/>
              </w:rPr>
            </w:pPr>
          </w:p>
        </w:tc>
      </w:tr>
      <w:tr w14:paraId="38F9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42" w:type="dxa"/>
            <w:tcBorders>
              <w:top w:val="single" w:color="000000" w:sz="6" w:space="0"/>
              <w:left w:val="single" w:color="000000" w:sz="6" w:space="0"/>
              <w:bottom w:val="single" w:color="000000" w:sz="6" w:space="0"/>
              <w:right w:val="single" w:color="000000" w:sz="6" w:space="0"/>
            </w:tcBorders>
            <w:vAlign w:val="center"/>
          </w:tcPr>
          <w:p w14:paraId="2BF882ED">
            <w:pPr>
              <w:adjustRightInd/>
              <w:snapToGrid/>
              <w:spacing w:after="0" w:line="360" w:lineRule="auto"/>
              <w:jc w:val="center"/>
              <w:textAlignment w:val="baseline"/>
              <w:rPr>
                <w:rFonts w:ascii="宋体" w:hAnsi="宋体" w:eastAsia="宋体" w:cs="宋体"/>
                <w:bCs/>
                <w:kern w:val="2"/>
                <w:sz w:val="24"/>
                <w:szCs w:val="24"/>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332FEA88">
            <w:pPr>
              <w:adjustRightInd/>
              <w:snapToGrid/>
              <w:spacing w:after="0" w:line="360" w:lineRule="auto"/>
              <w:jc w:val="center"/>
              <w:textAlignment w:val="baseline"/>
              <w:rPr>
                <w:rFonts w:ascii="宋体" w:hAnsi="宋体" w:eastAsia="宋体" w:cs="宋体"/>
                <w:bCs/>
                <w:kern w:val="2"/>
                <w:sz w:val="24"/>
                <w:szCs w:val="24"/>
              </w:rPr>
            </w:pPr>
          </w:p>
        </w:tc>
        <w:tc>
          <w:tcPr>
            <w:tcW w:w="2726" w:type="dxa"/>
            <w:tcBorders>
              <w:top w:val="single" w:color="000000" w:sz="6" w:space="0"/>
              <w:left w:val="single" w:color="000000" w:sz="6" w:space="0"/>
              <w:bottom w:val="single" w:color="000000" w:sz="6" w:space="0"/>
              <w:right w:val="single" w:color="000000" w:sz="6" w:space="0"/>
            </w:tcBorders>
            <w:vAlign w:val="center"/>
          </w:tcPr>
          <w:p w14:paraId="26D3AFF2">
            <w:pPr>
              <w:adjustRightInd/>
              <w:snapToGrid/>
              <w:spacing w:after="0" w:line="360" w:lineRule="auto"/>
              <w:jc w:val="center"/>
              <w:textAlignment w:val="baseline"/>
              <w:rPr>
                <w:rFonts w:ascii="宋体" w:hAnsi="宋体" w:eastAsia="宋体" w:cs="宋体"/>
                <w:bCs/>
                <w:kern w:val="2"/>
                <w:sz w:val="24"/>
                <w:szCs w:val="24"/>
              </w:rPr>
            </w:pPr>
          </w:p>
        </w:tc>
        <w:tc>
          <w:tcPr>
            <w:tcW w:w="1481" w:type="dxa"/>
            <w:tcBorders>
              <w:top w:val="single" w:color="000000" w:sz="6" w:space="0"/>
              <w:left w:val="single" w:color="000000" w:sz="6" w:space="0"/>
              <w:bottom w:val="single" w:color="000000" w:sz="6" w:space="0"/>
              <w:right w:val="single" w:color="000000" w:sz="4" w:space="0"/>
            </w:tcBorders>
            <w:vAlign w:val="center"/>
          </w:tcPr>
          <w:p w14:paraId="000C74AB">
            <w:pPr>
              <w:adjustRightInd/>
              <w:snapToGrid/>
              <w:spacing w:after="0" w:line="360" w:lineRule="auto"/>
              <w:jc w:val="center"/>
              <w:textAlignment w:val="baseline"/>
              <w:rPr>
                <w:rFonts w:ascii="宋体" w:hAnsi="宋体" w:eastAsia="宋体" w:cs="宋体"/>
                <w:bCs/>
                <w:kern w:val="2"/>
                <w:sz w:val="24"/>
                <w:szCs w:val="24"/>
              </w:rPr>
            </w:pPr>
          </w:p>
        </w:tc>
        <w:tc>
          <w:tcPr>
            <w:tcW w:w="1046" w:type="dxa"/>
            <w:tcBorders>
              <w:top w:val="single" w:color="000000" w:sz="6" w:space="0"/>
              <w:left w:val="single" w:color="000000" w:sz="4" w:space="0"/>
              <w:bottom w:val="single" w:color="000000" w:sz="6" w:space="0"/>
              <w:right w:val="single" w:color="000000" w:sz="6" w:space="0"/>
            </w:tcBorders>
            <w:vAlign w:val="center"/>
          </w:tcPr>
          <w:p w14:paraId="60099232">
            <w:pPr>
              <w:adjustRightInd/>
              <w:snapToGrid/>
              <w:spacing w:after="0" w:line="360" w:lineRule="auto"/>
              <w:jc w:val="center"/>
              <w:textAlignment w:val="baseline"/>
              <w:rPr>
                <w:rFonts w:ascii="宋体" w:hAnsi="宋体" w:eastAsia="宋体" w:cs="宋体"/>
                <w:bCs/>
                <w:kern w:val="2"/>
                <w:sz w:val="24"/>
                <w:szCs w:val="24"/>
              </w:rPr>
            </w:pPr>
          </w:p>
        </w:tc>
      </w:tr>
    </w:tbl>
    <w:p w14:paraId="1A919A50">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注：除本商务偏离表中所列的偏离内容外，其他所有商务条款均应完全响应“招标文件”中的要求。</w:t>
      </w:r>
    </w:p>
    <w:p w14:paraId="2030D996">
      <w:pPr>
        <w:adjustRightInd/>
        <w:snapToGrid/>
        <w:spacing w:after="0" w:line="360" w:lineRule="auto"/>
        <w:jc w:val="both"/>
        <w:textAlignment w:val="baseline"/>
        <w:rPr>
          <w:rFonts w:ascii="宋体" w:hAnsi="宋体" w:eastAsia="宋体" w:cs="宋体"/>
          <w:kern w:val="2"/>
          <w:sz w:val="24"/>
          <w:szCs w:val="24"/>
        </w:rPr>
      </w:pPr>
    </w:p>
    <w:p w14:paraId="40753A1A">
      <w:pPr>
        <w:adjustRightInd/>
        <w:snapToGrid/>
        <w:spacing w:after="0" w:line="360" w:lineRule="auto"/>
        <w:jc w:val="both"/>
        <w:textAlignment w:val="baseline"/>
        <w:rPr>
          <w:rFonts w:ascii="宋体" w:hAnsi="宋体" w:eastAsia="宋体" w:cs="宋体"/>
          <w:kern w:val="2"/>
          <w:sz w:val="24"/>
          <w:szCs w:val="24"/>
        </w:rPr>
      </w:pPr>
    </w:p>
    <w:p w14:paraId="6D10F5C1">
      <w:pPr>
        <w:adjustRightInd/>
        <w:snapToGrid/>
        <w:spacing w:after="0" w:line="360" w:lineRule="auto"/>
        <w:ind w:firstLine="3360" w:firstLineChars="14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174E96D7">
      <w:pPr>
        <w:adjustRightInd/>
        <w:snapToGrid/>
        <w:spacing w:after="0" w:line="360" w:lineRule="auto"/>
        <w:jc w:val="both"/>
        <w:textAlignment w:val="baseline"/>
        <w:rPr>
          <w:rFonts w:ascii="宋体" w:hAnsi="宋体" w:eastAsia="宋体" w:cs="宋体"/>
          <w:bCs/>
          <w:kern w:val="2"/>
          <w:sz w:val="24"/>
          <w:szCs w:val="24"/>
        </w:rPr>
      </w:pPr>
    </w:p>
    <w:p w14:paraId="1C77D10E">
      <w:pPr>
        <w:adjustRightInd/>
        <w:snapToGrid/>
        <w:spacing w:after="0" w:line="360" w:lineRule="auto"/>
        <w:ind w:firstLine="3360" w:firstLineChars="14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5C357A3B">
      <w:pPr>
        <w:adjustRightInd/>
        <w:snapToGrid/>
        <w:spacing w:after="0" w:line="360" w:lineRule="auto"/>
        <w:jc w:val="both"/>
        <w:textAlignment w:val="baseline"/>
        <w:rPr>
          <w:rFonts w:ascii="宋体" w:hAnsi="宋体" w:eastAsia="宋体" w:cs="宋体"/>
          <w:bCs/>
          <w:kern w:val="2"/>
          <w:sz w:val="24"/>
          <w:szCs w:val="24"/>
          <w:u w:val="single"/>
        </w:rPr>
      </w:pPr>
    </w:p>
    <w:p w14:paraId="36873C58">
      <w:pPr>
        <w:adjustRightInd/>
        <w:spacing w:after="0" w:line="360" w:lineRule="auto"/>
        <w:ind w:firstLine="3360" w:firstLineChars="14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    期：  年    月    日</w:t>
      </w:r>
    </w:p>
    <w:p w14:paraId="49BB26C1">
      <w:pPr>
        <w:adjustRightInd/>
        <w:spacing w:after="0" w:line="360" w:lineRule="auto"/>
        <w:ind w:firstLine="5880" w:firstLineChars="2450"/>
        <w:jc w:val="both"/>
        <w:textAlignment w:val="baseline"/>
        <w:rPr>
          <w:rFonts w:ascii="宋体" w:hAnsi="宋体" w:eastAsia="宋体" w:cs="宋体"/>
          <w:bCs/>
          <w:kern w:val="2"/>
          <w:sz w:val="24"/>
          <w:szCs w:val="24"/>
          <w:u w:val="single"/>
        </w:rPr>
      </w:pPr>
    </w:p>
    <w:p w14:paraId="5B5FECFA">
      <w:pPr>
        <w:adjustRightInd/>
        <w:spacing w:after="0" w:line="360" w:lineRule="auto"/>
        <w:ind w:firstLine="5880" w:firstLineChars="2450"/>
        <w:jc w:val="both"/>
        <w:textAlignment w:val="baseline"/>
        <w:rPr>
          <w:rFonts w:ascii="宋体" w:hAnsi="宋体" w:eastAsia="宋体" w:cs="宋体"/>
          <w:bCs/>
          <w:kern w:val="2"/>
          <w:sz w:val="24"/>
          <w:szCs w:val="24"/>
          <w:u w:val="single"/>
        </w:rPr>
      </w:pPr>
    </w:p>
    <w:p w14:paraId="402488A8">
      <w:pPr>
        <w:adjustRightInd/>
        <w:spacing w:after="0" w:line="360" w:lineRule="auto"/>
        <w:ind w:firstLine="5880" w:firstLineChars="2450"/>
        <w:jc w:val="both"/>
        <w:textAlignment w:val="baseline"/>
        <w:rPr>
          <w:rFonts w:ascii="宋体" w:hAnsi="宋体" w:eastAsia="宋体" w:cs="宋体"/>
          <w:bCs/>
          <w:kern w:val="2"/>
          <w:sz w:val="24"/>
          <w:szCs w:val="24"/>
          <w:u w:val="single"/>
        </w:rPr>
      </w:pPr>
    </w:p>
    <w:p w14:paraId="1E5C83F0">
      <w:pPr>
        <w:rPr>
          <w:rFonts w:ascii="宋体" w:hAnsi="宋体" w:eastAsia="宋体" w:cs="宋体"/>
          <w:sz w:val="24"/>
          <w:szCs w:val="24"/>
        </w:rPr>
      </w:pPr>
      <w:bookmarkStart w:id="246" w:name="_Toc26546"/>
      <w:bookmarkStart w:id="247" w:name="_Toc26911"/>
      <w:bookmarkStart w:id="248" w:name="_Toc15315"/>
      <w:bookmarkStart w:id="249" w:name="_Toc1038"/>
    </w:p>
    <w:p w14:paraId="6AF2F2E3">
      <w:pPr>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p>
    <w:p w14:paraId="64CE1C6B">
      <w:pPr>
        <w:jc w:val="center"/>
        <w:outlineLvl w:val="1"/>
        <w:rPr>
          <w:rFonts w:ascii="宋体" w:hAnsi="宋体" w:eastAsia="宋体" w:cs="宋体"/>
          <w:b/>
          <w:bCs/>
          <w:sz w:val="24"/>
          <w:szCs w:val="24"/>
        </w:rPr>
      </w:pPr>
      <w:bookmarkStart w:id="250" w:name="_Toc791"/>
      <w:bookmarkStart w:id="251" w:name="_Toc2729"/>
      <w:r>
        <w:rPr>
          <w:rFonts w:hint="eastAsia" w:ascii="宋体" w:hAnsi="宋体" w:eastAsia="宋体" w:cs="宋体"/>
          <w:b/>
          <w:bCs/>
          <w:sz w:val="24"/>
          <w:szCs w:val="24"/>
        </w:rPr>
        <w:t>附件10：</w:t>
      </w:r>
      <w:bookmarkEnd w:id="250"/>
      <w:r>
        <w:rPr>
          <w:rFonts w:hint="eastAsia" w:ascii="宋体" w:hAnsi="宋体" w:eastAsia="宋体" w:cs="宋体"/>
          <w:b/>
          <w:bCs/>
          <w:sz w:val="24"/>
          <w:szCs w:val="24"/>
        </w:rPr>
        <w:t>供应商基本情况</w:t>
      </w:r>
      <w:bookmarkEnd w:id="246"/>
      <w:bookmarkEnd w:id="251"/>
    </w:p>
    <w:tbl>
      <w:tblPr>
        <w:tblStyle w:val="15"/>
        <w:tblW w:w="9705"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2"/>
        <w:gridCol w:w="3121"/>
        <w:gridCol w:w="1801"/>
        <w:gridCol w:w="371"/>
        <w:gridCol w:w="1830"/>
      </w:tblGrid>
      <w:tr w14:paraId="1130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582" w:type="dxa"/>
          </w:tcPr>
          <w:p w14:paraId="30E17F1F">
            <w:pPr>
              <w:pStyle w:val="19"/>
              <w:spacing w:before="127" w:line="600" w:lineRule="exact"/>
              <w:ind w:left="164" w:right="157"/>
              <w:jc w:val="center"/>
              <w:rPr>
                <w:rFonts w:eastAsia="宋体"/>
                <w:sz w:val="24"/>
                <w:szCs w:val="24"/>
              </w:rPr>
            </w:pPr>
            <w:r>
              <w:rPr>
                <w:rFonts w:hint="eastAsia" w:eastAsia="宋体"/>
                <w:sz w:val="24"/>
                <w:szCs w:val="24"/>
              </w:rPr>
              <w:t>供应商全称</w:t>
            </w:r>
          </w:p>
        </w:tc>
        <w:tc>
          <w:tcPr>
            <w:tcW w:w="3121" w:type="dxa"/>
          </w:tcPr>
          <w:p w14:paraId="3335BBC9">
            <w:pPr>
              <w:pStyle w:val="19"/>
              <w:spacing w:before="127" w:line="600" w:lineRule="exact"/>
              <w:ind w:left="97" w:right="88"/>
              <w:jc w:val="center"/>
              <w:rPr>
                <w:rFonts w:eastAsia="宋体"/>
                <w:sz w:val="24"/>
                <w:szCs w:val="24"/>
              </w:rPr>
            </w:pPr>
            <w:r>
              <w:rPr>
                <w:rFonts w:hint="eastAsia" w:eastAsia="宋体"/>
                <w:sz w:val="24"/>
                <w:szCs w:val="24"/>
              </w:rPr>
              <w:t>须附营业执照复印件</w:t>
            </w:r>
          </w:p>
        </w:tc>
        <w:tc>
          <w:tcPr>
            <w:tcW w:w="2172" w:type="dxa"/>
            <w:gridSpan w:val="2"/>
          </w:tcPr>
          <w:p w14:paraId="02DF2467">
            <w:pPr>
              <w:pStyle w:val="19"/>
              <w:spacing w:before="127" w:line="600" w:lineRule="exact"/>
              <w:ind w:left="179"/>
              <w:rPr>
                <w:rFonts w:eastAsia="宋体"/>
                <w:sz w:val="24"/>
                <w:szCs w:val="24"/>
              </w:rPr>
            </w:pPr>
            <w:r>
              <w:rPr>
                <w:rFonts w:hint="eastAsia" w:eastAsia="宋体"/>
                <w:sz w:val="24"/>
                <w:szCs w:val="24"/>
              </w:rPr>
              <w:t>法定代表人</w:t>
            </w:r>
          </w:p>
        </w:tc>
        <w:tc>
          <w:tcPr>
            <w:tcW w:w="1830" w:type="dxa"/>
          </w:tcPr>
          <w:p w14:paraId="3730C9A7">
            <w:pPr>
              <w:pStyle w:val="19"/>
              <w:spacing w:line="600" w:lineRule="exact"/>
              <w:rPr>
                <w:rFonts w:eastAsia="宋体"/>
                <w:sz w:val="24"/>
                <w:szCs w:val="24"/>
              </w:rPr>
            </w:pPr>
          </w:p>
        </w:tc>
      </w:tr>
      <w:tr w14:paraId="701C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582" w:type="dxa"/>
          </w:tcPr>
          <w:p w14:paraId="73438DCD">
            <w:pPr>
              <w:pStyle w:val="19"/>
              <w:spacing w:before="129" w:line="600" w:lineRule="exact"/>
              <w:ind w:left="164" w:right="157"/>
              <w:jc w:val="center"/>
              <w:rPr>
                <w:rFonts w:eastAsia="宋体"/>
                <w:sz w:val="24"/>
                <w:szCs w:val="24"/>
              </w:rPr>
            </w:pPr>
            <w:r>
              <w:rPr>
                <w:rFonts w:hint="eastAsia" w:eastAsia="宋体"/>
                <w:sz w:val="24"/>
                <w:szCs w:val="24"/>
              </w:rPr>
              <w:t>注册地</w:t>
            </w:r>
          </w:p>
        </w:tc>
        <w:tc>
          <w:tcPr>
            <w:tcW w:w="3121" w:type="dxa"/>
          </w:tcPr>
          <w:p w14:paraId="7CF71ACF">
            <w:pPr>
              <w:pStyle w:val="19"/>
              <w:spacing w:line="600" w:lineRule="exact"/>
              <w:rPr>
                <w:rFonts w:eastAsia="宋体"/>
                <w:sz w:val="24"/>
                <w:szCs w:val="24"/>
              </w:rPr>
            </w:pPr>
          </w:p>
        </w:tc>
        <w:tc>
          <w:tcPr>
            <w:tcW w:w="2172" w:type="dxa"/>
            <w:gridSpan w:val="2"/>
          </w:tcPr>
          <w:p w14:paraId="43F83B62">
            <w:pPr>
              <w:pStyle w:val="19"/>
              <w:spacing w:before="129" w:line="600" w:lineRule="exact"/>
              <w:ind w:left="299"/>
              <w:rPr>
                <w:rFonts w:eastAsia="宋体"/>
                <w:sz w:val="24"/>
                <w:szCs w:val="24"/>
              </w:rPr>
            </w:pPr>
            <w:r>
              <w:rPr>
                <w:rFonts w:hint="eastAsia" w:eastAsia="宋体"/>
                <w:sz w:val="24"/>
                <w:szCs w:val="24"/>
              </w:rPr>
              <w:t>注册年份</w:t>
            </w:r>
          </w:p>
        </w:tc>
        <w:tc>
          <w:tcPr>
            <w:tcW w:w="1830" w:type="dxa"/>
          </w:tcPr>
          <w:p w14:paraId="4EC91653">
            <w:pPr>
              <w:pStyle w:val="19"/>
              <w:spacing w:line="600" w:lineRule="exact"/>
              <w:rPr>
                <w:rFonts w:eastAsia="宋体"/>
                <w:sz w:val="24"/>
                <w:szCs w:val="24"/>
              </w:rPr>
            </w:pPr>
          </w:p>
        </w:tc>
      </w:tr>
      <w:tr w14:paraId="242A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582" w:type="dxa"/>
          </w:tcPr>
          <w:p w14:paraId="21DF8DA2">
            <w:pPr>
              <w:pStyle w:val="19"/>
              <w:spacing w:before="128" w:line="600" w:lineRule="exact"/>
              <w:ind w:left="164" w:right="157"/>
              <w:jc w:val="center"/>
              <w:rPr>
                <w:rFonts w:eastAsia="宋体"/>
                <w:sz w:val="24"/>
                <w:szCs w:val="24"/>
              </w:rPr>
            </w:pPr>
            <w:r>
              <w:rPr>
                <w:rFonts w:hint="eastAsia" w:eastAsia="宋体"/>
                <w:sz w:val="24"/>
                <w:szCs w:val="24"/>
              </w:rPr>
              <w:t>注册资金</w:t>
            </w:r>
          </w:p>
        </w:tc>
        <w:tc>
          <w:tcPr>
            <w:tcW w:w="3121" w:type="dxa"/>
          </w:tcPr>
          <w:p w14:paraId="69B266D2">
            <w:pPr>
              <w:pStyle w:val="19"/>
              <w:spacing w:line="600" w:lineRule="exact"/>
              <w:rPr>
                <w:rFonts w:eastAsia="宋体"/>
                <w:sz w:val="24"/>
                <w:szCs w:val="24"/>
              </w:rPr>
            </w:pPr>
          </w:p>
        </w:tc>
        <w:tc>
          <w:tcPr>
            <w:tcW w:w="2172" w:type="dxa"/>
            <w:gridSpan w:val="2"/>
          </w:tcPr>
          <w:p w14:paraId="012F189E">
            <w:pPr>
              <w:pStyle w:val="19"/>
              <w:spacing w:before="128" w:line="600" w:lineRule="exact"/>
              <w:ind w:left="299"/>
              <w:rPr>
                <w:rFonts w:eastAsia="宋体"/>
                <w:sz w:val="24"/>
                <w:szCs w:val="24"/>
              </w:rPr>
            </w:pPr>
            <w:r>
              <w:rPr>
                <w:rFonts w:hint="eastAsia" w:eastAsia="宋体"/>
                <w:sz w:val="24"/>
                <w:szCs w:val="24"/>
              </w:rPr>
              <w:t>单位性质</w:t>
            </w:r>
          </w:p>
        </w:tc>
        <w:tc>
          <w:tcPr>
            <w:tcW w:w="1830" w:type="dxa"/>
          </w:tcPr>
          <w:p w14:paraId="59AA5172">
            <w:pPr>
              <w:pStyle w:val="19"/>
              <w:spacing w:line="600" w:lineRule="exact"/>
              <w:rPr>
                <w:rFonts w:eastAsia="宋体"/>
                <w:sz w:val="24"/>
                <w:szCs w:val="24"/>
              </w:rPr>
            </w:pPr>
          </w:p>
        </w:tc>
      </w:tr>
      <w:tr w14:paraId="548EF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582" w:type="dxa"/>
          </w:tcPr>
          <w:p w14:paraId="2B161D93">
            <w:pPr>
              <w:pStyle w:val="19"/>
              <w:spacing w:before="128" w:line="600" w:lineRule="exact"/>
              <w:ind w:left="164" w:right="157"/>
              <w:jc w:val="center"/>
              <w:rPr>
                <w:rFonts w:eastAsia="宋体"/>
                <w:sz w:val="24"/>
                <w:szCs w:val="24"/>
              </w:rPr>
            </w:pPr>
            <w:r>
              <w:rPr>
                <w:rFonts w:hint="eastAsia" w:eastAsia="宋体"/>
                <w:sz w:val="24"/>
                <w:szCs w:val="24"/>
              </w:rPr>
              <w:t>总部地址</w:t>
            </w:r>
          </w:p>
        </w:tc>
        <w:tc>
          <w:tcPr>
            <w:tcW w:w="3121" w:type="dxa"/>
          </w:tcPr>
          <w:p w14:paraId="084BA1A1">
            <w:pPr>
              <w:pStyle w:val="19"/>
              <w:spacing w:line="600" w:lineRule="exact"/>
              <w:rPr>
                <w:rFonts w:eastAsia="宋体"/>
                <w:sz w:val="24"/>
                <w:szCs w:val="24"/>
              </w:rPr>
            </w:pPr>
          </w:p>
        </w:tc>
        <w:tc>
          <w:tcPr>
            <w:tcW w:w="2172" w:type="dxa"/>
            <w:gridSpan w:val="2"/>
          </w:tcPr>
          <w:p w14:paraId="146B4ECA">
            <w:pPr>
              <w:pStyle w:val="19"/>
              <w:spacing w:before="128" w:line="600" w:lineRule="exact"/>
              <w:ind w:left="419"/>
              <w:rPr>
                <w:rFonts w:eastAsia="宋体"/>
                <w:sz w:val="24"/>
                <w:szCs w:val="24"/>
              </w:rPr>
            </w:pPr>
            <w:r>
              <w:rPr>
                <w:rFonts w:hint="eastAsia" w:eastAsia="宋体"/>
                <w:sz w:val="24"/>
                <w:szCs w:val="24"/>
              </w:rPr>
              <w:t>联系人</w:t>
            </w:r>
          </w:p>
        </w:tc>
        <w:tc>
          <w:tcPr>
            <w:tcW w:w="1830" w:type="dxa"/>
          </w:tcPr>
          <w:p w14:paraId="06D8527B">
            <w:pPr>
              <w:pStyle w:val="19"/>
              <w:spacing w:line="600" w:lineRule="exact"/>
              <w:rPr>
                <w:rFonts w:eastAsia="宋体"/>
                <w:sz w:val="24"/>
                <w:szCs w:val="24"/>
              </w:rPr>
            </w:pPr>
          </w:p>
        </w:tc>
      </w:tr>
      <w:tr w14:paraId="59BB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582" w:type="dxa"/>
          </w:tcPr>
          <w:p w14:paraId="6A9A9C49">
            <w:pPr>
              <w:pStyle w:val="19"/>
              <w:spacing w:before="127" w:line="600" w:lineRule="exact"/>
              <w:ind w:left="164" w:right="157"/>
              <w:jc w:val="center"/>
              <w:rPr>
                <w:rFonts w:eastAsia="宋体"/>
                <w:sz w:val="24"/>
                <w:szCs w:val="24"/>
              </w:rPr>
            </w:pPr>
            <w:r>
              <w:rPr>
                <w:rFonts w:hint="eastAsia" w:eastAsia="宋体"/>
                <w:sz w:val="24"/>
                <w:szCs w:val="24"/>
              </w:rPr>
              <w:t>电话</w:t>
            </w:r>
          </w:p>
        </w:tc>
        <w:tc>
          <w:tcPr>
            <w:tcW w:w="3121" w:type="dxa"/>
          </w:tcPr>
          <w:p w14:paraId="7B49B51E">
            <w:pPr>
              <w:pStyle w:val="19"/>
              <w:spacing w:line="600" w:lineRule="exact"/>
              <w:rPr>
                <w:rFonts w:eastAsia="宋体"/>
                <w:sz w:val="24"/>
                <w:szCs w:val="24"/>
              </w:rPr>
            </w:pPr>
          </w:p>
        </w:tc>
        <w:tc>
          <w:tcPr>
            <w:tcW w:w="2172" w:type="dxa"/>
            <w:gridSpan w:val="2"/>
          </w:tcPr>
          <w:p w14:paraId="68AE1666">
            <w:pPr>
              <w:pStyle w:val="19"/>
              <w:spacing w:before="127" w:line="600" w:lineRule="exact"/>
              <w:ind w:left="519" w:right="510"/>
              <w:rPr>
                <w:rFonts w:eastAsia="宋体"/>
                <w:sz w:val="24"/>
                <w:szCs w:val="24"/>
              </w:rPr>
            </w:pPr>
            <w:r>
              <w:rPr>
                <w:rFonts w:hint="eastAsia" w:eastAsia="宋体"/>
                <w:sz w:val="24"/>
                <w:szCs w:val="24"/>
              </w:rPr>
              <w:t>传真</w:t>
            </w:r>
          </w:p>
        </w:tc>
        <w:tc>
          <w:tcPr>
            <w:tcW w:w="1830" w:type="dxa"/>
          </w:tcPr>
          <w:p w14:paraId="4469A6F5">
            <w:pPr>
              <w:pStyle w:val="19"/>
              <w:spacing w:line="600" w:lineRule="exact"/>
              <w:rPr>
                <w:rFonts w:eastAsia="宋体"/>
                <w:sz w:val="24"/>
                <w:szCs w:val="24"/>
              </w:rPr>
            </w:pPr>
          </w:p>
        </w:tc>
      </w:tr>
      <w:tr w14:paraId="0522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582" w:type="dxa"/>
          </w:tcPr>
          <w:p w14:paraId="10A232BF">
            <w:pPr>
              <w:pStyle w:val="19"/>
              <w:spacing w:before="129" w:line="600" w:lineRule="exact"/>
              <w:ind w:left="164" w:right="157"/>
              <w:jc w:val="center"/>
              <w:rPr>
                <w:rFonts w:eastAsia="宋体"/>
                <w:sz w:val="24"/>
                <w:szCs w:val="24"/>
              </w:rPr>
            </w:pPr>
            <w:r>
              <w:rPr>
                <w:rFonts w:hint="eastAsia" w:eastAsia="宋体"/>
                <w:sz w:val="24"/>
                <w:szCs w:val="24"/>
              </w:rPr>
              <w:t>常驻当地机构地址</w:t>
            </w:r>
          </w:p>
        </w:tc>
        <w:tc>
          <w:tcPr>
            <w:tcW w:w="3121" w:type="dxa"/>
          </w:tcPr>
          <w:p w14:paraId="131C5869">
            <w:pPr>
              <w:pStyle w:val="19"/>
              <w:spacing w:line="600" w:lineRule="exact"/>
              <w:rPr>
                <w:rFonts w:eastAsia="宋体"/>
                <w:sz w:val="24"/>
                <w:szCs w:val="24"/>
              </w:rPr>
            </w:pPr>
          </w:p>
        </w:tc>
        <w:tc>
          <w:tcPr>
            <w:tcW w:w="2172" w:type="dxa"/>
            <w:gridSpan w:val="2"/>
          </w:tcPr>
          <w:p w14:paraId="12DB8CBD">
            <w:pPr>
              <w:pStyle w:val="19"/>
              <w:spacing w:before="129" w:line="600" w:lineRule="exact"/>
              <w:ind w:left="419"/>
              <w:rPr>
                <w:rFonts w:eastAsia="宋体"/>
                <w:sz w:val="24"/>
                <w:szCs w:val="24"/>
              </w:rPr>
            </w:pPr>
            <w:r>
              <w:rPr>
                <w:rFonts w:hint="eastAsia" w:eastAsia="宋体"/>
                <w:sz w:val="24"/>
                <w:szCs w:val="24"/>
              </w:rPr>
              <w:t>联系人</w:t>
            </w:r>
          </w:p>
        </w:tc>
        <w:tc>
          <w:tcPr>
            <w:tcW w:w="1830" w:type="dxa"/>
          </w:tcPr>
          <w:p w14:paraId="1D2762B2">
            <w:pPr>
              <w:pStyle w:val="19"/>
              <w:spacing w:line="600" w:lineRule="exact"/>
              <w:rPr>
                <w:rFonts w:eastAsia="宋体"/>
                <w:sz w:val="24"/>
                <w:szCs w:val="24"/>
              </w:rPr>
            </w:pPr>
          </w:p>
        </w:tc>
      </w:tr>
      <w:tr w14:paraId="3CBF7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582" w:type="dxa"/>
          </w:tcPr>
          <w:p w14:paraId="2F9EF41C">
            <w:pPr>
              <w:pStyle w:val="19"/>
              <w:spacing w:before="128" w:line="600" w:lineRule="exact"/>
              <w:ind w:left="164" w:right="157"/>
              <w:jc w:val="center"/>
              <w:rPr>
                <w:rFonts w:eastAsia="宋体"/>
                <w:sz w:val="24"/>
                <w:szCs w:val="24"/>
              </w:rPr>
            </w:pPr>
            <w:r>
              <w:rPr>
                <w:rFonts w:hint="eastAsia" w:eastAsia="宋体"/>
                <w:sz w:val="24"/>
                <w:szCs w:val="24"/>
              </w:rPr>
              <w:t>电话</w:t>
            </w:r>
          </w:p>
        </w:tc>
        <w:tc>
          <w:tcPr>
            <w:tcW w:w="3121" w:type="dxa"/>
          </w:tcPr>
          <w:p w14:paraId="62DAE669">
            <w:pPr>
              <w:pStyle w:val="19"/>
              <w:spacing w:line="600" w:lineRule="exact"/>
              <w:rPr>
                <w:rFonts w:eastAsia="宋体"/>
                <w:sz w:val="24"/>
                <w:szCs w:val="24"/>
              </w:rPr>
            </w:pPr>
          </w:p>
        </w:tc>
        <w:tc>
          <w:tcPr>
            <w:tcW w:w="2172" w:type="dxa"/>
            <w:gridSpan w:val="2"/>
          </w:tcPr>
          <w:p w14:paraId="43DD2AE7">
            <w:pPr>
              <w:pStyle w:val="19"/>
              <w:spacing w:before="128" w:line="600" w:lineRule="exact"/>
              <w:ind w:left="519" w:right="510"/>
              <w:rPr>
                <w:rFonts w:eastAsia="宋体"/>
                <w:sz w:val="24"/>
                <w:szCs w:val="24"/>
              </w:rPr>
            </w:pPr>
            <w:r>
              <w:rPr>
                <w:rFonts w:hint="eastAsia" w:eastAsia="宋体"/>
                <w:sz w:val="24"/>
                <w:szCs w:val="24"/>
              </w:rPr>
              <w:t>传真</w:t>
            </w:r>
          </w:p>
        </w:tc>
        <w:tc>
          <w:tcPr>
            <w:tcW w:w="1830" w:type="dxa"/>
          </w:tcPr>
          <w:p w14:paraId="331D2CBD">
            <w:pPr>
              <w:pStyle w:val="19"/>
              <w:spacing w:line="600" w:lineRule="exact"/>
              <w:rPr>
                <w:rFonts w:eastAsia="宋体"/>
                <w:sz w:val="24"/>
                <w:szCs w:val="24"/>
              </w:rPr>
            </w:pPr>
          </w:p>
        </w:tc>
      </w:tr>
      <w:tr w14:paraId="5E1D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582" w:type="dxa"/>
          </w:tcPr>
          <w:p w14:paraId="21E8FB5A">
            <w:pPr>
              <w:pStyle w:val="19"/>
              <w:spacing w:before="128" w:line="600" w:lineRule="exact"/>
              <w:ind w:left="164" w:right="157"/>
              <w:jc w:val="center"/>
              <w:rPr>
                <w:rFonts w:eastAsia="宋体"/>
                <w:sz w:val="24"/>
                <w:szCs w:val="24"/>
              </w:rPr>
            </w:pPr>
            <w:r>
              <w:rPr>
                <w:rFonts w:hint="eastAsia" w:eastAsia="宋体"/>
                <w:sz w:val="24"/>
                <w:szCs w:val="24"/>
              </w:rPr>
              <w:t>其他证书</w:t>
            </w:r>
          </w:p>
        </w:tc>
        <w:tc>
          <w:tcPr>
            <w:tcW w:w="3121" w:type="dxa"/>
          </w:tcPr>
          <w:p w14:paraId="680DAB6E">
            <w:pPr>
              <w:pStyle w:val="19"/>
              <w:spacing w:before="128" w:line="600" w:lineRule="exact"/>
              <w:ind w:left="97" w:right="88"/>
              <w:jc w:val="center"/>
              <w:rPr>
                <w:rFonts w:eastAsia="宋体"/>
                <w:sz w:val="24"/>
                <w:szCs w:val="24"/>
              </w:rPr>
            </w:pPr>
            <w:r>
              <w:rPr>
                <w:rFonts w:hint="eastAsia" w:eastAsia="宋体"/>
                <w:sz w:val="24"/>
                <w:szCs w:val="24"/>
              </w:rPr>
              <w:t>须附有关证书的复印件</w:t>
            </w:r>
          </w:p>
        </w:tc>
        <w:tc>
          <w:tcPr>
            <w:tcW w:w="2172" w:type="dxa"/>
            <w:gridSpan w:val="2"/>
          </w:tcPr>
          <w:p w14:paraId="25FA1CC9">
            <w:pPr>
              <w:pStyle w:val="19"/>
              <w:spacing w:before="128" w:line="600" w:lineRule="exact"/>
              <w:ind w:left="299"/>
              <w:rPr>
                <w:rFonts w:eastAsia="宋体"/>
                <w:sz w:val="24"/>
                <w:szCs w:val="24"/>
              </w:rPr>
            </w:pPr>
            <w:r>
              <w:rPr>
                <w:rFonts w:hint="eastAsia" w:eastAsia="宋体"/>
                <w:sz w:val="24"/>
                <w:szCs w:val="24"/>
              </w:rPr>
              <w:t>荣誉证书</w:t>
            </w:r>
          </w:p>
        </w:tc>
        <w:tc>
          <w:tcPr>
            <w:tcW w:w="1830" w:type="dxa"/>
          </w:tcPr>
          <w:p w14:paraId="1946ED5A">
            <w:pPr>
              <w:pStyle w:val="19"/>
              <w:spacing w:before="128" w:line="600" w:lineRule="exact"/>
              <w:ind w:left="139"/>
              <w:rPr>
                <w:rFonts w:eastAsia="宋体"/>
                <w:sz w:val="24"/>
                <w:szCs w:val="24"/>
              </w:rPr>
            </w:pPr>
            <w:r>
              <w:rPr>
                <w:rFonts w:hint="eastAsia" w:eastAsia="宋体"/>
                <w:sz w:val="24"/>
                <w:szCs w:val="24"/>
              </w:rPr>
              <w:t>须附有关证书的复印件</w:t>
            </w:r>
          </w:p>
        </w:tc>
      </w:tr>
      <w:tr w14:paraId="7D776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2582" w:type="dxa"/>
          </w:tcPr>
          <w:p w14:paraId="3EAE425C">
            <w:pPr>
              <w:pStyle w:val="19"/>
              <w:spacing w:before="179" w:line="600" w:lineRule="exact"/>
              <w:ind w:left="664" w:right="415" w:hanging="240"/>
              <w:rPr>
                <w:rFonts w:eastAsia="宋体"/>
                <w:sz w:val="24"/>
                <w:szCs w:val="24"/>
              </w:rPr>
            </w:pPr>
            <w:r>
              <w:rPr>
                <w:rFonts w:hint="eastAsia" w:eastAsia="宋体"/>
                <w:spacing w:val="-1"/>
                <w:sz w:val="24"/>
                <w:szCs w:val="24"/>
              </w:rPr>
              <w:t>类似项目工作</w:t>
            </w:r>
            <w:r>
              <w:rPr>
                <w:rFonts w:hint="eastAsia" w:eastAsia="宋体"/>
                <w:sz w:val="24"/>
                <w:szCs w:val="24"/>
              </w:rPr>
              <w:t>经历年数</w:t>
            </w:r>
          </w:p>
        </w:tc>
        <w:tc>
          <w:tcPr>
            <w:tcW w:w="7123" w:type="dxa"/>
            <w:gridSpan w:val="4"/>
          </w:tcPr>
          <w:p w14:paraId="6DB46E96">
            <w:pPr>
              <w:pStyle w:val="19"/>
              <w:spacing w:line="600" w:lineRule="exact"/>
              <w:rPr>
                <w:rFonts w:eastAsia="宋体"/>
                <w:sz w:val="24"/>
                <w:szCs w:val="24"/>
              </w:rPr>
            </w:pPr>
          </w:p>
        </w:tc>
      </w:tr>
      <w:tr w14:paraId="502F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582" w:type="dxa"/>
          </w:tcPr>
          <w:p w14:paraId="2F618AF7">
            <w:pPr>
              <w:pStyle w:val="19"/>
              <w:spacing w:before="168" w:line="600" w:lineRule="exact"/>
              <w:ind w:left="164" w:right="157"/>
              <w:jc w:val="center"/>
              <w:rPr>
                <w:rFonts w:eastAsia="宋体"/>
                <w:sz w:val="24"/>
                <w:szCs w:val="24"/>
              </w:rPr>
            </w:pPr>
            <w:r>
              <w:rPr>
                <w:rFonts w:hint="eastAsia" w:eastAsia="宋体"/>
                <w:sz w:val="24"/>
                <w:szCs w:val="24"/>
              </w:rPr>
              <w:t>主营范围</w:t>
            </w:r>
          </w:p>
        </w:tc>
        <w:tc>
          <w:tcPr>
            <w:tcW w:w="7123" w:type="dxa"/>
            <w:gridSpan w:val="4"/>
          </w:tcPr>
          <w:p w14:paraId="7200DA03">
            <w:pPr>
              <w:pStyle w:val="19"/>
              <w:spacing w:line="600" w:lineRule="exact"/>
              <w:rPr>
                <w:rFonts w:eastAsia="宋体"/>
                <w:sz w:val="24"/>
                <w:szCs w:val="24"/>
              </w:rPr>
            </w:pPr>
          </w:p>
        </w:tc>
      </w:tr>
      <w:tr w14:paraId="74CF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582" w:type="dxa"/>
          </w:tcPr>
          <w:p w14:paraId="2F16B1EE">
            <w:pPr>
              <w:pStyle w:val="19"/>
              <w:spacing w:line="600" w:lineRule="exact"/>
              <w:ind w:left="164" w:right="157"/>
              <w:jc w:val="center"/>
              <w:rPr>
                <w:rFonts w:eastAsia="宋体"/>
                <w:sz w:val="24"/>
                <w:szCs w:val="24"/>
              </w:rPr>
            </w:pPr>
            <w:r>
              <w:rPr>
                <w:rFonts w:hint="eastAsia" w:eastAsia="宋体"/>
                <w:sz w:val="24"/>
                <w:szCs w:val="24"/>
              </w:rPr>
              <w:t>近三年营业额</w:t>
            </w:r>
          </w:p>
        </w:tc>
        <w:tc>
          <w:tcPr>
            <w:tcW w:w="3121" w:type="dxa"/>
          </w:tcPr>
          <w:p w14:paraId="06508147">
            <w:pPr>
              <w:pStyle w:val="19"/>
              <w:spacing w:line="600" w:lineRule="exact"/>
              <w:rPr>
                <w:rFonts w:eastAsia="宋体"/>
                <w:sz w:val="24"/>
                <w:szCs w:val="24"/>
              </w:rPr>
            </w:pPr>
          </w:p>
        </w:tc>
        <w:tc>
          <w:tcPr>
            <w:tcW w:w="1801" w:type="dxa"/>
          </w:tcPr>
          <w:p w14:paraId="4C97F344">
            <w:pPr>
              <w:pStyle w:val="19"/>
              <w:spacing w:line="600" w:lineRule="exact"/>
              <w:ind w:left="423"/>
              <w:rPr>
                <w:rFonts w:eastAsia="宋体"/>
                <w:sz w:val="24"/>
                <w:szCs w:val="24"/>
              </w:rPr>
            </w:pPr>
            <w:r>
              <w:rPr>
                <w:rFonts w:hint="eastAsia" w:eastAsia="宋体"/>
                <w:sz w:val="24"/>
                <w:szCs w:val="24"/>
              </w:rPr>
              <w:t>财务状况</w:t>
            </w:r>
          </w:p>
        </w:tc>
        <w:tc>
          <w:tcPr>
            <w:tcW w:w="2201" w:type="dxa"/>
            <w:gridSpan w:val="2"/>
          </w:tcPr>
          <w:p w14:paraId="216C1333">
            <w:pPr>
              <w:pStyle w:val="19"/>
              <w:spacing w:line="600" w:lineRule="exact"/>
              <w:rPr>
                <w:rFonts w:eastAsia="宋体"/>
                <w:sz w:val="24"/>
                <w:szCs w:val="24"/>
              </w:rPr>
            </w:pPr>
          </w:p>
        </w:tc>
      </w:tr>
      <w:tr w14:paraId="4450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9705" w:type="dxa"/>
            <w:gridSpan w:val="5"/>
          </w:tcPr>
          <w:p w14:paraId="134E92A1">
            <w:pPr>
              <w:pStyle w:val="19"/>
              <w:spacing w:before="127" w:line="600" w:lineRule="exact"/>
              <w:ind w:left="108"/>
              <w:rPr>
                <w:rFonts w:eastAsia="宋体"/>
                <w:sz w:val="24"/>
                <w:szCs w:val="24"/>
              </w:rPr>
            </w:pPr>
            <w:r>
              <w:rPr>
                <w:rFonts w:hint="eastAsia" w:eastAsia="宋体"/>
                <w:sz w:val="24"/>
                <w:szCs w:val="24"/>
              </w:rPr>
              <w:t>其他需要说明的情况：</w:t>
            </w:r>
          </w:p>
        </w:tc>
      </w:tr>
    </w:tbl>
    <w:p w14:paraId="39A2285C">
      <w:pPr>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bookmarkStart w:id="252" w:name="_Toc4718"/>
    </w:p>
    <w:p w14:paraId="6D02A386">
      <w:pPr>
        <w:jc w:val="center"/>
        <w:outlineLvl w:val="1"/>
        <w:rPr>
          <w:rFonts w:ascii="宋体" w:hAnsi="宋体" w:eastAsia="宋体" w:cs="宋体"/>
          <w:b/>
          <w:kern w:val="2"/>
          <w:sz w:val="24"/>
          <w:szCs w:val="24"/>
        </w:rPr>
      </w:pPr>
      <w:bookmarkStart w:id="253" w:name="_Toc19827"/>
      <w:bookmarkStart w:id="254" w:name="_Toc16061"/>
      <w:r>
        <w:rPr>
          <w:rFonts w:hint="eastAsia" w:ascii="宋体" w:hAnsi="宋体" w:eastAsia="宋体" w:cs="宋体"/>
          <w:b/>
          <w:bCs/>
          <w:sz w:val="24"/>
          <w:szCs w:val="24"/>
        </w:rPr>
        <w:t>附件11：</w:t>
      </w:r>
      <w:bookmarkEnd w:id="247"/>
      <w:bookmarkEnd w:id="248"/>
      <w:bookmarkEnd w:id="249"/>
      <w:bookmarkEnd w:id="252"/>
      <w:bookmarkEnd w:id="253"/>
      <w:r>
        <w:rPr>
          <w:rFonts w:hint="eastAsia" w:ascii="宋体" w:hAnsi="宋体" w:eastAsia="宋体" w:cs="宋体"/>
          <w:b/>
          <w:kern w:val="2"/>
          <w:sz w:val="24"/>
          <w:szCs w:val="24"/>
        </w:rPr>
        <w:t>技术偏离表</w:t>
      </w:r>
      <w:bookmarkEnd w:id="254"/>
    </w:p>
    <w:tbl>
      <w:tblPr>
        <w:tblStyle w:val="15"/>
        <w:tblW w:w="8841" w:type="dxa"/>
        <w:jc w:val="center"/>
        <w:tblLayout w:type="fixed"/>
        <w:tblCellMar>
          <w:top w:w="0" w:type="dxa"/>
          <w:left w:w="0" w:type="dxa"/>
          <w:bottom w:w="0" w:type="dxa"/>
          <w:right w:w="0" w:type="dxa"/>
        </w:tblCellMar>
      </w:tblPr>
      <w:tblGrid>
        <w:gridCol w:w="1080"/>
        <w:gridCol w:w="1440"/>
        <w:gridCol w:w="2160"/>
        <w:gridCol w:w="2550"/>
        <w:gridCol w:w="1611"/>
      </w:tblGrid>
      <w:tr w14:paraId="3BD9563E">
        <w:tblPrEx>
          <w:tblCellMar>
            <w:top w:w="0" w:type="dxa"/>
            <w:left w:w="0" w:type="dxa"/>
            <w:bottom w:w="0" w:type="dxa"/>
            <w:right w:w="0" w:type="dxa"/>
          </w:tblCellMar>
        </w:tblPrEx>
        <w:trPr>
          <w:cantSplit/>
          <w:trHeight w:val="402"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14E8F562">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序号</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14:paraId="7EFDD52E">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品名</w:t>
            </w:r>
          </w:p>
        </w:tc>
        <w:tc>
          <w:tcPr>
            <w:tcW w:w="4710" w:type="dxa"/>
            <w:gridSpan w:val="2"/>
            <w:tcBorders>
              <w:top w:val="single" w:color="000000" w:sz="4" w:space="0"/>
              <w:left w:val="nil"/>
              <w:bottom w:val="single" w:color="000000" w:sz="4" w:space="0"/>
              <w:right w:val="single" w:color="000000" w:sz="4" w:space="0"/>
            </w:tcBorders>
            <w:vAlign w:val="center"/>
          </w:tcPr>
          <w:p w14:paraId="2D34B66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规格响应情况</w:t>
            </w:r>
          </w:p>
        </w:tc>
        <w:tc>
          <w:tcPr>
            <w:tcW w:w="1611" w:type="dxa"/>
            <w:tcBorders>
              <w:top w:val="single" w:color="000000" w:sz="4" w:space="0"/>
              <w:left w:val="single" w:color="000000" w:sz="4" w:space="0"/>
              <w:bottom w:val="single" w:color="000000" w:sz="4" w:space="0"/>
              <w:right w:val="single" w:color="000000" w:sz="4" w:space="0"/>
            </w:tcBorders>
            <w:vAlign w:val="center"/>
          </w:tcPr>
          <w:p w14:paraId="21F809E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偏离情况</w:t>
            </w:r>
          </w:p>
        </w:tc>
      </w:tr>
      <w:tr w14:paraId="0316B278">
        <w:tblPrEx>
          <w:tblCellMar>
            <w:top w:w="0" w:type="dxa"/>
            <w:left w:w="0" w:type="dxa"/>
            <w:bottom w:w="0" w:type="dxa"/>
            <w:right w:w="0" w:type="dxa"/>
          </w:tblCellMar>
        </w:tblPrEx>
        <w:trPr>
          <w:cantSplit/>
          <w:trHeight w:val="40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10A4A787">
            <w:pPr>
              <w:adjustRightInd/>
              <w:snapToGrid/>
              <w:spacing w:after="0" w:line="360" w:lineRule="auto"/>
              <w:jc w:val="both"/>
              <w:textAlignment w:val="baseline"/>
              <w:rPr>
                <w:rFonts w:ascii="宋体" w:hAnsi="宋体" w:eastAsia="宋体" w:cs="宋体"/>
                <w:kern w:val="2"/>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C7671EF">
            <w:pPr>
              <w:adjustRightInd/>
              <w:snapToGrid/>
              <w:spacing w:after="0" w:line="360" w:lineRule="auto"/>
              <w:jc w:val="both"/>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center"/>
          </w:tcPr>
          <w:p w14:paraId="62DAB906">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招标文件技术要求</w:t>
            </w:r>
          </w:p>
          <w:p w14:paraId="330A8618">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的内容与数值</w:t>
            </w:r>
          </w:p>
        </w:tc>
        <w:tc>
          <w:tcPr>
            <w:tcW w:w="2550" w:type="dxa"/>
            <w:tcBorders>
              <w:top w:val="nil"/>
              <w:left w:val="nil"/>
              <w:bottom w:val="single" w:color="000000" w:sz="4" w:space="0"/>
              <w:right w:val="single" w:color="000000" w:sz="4" w:space="0"/>
            </w:tcBorders>
            <w:vAlign w:val="center"/>
          </w:tcPr>
          <w:p w14:paraId="03852951">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投标人的技术响</w:t>
            </w:r>
          </w:p>
          <w:p w14:paraId="3401002B">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应内容与数值</w:t>
            </w:r>
          </w:p>
        </w:tc>
        <w:tc>
          <w:tcPr>
            <w:tcW w:w="1611" w:type="dxa"/>
            <w:tcBorders>
              <w:top w:val="nil"/>
              <w:left w:val="single" w:color="000000" w:sz="4" w:space="0"/>
              <w:bottom w:val="single" w:color="000000" w:sz="4" w:space="0"/>
              <w:right w:val="single" w:color="000000" w:sz="4" w:space="0"/>
            </w:tcBorders>
            <w:vAlign w:val="center"/>
          </w:tcPr>
          <w:p w14:paraId="79782AAA">
            <w:pPr>
              <w:adjustRightInd/>
              <w:snapToGrid/>
              <w:spacing w:after="0" w:line="360" w:lineRule="auto"/>
              <w:ind w:right="480" w:rightChars="218"/>
              <w:jc w:val="center"/>
              <w:textAlignment w:val="baseline"/>
              <w:rPr>
                <w:rFonts w:ascii="宋体" w:hAnsi="宋体" w:eastAsia="宋体" w:cs="宋体"/>
                <w:kern w:val="2"/>
                <w:sz w:val="24"/>
                <w:szCs w:val="24"/>
              </w:rPr>
            </w:pPr>
          </w:p>
        </w:tc>
      </w:tr>
      <w:tr w14:paraId="5014F7C5">
        <w:tblPrEx>
          <w:tblCellMar>
            <w:top w:w="0" w:type="dxa"/>
            <w:left w:w="0" w:type="dxa"/>
            <w:bottom w:w="0" w:type="dxa"/>
            <w:right w:w="0" w:type="dxa"/>
          </w:tblCellMar>
        </w:tblPrEx>
        <w:trPr>
          <w:trHeight w:val="390" w:hRule="atLeast"/>
          <w:jc w:val="center"/>
        </w:trPr>
        <w:tc>
          <w:tcPr>
            <w:tcW w:w="1080" w:type="dxa"/>
            <w:tcBorders>
              <w:top w:val="nil"/>
              <w:left w:val="single" w:color="000000" w:sz="4" w:space="0"/>
              <w:bottom w:val="single" w:color="000000" w:sz="4" w:space="0"/>
              <w:right w:val="single" w:color="000000" w:sz="4" w:space="0"/>
            </w:tcBorders>
            <w:vAlign w:val="center"/>
          </w:tcPr>
          <w:p w14:paraId="5EA69278">
            <w:pPr>
              <w:adjustRightInd/>
              <w:snapToGrid/>
              <w:spacing w:after="0" w:line="360" w:lineRule="auto"/>
              <w:jc w:val="center"/>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center"/>
          </w:tcPr>
          <w:p w14:paraId="03B74557">
            <w:pPr>
              <w:adjustRightInd/>
              <w:snapToGrid/>
              <w:spacing w:after="0" w:line="360" w:lineRule="auto"/>
              <w:jc w:val="center"/>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center"/>
          </w:tcPr>
          <w:p w14:paraId="4DE34DE0">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center"/>
          </w:tcPr>
          <w:p w14:paraId="6E9484E6">
            <w:pPr>
              <w:adjustRightInd/>
              <w:snapToGrid/>
              <w:spacing w:after="0" w:line="360" w:lineRule="auto"/>
              <w:jc w:val="center"/>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center"/>
          </w:tcPr>
          <w:p w14:paraId="4ACDC6E4">
            <w:pPr>
              <w:adjustRightInd/>
              <w:snapToGrid/>
              <w:spacing w:after="0" w:line="360" w:lineRule="auto"/>
              <w:jc w:val="center"/>
              <w:textAlignment w:val="baseline"/>
              <w:rPr>
                <w:rFonts w:ascii="宋体" w:hAnsi="宋体" w:eastAsia="宋体" w:cs="宋体"/>
                <w:kern w:val="2"/>
                <w:sz w:val="24"/>
                <w:szCs w:val="24"/>
              </w:rPr>
            </w:pPr>
          </w:p>
        </w:tc>
      </w:tr>
      <w:tr w14:paraId="5BEFA016">
        <w:tblPrEx>
          <w:tblCellMar>
            <w:top w:w="0" w:type="dxa"/>
            <w:left w:w="0" w:type="dxa"/>
            <w:bottom w:w="0" w:type="dxa"/>
            <w:right w:w="0" w:type="dxa"/>
          </w:tblCellMar>
        </w:tblPrEx>
        <w:trPr>
          <w:trHeight w:val="402" w:hRule="atLeast"/>
          <w:jc w:val="center"/>
        </w:trPr>
        <w:tc>
          <w:tcPr>
            <w:tcW w:w="1080" w:type="dxa"/>
            <w:tcBorders>
              <w:top w:val="nil"/>
              <w:left w:val="single" w:color="000000" w:sz="4" w:space="0"/>
              <w:bottom w:val="single" w:color="000000" w:sz="4" w:space="0"/>
              <w:right w:val="single" w:color="000000" w:sz="4" w:space="0"/>
            </w:tcBorders>
            <w:vAlign w:val="center"/>
          </w:tcPr>
          <w:p w14:paraId="2EA2CB40">
            <w:pPr>
              <w:adjustRightInd/>
              <w:snapToGrid/>
              <w:spacing w:after="0" w:line="360" w:lineRule="auto"/>
              <w:jc w:val="center"/>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center"/>
          </w:tcPr>
          <w:p w14:paraId="322C8E97">
            <w:pPr>
              <w:adjustRightInd/>
              <w:snapToGrid/>
              <w:spacing w:after="0" w:line="360" w:lineRule="auto"/>
              <w:jc w:val="center"/>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center"/>
          </w:tcPr>
          <w:p w14:paraId="70FCD0CE">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center"/>
          </w:tcPr>
          <w:p w14:paraId="714F3A61">
            <w:pPr>
              <w:adjustRightInd/>
              <w:snapToGrid/>
              <w:spacing w:after="0" w:line="360" w:lineRule="auto"/>
              <w:ind w:left="-15" w:leftChars="-7"/>
              <w:jc w:val="center"/>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center"/>
          </w:tcPr>
          <w:p w14:paraId="2A848A09">
            <w:pPr>
              <w:adjustRightInd/>
              <w:snapToGrid/>
              <w:spacing w:after="0" w:line="360" w:lineRule="auto"/>
              <w:ind w:left="-15" w:leftChars="-7"/>
              <w:jc w:val="center"/>
              <w:textAlignment w:val="baseline"/>
              <w:rPr>
                <w:rFonts w:ascii="宋体" w:hAnsi="宋体" w:eastAsia="宋体" w:cs="宋体"/>
                <w:kern w:val="2"/>
                <w:sz w:val="24"/>
                <w:szCs w:val="24"/>
              </w:rPr>
            </w:pPr>
          </w:p>
        </w:tc>
      </w:tr>
      <w:tr w14:paraId="0D19FD8F">
        <w:tblPrEx>
          <w:tblCellMar>
            <w:top w:w="0" w:type="dxa"/>
            <w:left w:w="0" w:type="dxa"/>
            <w:bottom w:w="0" w:type="dxa"/>
            <w:right w:w="0" w:type="dxa"/>
          </w:tblCellMar>
        </w:tblPrEx>
        <w:trPr>
          <w:trHeight w:val="402" w:hRule="atLeast"/>
          <w:jc w:val="center"/>
        </w:trPr>
        <w:tc>
          <w:tcPr>
            <w:tcW w:w="1080" w:type="dxa"/>
            <w:tcBorders>
              <w:top w:val="nil"/>
              <w:left w:val="single" w:color="000000" w:sz="4" w:space="0"/>
              <w:bottom w:val="single" w:color="000000" w:sz="4" w:space="0"/>
              <w:right w:val="single" w:color="000000" w:sz="4" w:space="0"/>
            </w:tcBorders>
            <w:vAlign w:val="center"/>
          </w:tcPr>
          <w:p w14:paraId="27B5D2AB">
            <w:pPr>
              <w:adjustRightInd/>
              <w:snapToGrid/>
              <w:spacing w:after="0" w:line="360" w:lineRule="auto"/>
              <w:jc w:val="center"/>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center"/>
          </w:tcPr>
          <w:p w14:paraId="128250CF">
            <w:pPr>
              <w:adjustRightInd/>
              <w:snapToGrid/>
              <w:spacing w:after="0" w:line="360" w:lineRule="auto"/>
              <w:jc w:val="center"/>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center"/>
          </w:tcPr>
          <w:p w14:paraId="5BA8EAAB">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center"/>
          </w:tcPr>
          <w:p w14:paraId="72944405">
            <w:pPr>
              <w:adjustRightInd/>
              <w:snapToGrid/>
              <w:spacing w:after="0" w:line="360" w:lineRule="auto"/>
              <w:jc w:val="center"/>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center"/>
          </w:tcPr>
          <w:p w14:paraId="740140C1">
            <w:pPr>
              <w:adjustRightInd/>
              <w:snapToGrid/>
              <w:spacing w:after="0" w:line="360" w:lineRule="auto"/>
              <w:jc w:val="center"/>
              <w:textAlignment w:val="baseline"/>
              <w:rPr>
                <w:rFonts w:ascii="宋体" w:hAnsi="宋体" w:eastAsia="宋体" w:cs="宋体"/>
                <w:kern w:val="2"/>
                <w:sz w:val="24"/>
                <w:szCs w:val="24"/>
              </w:rPr>
            </w:pPr>
          </w:p>
        </w:tc>
      </w:tr>
      <w:tr w14:paraId="405E4DDF">
        <w:tblPrEx>
          <w:tblCellMar>
            <w:top w:w="0" w:type="dxa"/>
            <w:left w:w="0" w:type="dxa"/>
            <w:bottom w:w="0" w:type="dxa"/>
            <w:right w:w="0" w:type="dxa"/>
          </w:tblCellMar>
        </w:tblPrEx>
        <w:trPr>
          <w:trHeight w:val="402" w:hRule="atLeast"/>
          <w:jc w:val="center"/>
        </w:trPr>
        <w:tc>
          <w:tcPr>
            <w:tcW w:w="1080" w:type="dxa"/>
            <w:tcBorders>
              <w:top w:val="nil"/>
              <w:left w:val="single" w:color="000000" w:sz="4" w:space="0"/>
              <w:bottom w:val="single" w:color="000000" w:sz="4" w:space="0"/>
              <w:right w:val="single" w:color="000000" w:sz="4" w:space="0"/>
            </w:tcBorders>
            <w:vAlign w:val="center"/>
          </w:tcPr>
          <w:p w14:paraId="0793F025">
            <w:pPr>
              <w:adjustRightInd/>
              <w:snapToGrid/>
              <w:spacing w:after="0" w:line="360" w:lineRule="auto"/>
              <w:jc w:val="center"/>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center"/>
          </w:tcPr>
          <w:p w14:paraId="0B1828D1">
            <w:pPr>
              <w:adjustRightInd/>
              <w:snapToGrid/>
              <w:spacing w:after="0" w:line="360" w:lineRule="auto"/>
              <w:jc w:val="center"/>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center"/>
          </w:tcPr>
          <w:p w14:paraId="54E8C60A">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center"/>
          </w:tcPr>
          <w:p w14:paraId="782B5ED5">
            <w:pPr>
              <w:adjustRightInd/>
              <w:snapToGrid/>
              <w:spacing w:after="0" w:line="360" w:lineRule="auto"/>
              <w:jc w:val="center"/>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center"/>
          </w:tcPr>
          <w:p w14:paraId="162710DC">
            <w:pPr>
              <w:adjustRightInd/>
              <w:snapToGrid/>
              <w:spacing w:after="0" w:line="360" w:lineRule="auto"/>
              <w:jc w:val="center"/>
              <w:textAlignment w:val="baseline"/>
              <w:rPr>
                <w:rFonts w:ascii="宋体" w:hAnsi="宋体" w:eastAsia="宋体" w:cs="宋体"/>
                <w:kern w:val="2"/>
                <w:sz w:val="24"/>
                <w:szCs w:val="24"/>
              </w:rPr>
            </w:pPr>
          </w:p>
        </w:tc>
      </w:tr>
      <w:tr w14:paraId="0CFFA4F1">
        <w:tblPrEx>
          <w:tblCellMar>
            <w:top w:w="0" w:type="dxa"/>
            <w:left w:w="0" w:type="dxa"/>
            <w:bottom w:w="0" w:type="dxa"/>
            <w:right w:w="0" w:type="dxa"/>
          </w:tblCellMar>
        </w:tblPrEx>
        <w:trPr>
          <w:trHeight w:val="402" w:hRule="atLeast"/>
          <w:jc w:val="center"/>
        </w:trPr>
        <w:tc>
          <w:tcPr>
            <w:tcW w:w="1080" w:type="dxa"/>
            <w:tcBorders>
              <w:top w:val="nil"/>
              <w:left w:val="single" w:color="000000" w:sz="4" w:space="0"/>
              <w:bottom w:val="single" w:color="000000" w:sz="4" w:space="0"/>
              <w:right w:val="single" w:color="000000" w:sz="4" w:space="0"/>
            </w:tcBorders>
            <w:vAlign w:val="bottom"/>
          </w:tcPr>
          <w:p w14:paraId="50C2156A">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bottom"/>
          </w:tcPr>
          <w:p w14:paraId="56BB5AAE">
            <w:pPr>
              <w:adjustRightInd/>
              <w:snapToGrid/>
              <w:spacing w:after="0" w:line="360" w:lineRule="auto"/>
              <w:jc w:val="both"/>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bottom"/>
          </w:tcPr>
          <w:p w14:paraId="3D44B1E0">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bottom"/>
          </w:tcPr>
          <w:p w14:paraId="32AA8ADD">
            <w:pPr>
              <w:adjustRightInd/>
              <w:snapToGrid/>
              <w:spacing w:after="0" w:line="360" w:lineRule="auto"/>
              <w:jc w:val="both"/>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bottom"/>
          </w:tcPr>
          <w:p w14:paraId="6CA13929">
            <w:pPr>
              <w:adjustRightInd/>
              <w:snapToGrid/>
              <w:spacing w:after="0" w:line="360" w:lineRule="auto"/>
              <w:jc w:val="both"/>
              <w:textAlignment w:val="baseline"/>
              <w:rPr>
                <w:rFonts w:ascii="宋体" w:hAnsi="宋体" w:eastAsia="宋体" w:cs="宋体"/>
                <w:kern w:val="2"/>
                <w:sz w:val="24"/>
                <w:szCs w:val="24"/>
              </w:rPr>
            </w:pPr>
          </w:p>
        </w:tc>
      </w:tr>
      <w:tr w14:paraId="3AC524CA">
        <w:tblPrEx>
          <w:tblCellMar>
            <w:top w:w="0" w:type="dxa"/>
            <w:left w:w="0" w:type="dxa"/>
            <w:bottom w:w="0" w:type="dxa"/>
            <w:right w:w="0" w:type="dxa"/>
          </w:tblCellMar>
        </w:tblPrEx>
        <w:trPr>
          <w:trHeight w:val="402" w:hRule="atLeast"/>
          <w:jc w:val="center"/>
        </w:trPr>
        <w:tc>
          <w:tcPr>
            <w:tcW w:w="1080" w:type="dxa"/>
            <w:tcBorders>
              <w:top w:val="nil"/>
              <w:left w:val="single" w:color="000000" w:sz="4" w:space="0"/>
              <w:bottom w:val="single" w:color="000000" w:sz="4" w:space="0"/>
              <w:right w:val="single" w:color="000000" w:sz="4" w:space="0"/>
            </w:tcBorders>
            <w:vAlign w:val="bottom"/>
          </w:tcPr>
          <w:p w14:paraId="4359B87F">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nil"/>
              <w:left w:val="nil"/>
              <w:bottom w:val="single" w:color="000000" w:sz="4" w:space="0"/>
              <w:right w:val="single" w:color="000000" w:sz="4" w:space="0"/>
            </w:tcBorders>
            <w:vAlign w:val="bottom"/>
          </w:tcPr>
          <w:p w14:paraId="6824FAEF">
            <w:pPr>
              <w:adjustRightInd/>
              <w:snapToGrid/>
              <w:spacing w:after="0" w:line="360" w:lineRule="auto"/>
              <w:jc w:val="both"/>
              <w:textAlignment w:val="baseline"/>
              <w:rPr>
                <w:rFonts w:ascii="宋体" w:hAnsi="宋体" w:eastAsia="宋体" w:cs="宋体"/>
                <w:kern w:val="2"/>
                <w:sz w:val="24"/>
                <w:szCs w:val="24"/>
              </w:rPr>
            </w:pPr>
          </w:p>
        </w:tc>
        <w:tc>
          <w:tcPr>
            <w:tcW w:w="2160" w:type="dxa"/>
            <w:tcBorders>
              <w:top w:val="nil"/>
              <w:left w:val="nil"/>
              <w:bottom w:val="single" w:color="000000" w:sz="4" w:space="0"/>
              <w:right w:val="single" w:color="000000" w:sz="4" w:space="0"/>
            </w:tcBorders>
            <w:vAlign w:val="bottom"/>
          </w:tcPr>
          <w:p w14:paraId="118E6C5D">
            <w:pPr>
              <w:adjustRightInd/>
              <w:snapToGrid/>
              <w:spacing w:after="0" w:line="360" w:lineRule="auto"/>
              <w:jc w:val="center"/>
              <w:textAlignment w:val="baseline"/>
              <w:rPr>
                <w:rFonts w:ascii="宋体" w:hAnsi="宋体" w:eastAsia="宋体" w:cs="宋体"/>
                <w:kern w:val="2"/>
                <w:sz w:val="24"/>
                <w:szCs w:val="24"/>
              </w:rPr>
            </w:pPr>
          </w:p>
        </w:tc>
        <w:tc>
          <w:tcPr>
            <w:tcW w:w="2550" w:type="dxa"/>
            <w:tcBorders>
              <w:top w:val="nil"/>
              <w:left w:val="nil"/>
              <w:bottom w:val="single" w:color="000000" w:sz="4" w:space="0"/>
              <w:right w:val="single" w:color="000000" w:sz="4" w:space="0"/>
            </w:tcBorders>
            <w:vAlign w:val="bottom"/>
          </w:tcPr>
          <w:p w14:paraId="6F3D82A2">
            <w:pPr>
              <w:adjustRightInd/>
              <w:snapToGrid/>
              <w:spacing w:after="0" w:line="360" w:lineRule="auto"/>
              <w:jc w:val="both"/>
              <w:textAlignment w:val="baseline"/>
              <w:rPr>
                <w:rFonts w:ascii="宋体" w:hAnsi="宋体" w:eastAsia="宋体" w:cs="宋体"/>
                <w:kern w:val="2"/>
                <w:sz w:val="24"/>
                <w:szCs w:val="24"/>
              </w:rPr>
            </w:pPr>
          </w:p>
        </w:tc>
        <w:tc>
          <w:tcPr>
            <w:tcW w:w="1611" w:type="dxa"/>
            <w:tcBorders>
              <w:top w:val="nil"/>
              <w:left w:val="single" w:color="000000" w:sz="4" w:space="0"/>
              <w:bottom w:val="single" w:color="000000" w:sz="4" w:space="0"/>
              <w:right w:val="single" w:color="000000" w:sz="4" w:space="0"/>
            </w:tcBorders>
            <w:vAlign w:val="bottom"/>
          </w:tcPr>
          <w:p w14:paraId="708140E8">
            <w:pPr>
              <w:adjustRightInd/>
              <w:snapToGrid/>
              <w:spacing w:after="0" w:line="360" w:lineRule="auto"/>
              <w:jc w:val="both"/>
              <w:textAlignment w:val="baseline"/>
              <w:rPr>
                <w:rFonts w:ascii="宋体" w:hAnsi="宋体" w:eastAsia="宋体" w:cs="宋体"/>
                <w:kern w:val="2"/>
                <w:sz w:val="24"/>
                <w:szCs w:val="24"/>
              </w:rPr>
            </w:pPr>
          </w:p>
        </w:tc>
      </w:tr>
    </w:tbl>
    <w:p w14:paraId="5C084DAA">
      <w:pPr>
        <w:adjustRightInd/>
        <w:snapToGrid/>
        <w:spacing w:after="120" w:line="360" w:lineRule="auto"/>
        <w:ind w:left="482" w:hanging="482" w:hangingChars="200"/>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注：投标人应对招标文件技术要求的内容给予逐条响应，以自己投标产品和服务所能达到的内容予以填写。</w:t>
      </w:r>
    </w:p>
    <w:p w14:paraId="4CA90180">
      <w:pPr>
        <w:adjustRightInd/>
        <w:snapToGrid/>
        <w:spacing w:after="120" w:line="360" w:lineRule="auto"/>
        <w:ind w:left="482" w:hanging="482" w:hangingChars="200"/>
        <w:jc w:val="both"/>
        <w:textAlignment w:val="baseline"/>
        <w:rPr>
          <w:rFonts w:ascii="宋体" w:hAnsi="宋体" w:eastAsia="宋体" w:cs="宋体"/>
          <w:b/>
          <w:kern w:val="2"/>
          <w:sz w:val="24"/>
          <w:szCs w:val="24"/>
        </w:rPr>
      </w:pPr>
    </w:p>
    <w:p w14:paraId="13C187B8">
      <w:pPr>
        <w:adjustRightInd/>
        <w:snapToGrid/>
        <w:spacing w:after="0" w:line="360" w:lineRule="auto"/>
        <w:jc w:val="both"/>
        <w:textAlignment w:val="baseline"/>
        <w:rPr>
          <w:rFonts w:ascii="宋体" w:hAnsi="宋体" w:eastAsia="宋体" w:cs="宋体"/>
          <w:bCs/>
          <w:kern w:val="2"/>
          <w:sz w:val="24"/>
          <w:szCs w:val="24"/>
        </w:rPr>
      </w:pPr>
    </w:p>
    <w:p w14:paraId="4C43E04C">
      <w:pPr>
        <w:adjustRightInd/>
        <w:snapToGrid/>
        <w:spacing w:after="0" w:line="360" w:lineRule="auto"/>
        <w:ind w:firstLine="4320" w:firstLineChars="18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1880CF77">
      <w:pPr>
        <w:adjustRightInd/>
        <w:snapToGrid/>
        <w:spacing w:after="0" w:line="360" w:lineRule="auto"/>
        <w:jc w:val="both"/>
        <w:textAlignment w:val="baseline"/>
        <w:rPr>
          <w:rFonts w:ascii="宋体" w:hAnsi="宋体" w:eastAsia="宋体" w:cs="宋体"/>
          <w:bCs/>
          <w:kern w:val="2"/>
          <w:sz w:val="24"/>
          <w:szCs w:val="24"/>
        </w:rPr>
      </w:pPr>
    </w:p>
    <w:p w14:paraId="6CABF797">
      <w:pPr>
        <w:adjustRightInd/>
        <w:snapToGrid/>
        <w:spacing w:after="0" w:line="360" w:lineRule="auto"/>
        <w:ind w:firstLine="4320" w:firstLineChars="18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5E68229C">
      <w:pPr>
        <w:adjustRightInd/>
        <w:snapToGrid/>
        <w:spacing w:after="0" w:line="360" w:lineRule="auto"/>
        <w:jc w:val="both"/>
        <w:textAlignment w:val="baseline"/>
        <w:rPr>
          <w:rFonts w:ascii="宋体" w:hAnsi="宋体" w:eastAsia="宋体" w:cs="宋体"/>
          <w:bCs/>
          <w:kern w:val="2"/>
          <w:sz w:val="24"/>
          <w:szCs w:val="24"/>
          <w:u w:val="single"/>
        </w:rPr>
      </w:pPr>
    </w:p>
    <w:p w14:paraId="1FA1F2DC">
      <w:pPr>
        <w:adjustRightInd/>
        <w:spacing w:after="0" w:line="360" w:lineRule="auto"/>
        <w:ind w:firstLine="4320" w:firstLineChars="18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6B17290D">
      <w:pPr>
        <w:keepNext/>
        <w:keepLines/>
        <w:adjustRightInd/>
        <w:snapToGrid/>
        <w:spacing w:before="260" w:after="260" w:line="360" w:lineRule="auto"/>
        <w:jc w:val="both"/>
        <w:textAlignment w:val="baseline"/>
        <w:rPr>
          <w:rFonts w:ascii="宋体" w:hAnsi="宋体" w:eastAsia="宋体" w:cs="宋体"/>
          <w:b/>
          <w:bCs/>
          <w:kern w:val="2"/>
          <w:sz w:val="24"/>
          <w:szCs w:val="24"/>
        </w:rPr>
        <w:sectPr>
          <w:pgSz w:w="11906" w:h="16838"/>
          <w:pgMar w:top="1440" w:right="1080" w:bottom="1440" w:left="1080" w:header="851" w:footer="992" w:gutter="0"/>
          <w:cols w:space="720" w:num="1"/>
          <w:docGrid w:linePitch="312" w:charSpace="0"/>
        </w:sectPr>
      </w:pPr>
    </w:p>
    <w:p w14:paraId="6DAC1BBB">
      <w:pPr>
        <w:jc w:val="center"/>
        <w:outlineLvl w:val="1"/>
        <w:rPr>
          <w:rFonts w:ascii="宋体" w:hAnsi="宋体" w:eastAsia="宋体" w:cs="宋体"/>
          <w:b/>
          <w:kern w:val="2"/>
          <w:sz w:val="24"/>
          <w:szCs w:val="24"/>
        </w:rPr>
      </w:pPr>
      <w:bookmarkStart w:id="255" w:name="_Toc29621"/>
      <w:bookmarkStart w:id="256" w:name="_Toc4354"/>
      <w:bookmarkStart w:id="257" w:name="_Toc4583"/>
      <w:bookmarkStart w:id="258" w:name="_Toc30739"/>
      <w:bookmarkStart w:id="259" w:name="_Toc13484"/>
      <w:bookmarkStart w:id="260" w:name="_Toc24520"/>
      <w:r>
        <w:rPr>
          <w:rFonts w:hint="eastAsia" w:ascii="宋体" w:hAnsi="宋体" w:eastAsia="宋体" w:cs="宋体"/>
          <w:b/>
          <w:bCs/>
          <w:sz w:val="24"/>
          <w:szCs w:val="24"/>
        </w:rPr>
        <w:t>附件12：</w:t>
      </w:r>
      <w:bookmarkEnd w:id="255"/>
      <w:bookmarkEnd w:id="256"/>
      <w:bookmarkEnd w:id="257"/>
      <w:bookmarkEnd w:id="258"/>
      <w:bookmarkEnd w:id="259"/>
      <w:r>
        <w:rPr>
          <w:rFonts w:hint="eastAsia" w:ascii="宋体" w:hAnsi="宋体" w:eastAsia="宋体" w:cs="宋体"/>
          <w:b/>
          <w:kern w:val="2"/>
          <w:sz w:val="24"/>
          <w:szCs w:val="24"/>
        </w:rPr>
        <w:t>公司业绩一览表</w:t>
      </w:r>
      <w:bookmarkEnd w:id="260"/>
    </w:p>
    <w:p w14:paraId="5179BB7C">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（后附中标通知书或合同复印件）</w:t>
      </w:r>
    </w:p>
    <w:p w14:paraId="3C0FFFAB">
      <w:pPr>
        <w:adjustRightInd/>
        <w:snapToGrid/>
        <w:spacing w:after="0" w:line="360" w:lineRule="auto"/>
        <w:jc w:val="center"/>
        <w:textAlignment w:val="baseline"/>
        <w:rPr>
          <w:rFonts w:ascii="宋体" w:hAnsi="宋体" w:eastAsia="宋体" w:cs="宋体"/>
          <w:kern w:val="2"/>
          <w:sz w:val="24"/>
          <w:szCs w:val="24"/>
        </w:rPr>
      </w:pPr>
    </w:p>
    <w:tbl>
      <w:tblPr>
        <w:tblStyle w:val="15"/>
        <w:tblW w:w="8925" w:type="dxa"/>
        <w:jc w:val="center"/>
        <w:tblLayout w:type="fixed"/>
        <w:tblCellMar>
          <w:top w:w="0" w:type="dxa"/>
          <w:left w:w="0" w:type="dxa"/>
          <w:bottom w:w="0" w:type="dxa"/>
          <w:right w:w="0" w:type="dxa"/>
        </w:tblCellMar>
      </w:tblPr>
      <w:tblGrid>
        <w:gridCol w:w="900"/>
        <w:gridCol w:w="1620"/>
        <w:gridCol w:w="1620"/>
        <w:gridCol w:w="1980"/>
        <w:gridCol w:w="1440"/>
        <w:gridCol w:w="1365"/>
      </w:tblGrid>
      <w:tr w14:paraId="400A3187">
        <w:tblPrEx>
          <w:tblCellMar>
            <w:top w:w="0" w:type="dxa"/>
            <w:left w:w="0" w:type="dxa"/>
            <w:bottom w:w="0" w:type="dxa"/>
            <w:right w:w="0" w:type="dxa"/>
          </w:tblCellMar>
        </w:tblPrEx>
        <w:trPr>
          <w:trHeight w:val="102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238F2923">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14:paraId="4209C991">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项目名称</w:t>
            </w:r>
          </w:p>
        </w:tc>
        <w:tc>
          <w:tcPr>
            <w:tcW w:w="1620" w:type="dxa"/>
            <w:tcBorders>
              <w:top w:val="single" w:color="000000" w:sz="4" w:space="0"/>
              <w:left w:val="single" w:color="000000" w:sz="4" w:space="0"/>
              <w:bottom w:val="single" w:color="000000" w:sz="4" w:space="0"/>
              <w:right w:val="single" w:color="000000" w:sz="4" w:space="0"/>
            </w:tcBorders>
            <w:vAlign w:val="center"/>
          </w:tcPr>
          <w:p w14:paraId="50381BC8">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使用单位</w:t>
            </w:r>
          </w:p>
        </w:tc>
        <w:tc>
          <w:tcPr>
            <w:tcW w:w="1980" w:type="dxa"/>
            <w:tcBorders>
              <w:top w:val="single" w:color="000000" w:sz="4" w:space="0"/>
              <w:left w:val="single" w:color="000000" w:sz="4" w:space="0"/>
              <w:bottom w:val="single" w:color="000000" w:sz="4" w:space="0"/>
              <w:right w:val="single" w:color="000000" w:sz="4" w:space="0"/>
            </w:tcBorders>
            <w:vAlign w:val="center"/>
          </w:tcPr>
          <w:p w14:paraId="7DD096F6">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使用单位电话</w:t>
            </w:r>
          </w:p>
        </w:tc>
        <w:tc>
          <w:tcPr>
            <w:tcW w:w="1440" w:type="dxa"/>
            <w:tcBorders>
              <w:top w:val="single" w:color="000000" w:sz="4" w:space="0"/>
              <w:left w:val="single" w:color="000000" w:sz="4" w:space="0"/>
              <w:bottom w:val="single" w:color="000000" w:sz="4" w:space="0"/>
              <w:right w:val="single" w:color="000000" w:sz="4" w:space="0"/>
            </w:tcBorders>
            <w:vAlign w:val="center"/>
          </w:tcPr>
          <w:p w14:paraId="5A497CF3">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合同金额</w:t>
            </w:r>
          </w:p>
        </w:tc>
        <w:tc>
          <w:tcPr>
            <w:tcW w:w="1365" w:type="dxa"/>
            <w:tcBorders>
              <w:top w:val="single" w:color="000000" w:sz="4" w:space="0"/>
              <w:left w:val="single" w:color="000000" w:sz="4" w:space="0"/>
              <w:bottom w:val="single" w:color="000000" w:sz="4" w:space="0"/>
              <w:right w:val="single" w:color="000000" w:sz="4" w:space="0"/>
            </w:tcBorders>
            <w:vAlign w:val="center"/>
          </w:tcPr>
          <w:p w14:paraId="6CB09CF2">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签订日期</w:t>
            </w:r>
          </w:p>
        </w:tc>
      </w:tr>
      <w:tr w14:paraId="25F1F081">
        <w:tblPrEx>
          <w:tblCellMar>
            <w:top w:w="0" w:type="dxa"/>
            <w:left w:w="0" w:type="dxa"/>
            <w:bottom w:w="0" w:type="dxa"/>
            <w:right w:w="0" w:type="dxa"/>
          </w:tblCellMar>
        </w:tblPrEx>
        <w:trPr>
          <w:trHeight w:val="751"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587A4D0E">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24D9EBE4">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446596EB">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3FC8C62E">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43690D14">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49464E09">
            <w:pPr>
              <w:adjustRightInd/>
              <w:snapToGrid/>
              <w:spacing w:after="0" w:line="360" w:lineRule="auto"/>
              <w:jc w:val="both"/>
              <w:textAlignment w:val="baseline"/>
              <w:rPr>
                <w:rFonts w:ascii="宋体" w:hAnsi="宋体" w:eastAsia="宋体" w:cs="宋体"/>
                <w:kern w:val="2"/>
                <w:sz w:val="24"/>
                <w:szCs w:val="24"/>
              </w:rPr>
            </w:pPr>
          </w:p>
        </w:tc>
      </w:tr>
      <w:tr w14:paraId="3765C915">
        <w:tblPrEx>
          <w:tblCellMar>
            <w:top w:w="0" w:type="dxa"/>
            <w:left w:w="0" w:type="dxa"/>
            <w:bottom w:w="0" w:type="dxa"/>
            <w:right w:w="0" w:type="dxa"/>
          </w:tblCellMar>
        </w:tblPrEx>
        <w:trPr>
          <w:trHeight w:val="715"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66380C46">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60669028">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31613040">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14FB2276">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3DBDC46B">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53797CCF">
            <w:pPr>
              <w:adjustRightInd/>
              <w:snapToGrid/>
              <w:spacing w:after="0" w:line="360" w:lineRule="auto"/>
              <w:jc w:val="both"/>
              <w:textAlignment w:val="baseline"/>
              <w:rPr>
                <w:rFonts w:ascii="宋体" w:hAnsi="宋体" w:eastAsia="宋体" w:cs="宋体"/>
                <w:kern w:val="2"/>
                <w:sz w:val="24"/>
                <w:szCs w:val="24"/>
              </w:rPr>
            </w:pPr>
          </w:p>
        </w:tc>
      </w:tr>
      <w:tr w14:paraId="7A0DCFDC">
        <w:tblPrEx>
          <w:tblCellMar>
            <w:top w:w="0" w:type="dxa"/>
            <w:left w:w="0" w:type="dxa"/>
            <w:bottom w:w="0" w:type="dxa"/>
            <w:right w:w="0" w:type="dxa"/>
          </w:tblCellMar>
        </w:tblPrEx>
        <w:trPr>
          <w:trHeight w:val="715"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6BB81084">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427E0BF7">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0B8EAB8C">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30B3A40E">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0DCF27FE">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01342153">
            <w:pPr>
              <w:adjustRightInd/>
              <w:snapToGrid/>
              <w:spacing w:after="0" w:line="360" w:lineRule="auto"/>
              <w:jc w:val="both"/>
              <w:textAlignment w:val="baseline"/>
              <w:rPr>
                <w:rFonts w:ascii="宋体" w:hAnsi="宋体" w:eastAsia="宋体" w:cs="宋体"/>
                <w:kern w:val="2"/>
                <w:sz w:val="24"/>
                <w:szCs w:val="24"/>
              </w:rPr>
            </w:pPr>
          </w:p>
        </w:tc>
      </w:tr>
      <w:tr w14:paraId="5DFB0C4E">
        <w:tblPrEx>
          <w:tblCellMar>
            <w:top w:w="0" w:type="dxa"/>
            <w:left w:w="0" w:type="dxa"/>
            <w:bottom w:w="0" w:type="dxa"/>
            <w:right w:w="0" w:type="dxa"/>
          </w:tblCellMar>
        </w:tblPrEx>
        <w:trPr>
          <w:trHeight w:val="751"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5E775B9A">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5D191F9E">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09C83FAA">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5387EA00">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6C12D759">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6C281C22">
            <w:pPr>
              <w:adjustRightInd/>
              <w:snapToGrid/>
              <w:spacing w:after="0" w:line="360" w:lineRule="auto"/>
              <w:jc w:val="both"/>
              <w:textAlignment w:val="baseline"/>
              <w:rPr>
                <w:rFonts w:ascii="宋体" w:hAnsi="宋体" w:eastAsia="宋体" w:cs="宋体"/>
                <w:kern w:val="2"/>
                <w:sz w:val="24"/>
                <w:szCs w:val="24"/>
              </w:rPr>
            </w:pPr>
          </w:p>
        </w:tc>
      </w:tr>
      <w:tr w14:paraId="1FEC028F">
        <w:tblPrEx>
          <w:tblCellMar>
            <w:top w:w="0" w:type="dxa"/>
            <w:left w:w="0" w:type="dxa"/>
            <w:bottom w:w="0" w:type="dxa"/>
            <w:right w:w="0" w:type="dxa"/>
          </w:tblCellMar>
        </w:tblPrEx>
        <w:trPr>
          <w:trHeight w:val="715"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5CEB5D77">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1B20DC2B">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6DA356F8">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4BA18A6C">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730A1050">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3D6B12F9">
            <w:pPr>
              <w:adjustRightInd/>
              <w:snapToGrid/>
              <w:spacing w:after="0" w:line="360" w:lineRule="auto"/>
              <w:jc w:val="both"/>
              <w:textAlignment w:val="baseline"/>
              <w:rPr>
                <w:rFonts w:ascii="宋体" w:hAnsi="宋体" w:eastAsia="宋体" w:cs="宋体"/>
                <w:kern w:val="2"/>
                <w:sz w:val="24"/>
                <w:szCs w:val="24"/>
              </w:rPr>
            </w:pPr>
          </w:p>
        </w:tc>
      </w:tr>
      <w:tr w14:paraId="53C57571">
        <w:tblPrEx>
          <w:tblCellMar>
            <w:top w:w="0" w:type="dxa"/>
            <w:left w:w="0" w:type="dxa"/>
            <w:bottom w:w="0" w:type="dxa"/>
            <w:right w:w="0" w:type="dxa"/>
          </w:tblCellMar>
        </w:tblPrEx>
        <w:trPr>
          <w:trHeight w:val="751"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47C45E26">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0C9418AA">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36B36EC9">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16298581">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4276B1C7">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5B471ABF">
            <w:pPr>
              <w:adjustRightInd/>
              <w:snapToGrid/>
              <w:spacing w:after="0" w:line="360" w:lineRule="auto"/>
              <w:jc w:val="both"/>
              <w:textAlignment w:val="baseline"/>
              <w:rPr>
                <w:rFonts w:ascii="宋体" w:hAnsi="宋体" w:eastAsia="宋体" w:cs="宋体"/>
                <w:kern w:val="2"/>
                <w:sz w:val="24"/>
                <w:szCs w:val="24"/>
              </w:rPr>
            </w:pPr>
          </w:p>
        </w:tc>
      </w:tr>
      <w:tr w14:paraId="79713D52">
        <w:tblPrEx>
          <w:tblCellMar>
            <w:top w:w="0" w:type="dxa"/>
            <w:left w:w="0" w:type="dxa"/>
            <w:bottom w:w="0" w:type="dxa"/>
            <w:right w:w="0" w:type="dxa"/>
          </w:tblCellMar>
        </w:tblPrEx>
        <w:trPr>
          <w:trHeight w:val="715"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0B5C0FD5">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328BA432">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66AA3653">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761AD54D">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316026DC">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55A45E04">
            <w:pPr>
              <w:adjustRightInd/>
              <w:snapToGrid/>
              <w:spacing w:after="0" w:line="360" w:lineRule="auto"/>
              <w:jc w:val="both"/>
              <w:textAlignment w:val="baseline"/>
              <w:rPr>
                <w:rFonts w:ascii="宋体" w:hAnsi="宋体" w:eastAsia="宋体" w:cs="宋体"/>
                <w:kern w:val="2"/>
                <w:sz w:val="24"/>
                <w:szCs w:val="24"/>
              </w:rPr>
            </w:pPr>
          </w:p>
        </w:tc>
      </w:tr>
      <w:tr w14:paraId="43307AB6">
        <w:tblPrEx>
          <w:tblCellMar>
            <w:top w:w="0" w:type="dxa"/>
            <w:left w:w="0" w:type="dxa"/>
            <w:bottom w:w="0" w:type="dxa"/>
            <w:right w:w="0" w:type="dxa"/>
          </w:tblCellMar>
        </w:tblPrEx>
        <w:trPr>
          <w:trHeight w:val="751"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6E001866">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68C3817B">
            <w:pPr>
              <w:adjustRightInd/>
              <w:snapToGrid/>
              <w:spacing w:after="0" w:line="360" w:lineRule="auto"/>
              <w:jc w:val="both"/>
              <w:textAlignment w:val="baseline"/>
              <w:rPr>
                <w:rFonts w:ascii="宋体" w:hAnsi="宋体" w:eastAsia="宋体" w:cs="宋体"/>
                <w:kern w:val="2"/>
                <w:sz w:val="24"/>
                <w:szCs w:val="24"/>
              </w:rPr>
            </w:pPr>
          </w:p>
        </w:tc>
        <w:tc>
          <w:tcPr>
            <w:tcW w:w="1620" w:type="dxa"/>
            <w:tcBorders>
              <w:top w:val="single" w:color="000000" w:sz="4" w:space="0"/>
              <w:left w:val="single" w:color="000000" w:sz="4" w:space="0"/>
              <w:bottom w:val="single" w:color="000000" w:sz="4" w:space="0"/>
              <w:right w:val="single" w:color="000000" w:sz="4" w:space="0"/>
            </w:tcBorders>
          </w:tcPr>
          <w:p w14:paraId="5CEC58FE">
            <w:pPr>
              <w:adjustRightInd/>
              <w:snapToGrid/>
              <w:spacing w:after="0" w:line="360" w:lineRule="auto"/>
              <w:jc w:val="both"/>
              <w:textAlignment w:val="baseline"/>
              <w:rPr>
                <w:rFonts w:ascii="宋体" w:hAnsi="宋体" w:eastAsia="宋体" w:cs="宋体"/>
                <w:kern w:val="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14:paraId="67563028">
            <w:pPr>
              <w:adjustRightInd/>
              <w:snapToGrid/>
              <w:spacing w:after="0" w:line="360" w:lineRule="auto"/>
              <w:jc w:val="both"/>
              <w:textAlignment w:val="baseline"/>
              <w:rPr>
                <w:rFonts w:ascii="宋体" w:hAnsi="宋体" w:eastAsia="宋体" w:cs="宋体"/>
                <w:kern w:val="2"/>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1029799D">
            <w:pPr>
              <w:adjustRightInd/>
              <w:snapToGrid/>
              <w:spacing w:after="0" w:line="360" w:lineRule="auto"/>
              <w:jc w:val="both"/>
              <w:textAlignment w:val="baseline"/>
              <w:rPr>
                <w:rFonts w:ascii="宋体" w:hAnsi="宋体" w:eastAsia="宋体" w:cs="宋体"/>
                <w:kern w:val="2"/>
                <w:sz w:val="24"/>
                <w:szCs w:val="24"/>
              </w:rPr>
            </w:pPr>
          </w:p>
        </w:tc>
        <w:tc>
          <w:tcPr>
            <w:tcW w:w="1365" w:type="dxa"/>
            <w:tcBorders>
              <w:top w:val="single" w:color="000000" w:sz="4" w:space="0"/>
              <w:left w:val="single" w:color="000000" w:sz="4" w:space="0"/>
              <w:bottom w:val="single" w:color="000000" w:sz="4" w:space="0"/>
              <w:right w:val="single" w:color="000000" w:sz="4" w:space="0"/>
            </w:tcBorders>
          </w:tcPr>
          <w:p w14:paraId="42DBAF1F">
            <w:pPr>
              <w:adjustRightInd/>
              <w:snapToGrid/>
              <w:spacing w:after="0" w:line="360" w:lineRule="auto"/>
              <w:jc w:val="both"/>
              <w:textAlignment w:val="baseline"/>
              <w:rPr>
                <w:rFonts w:ascii="宋体" w:hAnsi="宋体" w:eastAsia="宋体" w:cs="宋体"/>
                <w:kern w:val="2"/>
                <w:sz w:val="24"/>
                <w:szCs w:val="24"/>
              </w:rPr>
            </w:pPr>
          </w:p>
        </w:tc>
      </w:tr>
    </w:tbl>
    <w:p w14:paraId="1D6DFC04">
      <w:pPr>
        <w:adjustRightInd/>
        <w:snapToGrid/>
        <w:spacing w:after="0" w:line="360" w:lineRule="auto"/>
        <w:jc w:val="both"/>
        <w:textAlignment w:val="baseline"/>
        <w:rPr>
          <w:rFonts w:ascii="宋体" w:hAnsi="宋体" w:eastAsia="宋体" w:cs="宋体"/>
          <w:b/>
          <w:kern w:val="2"/>
          <w:sz w:val="24"/>
          <w:szCs w:val="24"/>
        </w:rPr>
      </w:pPr>
    </w:p>
    <w:p w14:paraId="0E2EB4A4">
      <w:pPr>
        <w:adjustRightInd/>
        <w:snapToGrid/>
        <w:spacing w:after="0" w:line="360" w:lineRule="auto"/>
        <w:jc w:val="both"/>
        <w:textAlignment w:val="baseline"/>
        <w:rPr>
          <w:rFonts w:ascii="宋体" w:hAnsi="宋体" w:eastAsia="宋体" w:cs="宋体"/>
          <w:b/>
          <w:kern w:val="2"/>
          <w:sz w:val="24"/>
          <w:szCs w:val="24"/>
        </w:rPr>
      </w:pPr>
    </w:p>
    <w:p w14:paraId="0D7F522C">
      <w:pPr>
        <w:adjustRightInd/>
        <w:snapToGrid/>
        <w:spacing w:after="0" w:line="360" w:lineRule="auto"/>
        <w:ind w:firstLine="4080" w:firstLineChars="17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1628600F">
      <w:pPr>
        <w:adjustRightInd/>
        <w:snapToGrid/>
        <w:spacing w:after="0" w:line="360" w:lineRule="auto"/>
        <w:jc w:val="both"/>
        <w:textAlignment w:val="baseline"/>
        <w:rPr>
          <w:rFonts w:ascii="宋体" w:hAnsi="宋体" w:eastAsia="宋体" w:cs="宋体"/>
          <w:bCs/>
          <w:kern w:val="2"/>
          <w:sz w:val="24"/>
          <w:szCs w:val="24"/>
        </w:rPr>
      </w:pPr>
    </w:p>
    <w:p w14:paraId="350898CF">
      <w:pPr>
        <w:adjustRightInd/>
        <w:snapToGrid/>
        <w:spacing w:after="0" w:line="360" w:lineRule="auto"/>
        <w:ind w:firstLine="3360" w:firstLineChars="14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4ED94ABF">
      <w:pPr>
        <w:adjustRightInd/>
        <w:snapToGrid/>
        <w:spacing w:after="0" w:line="360" w:lineRule="auto"/>
        <w:jc w:val="both"/>
        <w:textAlignment w:val="baseline"/>
        <w:rPr>
          <w:rFonts w:ascii="宋体" w:hAnsi="宋体" w:eastAsia="宋体" w:cs="宋体"/>
          <w:bCs/>
          <w:kern w:val="2"/>
          <w:sz w:val="24"/>
          <w:szCs w:val="24"/>
          <w:u w:val="single"/>
        </w:rPr>
      </w:pPr>
    </w:p>
    <w:p w14:paraId="2A6044EC">
      <w:pPr>
        <w:adjustRightInd/>
        <w:spacing w:after="0" w:line="360" w:lineRule="auto"/>
        <w:ind w:firstLine="3840" w:firstLineChars="16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071EE9CD">
      <w:pPr>
        <w:adjustRightInd/>
        <w:snapToGrid/>
        <w:spacing w:after="0" w:line="360" w:lineRule="auto"/>
        <w:jc w:val="both"/>
        <w:textAlignment w:val="baseline"/>
        <w:rPr>
          <w:rFonts w:ascii="宋体" w:hAnsi="宋体" w:eastAsia="宋体" w:cs="宋体"/>
          <w:b/>
          <w:bCs/>
          <w:kern w:val="2"/>
          <w:sz w:val="24"/>
          <w:szCs w:val="24"/>
        </w:rPr>
      </w:pPr>
    </w:p>
    <w:p w14:paraId="3AC8F326">
      <w:pPr>
        <w:adjustRightInd/>
        <w:snapToGrid/>
        <w:spacing w:after="0"/>
        <w:jc w:val="both"/>
        <w:textAlignment w:val="baseline"/>
        <w:rPr>
          <w:rFonts w:ascii="宋体" w:hAnsi="宋体" w:eastAsia="宋体" w:cs="宋体"/>
          <w:b/>
          <w:kern w:val="2"/>
          <w:sz w:val="24"/>
          <w:szCs w:val="24"/>
        </w:rPr>
      </w:pPr>
    </w:p>
    <w:p w14:paraId="3FDAB6A3">
      <w:pPr>
        <w:outlineLvl w:val="0"/>
        <w:rPr>
          <w:rFonts w:ascii="宋体" w:hAnsi="宋体" w:eastAsia="宋体" w:cs="宋体"/>
          <w:b/>
          <w:bCs/>
          <w:sz w:val="24"/>
          <w:szCs w:val="24"/>
        </w:rPr>
        <w:sectPr>
          <w:headerReference r:id="rId15" w:type="first"/>
          <w:pgSz w:w="11907" w:h="16840"/>
          <w:pgMar w:top="1213" w:right="1514" w:bottom="1247" w:left="1888" w:header="851" w:footer="737" w:gutter="0"/>
          <w:cols w:space="720" w:num="1"/>
          <w:titlePg/>
          <w:docGrid w:linePitch="312" w:charSpace="0"/>
        </w:sectPr>
      </w:pPr>
      <w:bookmarkStart w:id="261" w:name="_Toc11673"/>
      <w:bookmarkStart w:id="262" w:name="_Toc10763"/>
      <w:bookmarkStart w:id="263" w:name="_Toc26075"/>
      <w:bookmarkStart w:id="264" w:name="_Toc29639"/>
    </w:p>
    <w:p w14:paraId="30F8FA1C">
      <w:pPr>
        <w:jc w:val="center"/>
        <w:outlineLvl w:val="1"/>
        <w:rPr>
          <w:rFonts w:ascii="宋体" w:hAnsi="宋体" w:eastAsia="宋体" w:cs="宋体"/>
          <w:b/>
          <w:kern w:val="2"/>
          <w:sz w:val="24"/>
          <w:szCs w:val="24"/>
        </w:rPr>
      </w:pPr>
      <w:bookmarkStart w:id="265" w:name="_Toc28422"/>
      <w:bookmarkStart w:id="266" w:name="_Toc19076"/>
      <w:r>
        <w:rPr>
          <w:rFonts w:hint="eastAsia" w:ascii="宋体" w:hAnsi="宋体" w:eastAsia="宋体" w:cs="宋体"/>
          <w:b/>
          <w:bCs/>
          <w:sz w:val="24"/>
          <w:szCs w:val="24"/>
        </w:rPr>
        <w:t>附件13：</w:t>
      </w:r>
      <w:bookmarkEnd w:id="261"/>
      <w:bookmarkEnd w:id="262"/>
      <w:bookmarkEnd w:id="263"/>
      <w:bookmarkEnd w:id="264"/>
      <w:bookmarkEnd w:id="265"/>
      <w:r>
        <w:rPr>
          <w:rFonts w:hint="eastAsia" w:ascii="宋体" w:hAnsi="宋体" w:eastAsia="宋体" w:cs="宋体"/>
          <w:b/>
          <w:kern w:val="2"/>
          <w:sz w:val="24"/>
          <w:szCs w:val="24"/>
        </w:rPr>
        <w:t>优惠条件承诺书</w:t>
      </w:r>
      <w:bookmarkEnd w:id="266"/>
    </w:p>
    <w:p w14:paraId="2B21D161">
      <w:pPr>
        <w:adjustRightInd/>
        <w:snapToGrid/>
        <w:spacing w:after="0"/>
        <w:jc w:val="center"/>
        <w:textAlignment w:val="baseline"/>
        <w:rPr>
          <w:rFonts w:ascii="宋体" w:hAnsi="宋体" w:eastAsia="宋体" w:cs="宋体"/>
          <w:b/>
          <w:kern w:val="2"/>
          <w:sz w:val="24"/>
          <w:szCs w:val="24"/>
        </w:rPr>
      </w:pPr>
    </w:p>
    <w:p w14:paraId="487C530E">
      <w:pPr>
        <w:adjustRightInd/>
        <w:snapToGrid/>
        <w:spacing w:after="0" w:line="360" w:lineRule="auto"/>
        <w:jc w:val="both"/>
        <w:textAlignment w:val="baseline"/>
        <w:rPr>
          <w:rFonts w:ascii="宋体" w:hAnsi="宋体" w:eastAsia="宋体" w:cs="宋体"/>
          <w:kern w:val="2"/>
          <w:sz w:val="24"/>
          <w:szCs w:val="24"/>
          <w:u w:val="single"/>
        </w:rPr>
      </w:pPr>
      <w:r>
        <w:rPr>
          <w:rFonts w:hint="eastAsia" w:ascii="宋体" w:hAnsi="宋体" w:eastAsia="宋体" w:cs="宋体"/>
          <w:kern w:val="2"/>
          <w:sz w:val="24"/>
          <w:szCs w:val="24"/>
        </w:rPr>
        <w:t>致：宕昌县公安局</w:t>
      </w:r>
    </w:p>
    <w:p w14:paraId="6E2C88CC">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经仔细阅读你们的招标文件，对所投标项目向贵单位特作如下优惠条件承诺：</w:t>
      </w:r>
    </w:p>
    <w:p w14:paraId="2BA028FA">
      <w:pPr>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p>
    <w:p w14:paraId="4B669088">
      <w:pPr>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w:t>
      </w:r>
    </w:p>
    <w:p w14:paraId="219628A6">
      <w:pPr>
        <w:adjustRightInd/>
        <w:snapToGrid/>
        <w:spacing w:after="0" w:line="360" w:lineRule="auto"/>
        <w:ind w:firstLine="360" w:firstLineChars="15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w:t>
      </w:r>
    </w:p>
    <w:p w14:paraId="6895B049">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w:t>
      </w:r>
    </w:p>
    <w:p w14:paraId="2A4FF44E">
      <w:pPr>
        <w:adjustRightInd/>
        <w:snapToGrid/>
        <w:spacing w:after="0" w:line="360" w:lineRule="auto"/>
        <w:ind w:firstLine="5280" w:firstLineChars="2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特此承诺！</w:t>
      </w:r>
    </w:p>
    <w:p w14:paraId="3150EA9E">
      <w:pPr>
        <w:adjustRightInd/>
        <w:snapToGrid/>
        <w:spacing w:after="0" w:line="360" w:lineRule="auto"/>
        <w:jc w:val="both"/>
        <w:textAlignment w:val="baseline"/>
        <w:rPr>
          <w:rFonts w:ascii="宋体" w:hAnsi="宋体" w:eastAsia="宋体" w:cs="宋体"/>
          <w:kern w:val="2"/>
          <w:sz w:val="24"/>
          <w:szCs w:val="24"/>
        </w:rPr>
      </w:pPr>
    </w:p>
    <w:p w14:paraId="10E28ED9">
      <w:pPr>
        <w:adjustRightInd/>
        <w:snapToGrid/>
        <w:spacing w:after="0" w:line="360" w:lineRule="auto"/>
        <w:jc w:val="both"/>
        <w:textAlignment w:val="baseline"/>
        <w:rPr>
          <w:rFonts w:ascii="宋体" w:hAnsi="宋体" w:eastAsia="宋体" w:cs="宋体"/>
          <w:kern w:val="2"/>
          <w:sz w:val="24"/>
          <w:szCs w:val="24"/>
        </w:rPr>
      </w:pPr>
    </w:p>
    <w:p w14:paraId="150392D7">
      <w:pPr>
        <w:adjustRightInd/>
        <w:snapToGrid/>
        <w:spacing w:after="0" w:line="360" w:lineRule="auto"/>
        <w:jc w:val="both"/>
        <w:textAlignment w:val="baseline"/>
        <w:rPr>
          <w:rFonts w:ascii="宋体" w:hAnsi="宋体" w:eastAsia="宋体" w:cs="宋体"/>
          <w:kern w:val="2"/>
          <w:sz w:val="24"/>
          <w:szCs w:val="24"/>
        </w:rPr>
      </w:pPr>
    </w:p>
    <w:p w14:paraId="082740E4">
      <w:pPr>
        <w:adjustRightInd/>
        <w:snapToGrid/>
        <w:spacing w:after="0" w:line="360" w:lineRule="auto"/>
        <w:jc w:val="both"/>
        <w:textAlignment w:val="baseline"/>
        <w:rPr>
          <w:rFonts w:ascii="宋体" w:hAnsi="宋体" w:eastAsia="宋体" w:cs="宋体"/>
          <w:kern w:val="2"/>
          <w:sz w:val="24"/>
          <w:szCs w:val="24"/>
        </w:rPr>
      </w:pPr>
    </w:p>
    <w:p w14:paraId="61B55BD9">
      <w:pPr>
        <w:adjustRightInd/>
        <w:snapToGrid/>
        <w:spacing w:after="0" w:line="360" w:lineRule="auto"/>
        <w:jc w:val="both"/>
        <w:textAlignment w:val="baseline"/>
        <w:rPr>
          <w:rFonts w:ascii="宋体" w:hAnsi="宋体" w:eastAsia="宋体" w:cs="宋体"/>
          <w:kern w:val="2"/>
          <w:sz w:val="24"/>
          <w:szCs w:val="24"/>
        </w:rPr>
      </w:pPr>
    </w:p>
    <w:p w14:paraId="2D9E0E5A">
      <w:pPr>
        <w:adjustRightInd/>
        <w:snapToGrid/>
        <w:spacing w:after="0" w:line="360" w:lineRule="auto"/>
        <w:ind w:firstLine="3840" w:firstLineChars="16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w:t>
      </w:r>
      <w:r>
        <w:rPr>
          <w:rFonts w:hint="eastAsia" w:ascii="宋体" w:hAnsi="宋体" w:eastAsia="宋体" w:cs="宋体"/>
          <w:kern w:val="2"/>
          <w:sz w:val="24"/>
          <w:szCs w:val="24"/>
        </w:rPr>
        <w:t>公章</w:t>
      </w:r>
      <w:r>
        <w:rPr>
          <w:rFonts w:hint="eastAsia" w:ascii="宋体" w:hAnsi="宋体" w:eastAsia="宋体" w:cs="宋体"/>
          <w:bCs/>
          <w:kern w:val="2"/>
          <w:sz w:val="24"/>
          <w:szCs w:val="24"/>
        </w:rPr>
        <w:t>）：</w:t>
      </w:r>
    </w:p>
    <w:p w14:paraId="53471ECC">
      <w:pPr>
        <w:adjustRightInd/>
        <w:snapToGrid/>
        <w:spacing w:after="0" w:line="360" w:lineRule="auto"/>
        <w:jc w:val="both"/>
        <w:textAlignment w:val="baseline"/>
        <w:rPr>
          <w:rFonts w:ascii="宋体" w:hAnsi="宋体" w:eastAsia="宋体" w:cs="宋体"/>
          <w:bCs/>
          <w:kern w:val="2"/>
          <w:sz w:val="24"/>
          <w:szCs w:val="24"/>
        </w:rPr>
      </w:pPr>
    </w:p>
    <w:p w14:paraId="005BB3F2">
      <w:pPr>
        <w:adjustRightInd/>
        <w:snapToGrid/>
        <w:spacing w:after="0" w:line="360" w:lineRule="auto"/>
        <w:ind w:firstLine="3840" w:firstLineChars="16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2DEAA7B6">
      <w:pPr>
        <w:adjustRightInd/>
        <w:snapToGrid/>
        <w:spacing w:after="0" w:line="360" w:lineRule="auto"/>
        <w:jc w:val="both"/>
        <w:textAlignment w:val="baseline"/>
        <w:rPr>
          <w:rFonts w:ascii="宋体" w:hAnsi="宋体" w:eastAsia="宋体" w:cs="宋体"/>
          <w:bCs/>
          <w:kern w:val="2"/>
          <w:sz w:val="24"/>
          <w:szCs w:val="24"/>
          <w:u w:val="single"/>
        </w:rPr>
      </w:pPr>
    </w:p>
    <w:p w14:paraId="142E9AA4">
      <w:pPr>
        <w:adjustRightInd/>
        <w:spacing w:after="0" w:line="360" w:lineRule="auto"/>
        <w:ind w:firstLine="3840" w:firstLineChars="16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4B4ABFEF">
      <w:pPr>
        <w:pStyle w:val="2"/>
        <w:ind w:firstLine="482"/>
        <w:rPr>
          <w:rFonts w:hAnsi="宋体" w:eastAsia="宋体" w:cs="宋体"/>
          <w:kern w:val="2"/>
          <w:sz w:val="24"/>
          <w:szCs w:val="24"/>
          <w:lang w:eastAsia="zh-CN"/>
        </w:rPr>
      </w:pPr>
      <w:r>
        <w:rPr>
          <w:rFonts w:hint="eastAsia" w:hAnsi="宋体" w:eastAsia="宋体" w:cs="宋体"/>
          <w:b/>
          <w:kern w:val="2"/>
          <w:sz w:val="24"/>
          <w:szCs w:val="24"/>
          <w:lang w:eastAsia="zh-CN"/>
        </w:rPr>
        <w:br w:type="page"/>
      </w:r>
    </w:p>
    <w:p w14:paraId="2E0B7206">
      <w:pPr>
        <w:jc w:val="center"/>
        <w:outlineLvl w:val="1"/>
        <w:rPr>
          <w:rFonts w:ascii="宋体" w:hAnsi="宋体" w:eastAsia="宋体" w:cs="宋体"/>
          <w:b/>
          <w:bCs/>
          <w:kern w:val="2"/>
          <w:sz w:val="24"/>
          <w:szCs w:val="24"/>
        </w:rPr>
      </w:pPr>
      <w:bookmarkStart w:id="267" w:name="_Toc3905"/>
      <w:bookmarkStart w:id="268" w:name="_Toc20935"/>
      <w:bookmarkStart w:id="269" w:name="_Toc18946"/>
      <w:bookmarkStart w:id="270" w:name="_Toc29492"/>
      <w:bookmarkStart w:id="271" w:name="_Toc10724"/>
      <w:bookmarkStart w:id="272" w:name="_Toc20387"/>
      <w:r>
        <w:rPr>
          <w:rFonts w:hint="eastAsia" w:ascii="宋体" w:hAnsi="宋体" w:eastAsia="宋体" w:cs="宋体"/>
          <w:b/>
          <w:bCs/>
          <w:sz w:val="24"/>
          <w:szCs w:val="24"/>
        </w:rPr>
        <w:t>附件14：</w:t>
      </w:r>
      <w:bookmarkEnd w:id="267"/>
      <w:bookmarkEnd w:id="268"/>
      <w:bookmarkEnd w:id="269"/>
      <w:bookmarkEnd w:id="270"/>
      <w:bookmarkEnd w:id="271"/>
      <w:r>
        <w:rPr>
          <w:rFonts w:hint="eastAsia" w:ascii="宋体" w:hAnsi="宋体" w:eastAsia="宋体" w:cs="宋体"/>
          <w:b/>
          <w:bCs/>
          <w:kern w:val="2"/>
          <w:sz w:val="24"/>
          <w:szCs w:val="24"/>
        </w:rPr>
        <w:t>无重大违法记录声明</w:t>
      </w:r>
      <w:bookmarkEnd w:id="272"/>
    </w:p>
    <w:p w14:paraId="79A9AFBF">
      <w:pPr>
        <w:adjustRightInd/>
        <w:snapToGrid/>
        <w:spacing w:after="0" w:line="360" w:lineRule="auto"/>
        <w:jc w:val="center"/>
        <w:textAlignment w:val="baseline"/>
        <w:rPr>
          <w:rFonts w:ascii="宋体" w:hAnsi="宋体" w:eastAsia="宋体" w:cs="宋体"/>
          <w:b/>
          <w:bCs/>
          <w:kern w:val="2"/>
          <w:sz w:val="24"/>
          <w:szCs w:val="24"/>
        </w:rPr>
      </w:pPr>
    </w:p>
    <w:p w14:paraId="009B2A33">
      <w:pPr>
        <w:adjustRightInd/>
        <w:snapToGrid/>
        <w:spacing w:after="0" w:line="360" w:lineRule="auto"/>
        <w:jc w:val="both"/>
        <w:textAlignment w:val="baseline"/>
        <w:rPr>
          <w:rFonts w:ascii="宋体" w:hAnsi="宋体" w:eastAsia="宋体" w:cs="宋体"/>
          <w:kern w:val="2"/>
          <w:sz w:val="24"/>
          <w:szCs w:val="24"/>
        </w:rPr>
      </w:pPr>
      <w:r>
        <w:rPr>
          <w:rFonts w:hint="eastAsia" w:ascii="宋体" w:hAnsi="宋体" w:eastAsia="宋体" w:cs="宋体"/>
          <w:kern w:val="2"/>
          <w:sz w:val="24"/>
          <w:szCs w:val="24"/>
        </w:rPr>
        <w:t>致：</w:t>
      </w:r>
      <w:r>
        <w:rPr>
          <w:rFonts w:hint="eastAsia" w:ascii="宋体" w:hAnsi="宋体" w:eastAsia="宋体" w:cs="宋体"/>
          <w:bCs/>
          <w:kern w:val="2"/>
          <w:sz w:val="24"/>
          <w:szCs w:val="24"/>
        </w:rPr>
        <w:t>宕昌县公安局</w:t>
      </w:r>
    </w:p>
    <w:p w14:paraId="714C00C0">
      <w:pPr>
        <w:adjustRightInd/>
        <w:snapToGrid/>
        <w:spacing w:after="0" w:line="360" w:lineRule="auto"/>
        <w:ind w:firstLine="48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我单位参加政府采购活动前三年内，在经营活动中没有重大违法记录。</w:t>
      </w:r>
    </w:p>
    <w:p w14:paraId="6C7F20B5">
      <w:pPr>
        <w:adjustRightInd/>
        <w:snapToGrid/>
        <w:spacing w:after="0" w:line="360" w:lineRule="auto"/>
        <w:ind w:firstLine="48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若采购单位在本项目采购过程中发现我单位近三年内在经营活动中有重大违法记录，我单位将无条件地退出本项目的招标，并承担因此引起的一切后果。</w:t>
      </w:r>
    </w:p>
    <w:p w14:paraId="41189DCC">
      <w:pPr>
        <w:adjustRightInd/>
        <w:snapToGrid/>
        <w:spacing w:after="0" w:line="360" w:lineRule="auto"/>
        <w:ind w:firstLine="480"/>
        <w:jc w:val="both"/>
        <w:textAlignment w:val="baseline"/>
        <w:rPr>
          <w:rFonts w:ascii="宋体" w:hAnsi="宋体" w:eastAsia="宋体" w:cs="宋体"/>
          <w:bCs/>
          <w:kern w:val="2"/>
          <w:sz w:val="24"/>
          <w:szCs w:val="24"/>
        </w:rPr>
      </w:pPr>
    </w:p>
    <w:p w14:paraId="591D99C9">
      <w:pPr>
        <w:adjustRightInd/>
        <w:snapToGrid/>
        <w:spacing w:after="0" w:line="360" w:lineRule="auto"/>
        <w:ind w:firstLine="480"/>
        <w:jc w:val="both"/>
        <w:textAlignment w:val="baseline"/>
        <w:rPr>
          <w:rFonts w:ascii="宋体" w:hAnsi="宋体" w:eastAsia="宋体" w:cs="宋体"/>
          <w:bCs/>
          <w:kern w:val="2"/>
          <w:sz w:val="24"/>
          <w:szCs w:val="24"/>
        </w:rPr>
      </w:pPr>
    </w:p>
    <w:p w14:paraId="5CDAADD1">
      <w:pPr>
        <w:adjustRightInd/>
        <w:snapToGrid/>
        <w:spacing w:after="0" w:line="360" w:lineRule="auto"/>
        <w:ind w:firstLine="48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特此声明!</w:t>
      </w:r>
    </w:p>
    <w:p w14:paraId="093D1B30">
      <w:pPr>
        <w:adjustRightInd/>
        <w:snapToGrid/>
        <w:spacing w:after="0" w:line="360" w:lineRule="auto"/>
        <w:ind w:firstLine="480"/>
        <w:jc w:val="both"/>
        <w:textAlignment w:val="baseline"/>
        <w:rPr>
          <w:rFonts w:ascii="宋体" w:hAnsi="宋体" w:eastAsia="宋体" w:cs="宋体"/>
          <w:bCs/>
          <w:kern w:val="2"/>
          <w:sz w:val="24"/>
          <w:szCs w:val="24"/>
        </w:rPr>
      </w:pPr>
    </w:p>
    <w:p w14:paraId="1C1619DB">
      <w:pPr>
        <w:adjustRightInd/>
        <w:snapToGrid/>
        <w:spacing w:after="0" w:line="360" w:lineRule="auto"/>
        <w:jc w:val="both"/>
        <w:textAlignment w:val="baseline"/>
        <w:rPr>
          <w:rFonts w:ascii="宋体" w:hAnsi="宋体" w:eastAsia="宋体" w:cs="宋体"/>
          <w:bCs/>
          <w:kern w:val="2"/>
          <w:sz w:val="24"/>
          <w:szCs w:val="24"/>
        </w:rPr>
      </w:pPr>
    </w:p>
    <w:p w14:paraId="7994876D">
      <w:pPr>
        <w:adjustRightInd/>
        <w:snapToGrid/>
        <w:spacing w:after="0" w:line="360" w:lineRule="auto"/>
        <w:jc w:val="both"/>
        <w:textAlignment w:val="baseline"/>
        <w:rPr>
          <w:rFonts w:ascii="宋体" w:hAnsi="宋体" w:eastAsia="宋体" w:cs="宋体"/>
          <w:bCs/>
          <w:kern w:val="2"/>
          <w:sz w:val="24"/>
          <w:szCs w:val="24"/>
        </w:rPr>
      </w:pPr>
    </w:p>
    <w:p w14:paraId="76AD0F9B">
      <w:pPr>
        <w:adjustRightInd/>
        <w:snapToGrid/>
        <w:spacing w:after="0" w:line="360" w:lineRule="auto"/>
        <w:jc w:val="both"/>
        <w:textAlignment w:val="baseline"/>
        <w:rPr>
          <w:rFonts w:ascii="宋体" w:hAnsi="宋体" w:eastAsia="宋体" w:cs="宋体"/>
          <w:bCs/>
          <w:kern w:val="2"/>
          <w:sz w:val="24"/>
          <w:szCs w:val="24"/>
        </w:rPr>
      </w:pPr>
    </w:p>
    <w:p w14:paraId="1A87BF24">
      <w:pPr>
        <w:adjustRightInd/>
        <w:snapToGrid/>
        <w:spacing w:after="0" w:line="360" w:lineRule="auto"/>
        <w:ind w:firstLine="3840" w:firstLineChars="16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4C65B35F">
      <w:pPr>
        <w:adjustRightInd/>
        <w:snapToGrid/>
        <w:spacing w:after="0" w:line="360" w:lineRule="auto"/>
        <w:jc w:val="both"/>
        <w:textAlignment w:val="baseline"/>
        <w:rPr>
          <w:rFonts w:ascii="宋体" w:hAnsi="宋体" w:eastAsia="宋体" w:cs="宋体"/>
          <w:bCs/>
          <w:kern w:val="2"/>
          <w:sz w:val="24"/>
          <w:szCs w:val="24"/>
        </w:rPr>
      </w:pPr>
    </w:p>
    <w:p w14:paraId="07D529BD">
      <w:pPr>
        <w:adjustRightInd/>
        <w:snapToGrid/>
        <w:spacing w:after="0" w:line="360" w:lineRule="auto"/>
        <w:ind w:firstLine="3840" w:firstLineChars="16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4CC14BA2">
      <w:pPr>
        <w:adjustRightInd/>
        <w:snapToGrid/>
        <w:spacing w:after="0" w:line="360" w:lineRule="auto"/>
        <w:jc w:val="both"/>
        <w:textAlignment w:val="baseline"/>
        <w:rPr>
          <w:rFonts w:ascii="宋体" w:hAnsi="宋体" w:eastAsia="宋体" w:cs="宋体"/>
          <w:bCs/>
          <w:kern w:val="2"/>
          <w:sz w:val="24"/>
          <w:szCs w:val="24"/>
        </w:rPr>
      </w:pPr>
    </w:p>
    <w:p w14:paraId="4C841CA8">
      <w:pPr>
        <w:adjustRightInd/>
        <w:spacing w:after="0" w:line="360" w:lineRule="auto"/>
        <w:ind w:firstLine="3840" w:firstLineChars="16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44A25C83">
      <w:pPr>
        <w:adjustRightInd/>
        <w:snapToGrid/>
        <w:spacing w:after="0"/>
        <w:jc w:val="both"/>
        <w:textAlignment w:val="baseline"/>
        <w:rPr>
          <w:rFonts w:ascii="宋体" w:hAnsi="宋体" w:eastAsia="宋体" w:cs="宋体"/>
          <w:b/>
          <w:kern w:val="2"/>
          <w:sz w:val="24"/>
          <w:szCs w:val="24"/>
        </w:rPr>
      </w:pPr>
    </w:p>
    <w:p w14:paraId="41CCABAD">
      <w:pPr>
        <w:adjustRightInd/>
        <w:snapToGrid/>
        <w:spacing w:after="0" w:line="360" w:lineRule="auto"/>
        <w:jc w:val="center"/>
        <w:textAlignment w:val="baseline"/>
        <w:rPr>
          <w:rFonts w:ascii="宋体" w:hAnsi="宋体" w:eastAsia="宋体" w:cs="宋体"/>
          <w:b/>
          <w:bCs/>
          <w:kern w:val="2"/>
          <w:sz w:val="24"/>
          <w:szCs w:val="24"/>
        </w:rPr>
      </w:pPr>
    </w:p>
    <w:p w14:paraId="1EA0E337">
      <w:pPr>
        <w:adjustRightInd/>
        <w:snapToGrid/>
        <w:spacing w:after="0" w:line="360" w:lineRule="auto"/>
        <w:jc w:val="center"/>
        <w:textAlignment w:val="baseline"/>
        <w:rPr>
          <w:rFonts w:ascii="宋体" w:hAnsi="宋体" w:eastAsia="宋体" w:cs="宋体"/>
          <w:b/>
          <w:bCs/>
          <w:kern w:val="2"/>
          <w:sz w:val="24"/>
          <w:szCs w:val="24"/>
        </w:rPr>
      </w:pPr>
    </w:p>
    <w:p w14:paraId="5ABCDFF5">
      <w:pPr>
        <w:adjustRightInd/>
        <w:snapToGrid/>
        <w:spacing w:after="0" w:line="360" w:lineRule="auto"/>
        <w:jc w:val="center"/>
        <w:textAlignment w:val="baseline"/>
        <w:rPr>
          <w:rFonts w:ascii="宋体" w:hAnsi="宋体" w:eastAsia="宋体" w:cs="宋体"/>
          <w:b/>
          <w:bCs/>
          <w:kern w:val="2"/>
          <w:sz w:val="24"/>
          <w:szCs w:val="24"/>
        </w:rPr>
      </w:pPr>
    </w:p>
    <w:p w14:paraId="5D936F06">
      <w:pPr>
        <w:outlineLvl w:val="0"/>
        <w:rPr>
          <w:rFonts w:ascii="宋体" w:hAnsi="宋体" w:eastAsia="宋体" w:cs="宋体"/>
          <w:b/>
          <w:bCs/>
          <w:sz w:val="24"/>
          <w:szCs w:val="24"/>
        </w:rPr>
        <w:sectPr>
          <w:pgSz w:w="11907" w:h="16840"/>
          <w:pgMar w:top="1213" w:right="1514" w:bottom="1247" w:left="1888" w:header="851" w:footer="737" w:gutter="0"/>
          <w:cols w:space="720" w:num="1"/>
          <w:titlePg/>
          <w:docGrid w:linePitch="312" w:charSpace="0"/>
        </w:sectPr>
      </w:pPr>
      <w:bookmarkStart w:id="273" w:name="_Toc7967"/>
      <w:bookmarkStart w:id="274" w:name="_Toc31242"/>
      <w:bookmarkStart w:id="275" w:name="_Toc25133"/>
      <w:bookmarkStart w:id="276" w:name="_Toc24603"/>
    </w:p>
    <w:p w14:paraId="300BF3D6">
      <w:pPr>
        <w:jc w:val="center"/>
        <w:outlineLvl w:val="1"/>
        <w:rPr>
          <w:rFonts w:ascii="宋体" w:hAnsi="宋体" w:eastAsia="宋体" w:cs="宋体"/>
          <w:b/>
          <w:bCs/>
          <w:kern w:val="2"/>
          <w:sz w:val="24"/>
          <w:szCs w:val="24"/>
        </w:rPr>
      </w:pPr>
      <w:bookmarkStart w:id="277" w:name="_Toc19865"/>
      <w:bookmarkStart w:id="278" w:name="_Toc9398"/>
      <w:r>
        <w:rPr>
          <w:rFonts w:hint="eastAsia" w:ascii="宋体" w:hAnsi="宋体" w:eastAsia="宋体" w:cs="宋体"/>
          <w:b/>
          <w:bCs/>
          <w:sz w:val="24"/>
          <w:szCs w:val="24"/>
        </w:rPr>
        <w:t>附件15：</w:t>
      </w:r>
      <w:bookmarkEnd w:id="273"/>
      <w:bookmarkEnd w:id="274"/>
      <w:bookmarkEnd w:id="275"/>
      <w:bookmarkEnd w:id="276"/>
      <w:bookmarkEnd w:id="277"/>
      <w:r>
        <w:rPr>
          <w:rFonts w:hint="eastAsia" w:ascii="宋体" w:hAnsi="宋体" w:eastAsia="宋体" w:cs="宋体"/>
          <w:b/>
          <w:bCs/>
          <w:kern w:val="2"/>
          <w:sz w:val="24"/>
          <w:szCs w:val="24"/>
        </w:rPr>
        <w:t>中小企业声明函</w:t>
      </w:r>
      <w:bookmarkEnd w:id="278"/>
    </w:p>
    <w:p w14:paraId="734BD053">
      <w:pPr>
        <w:adjustRightInd/>
        <w:snapToGrid/>
        <w:spacing w:after="0" w:line="360" w:lineRule="auto"/>
        <w:jc w:val="center"/>
        <w:textAlignment w:val="baseline"/>
        <w:rPr>
          <w:rFonts w:ascii="宋体" w:hAnsi="宋体" w:eastAsia="宋体" w:cs="宋体"/>
          <w:b/>
          <w:bCs/>
          <w:kern w:val="2"/>
          <w:sz w:val="24"/>
          <w:szCs w:val="24"/>
        </w:rPr>
      </w:pPr>
      <w:r>
        <w:rPr>
          <w:rFonts w:hint="eastAsia" w:ascii="宋体" w:hAnsi="宋体" w:eastAsia="宋体" w:cs="宋体"/>
          <w:bCs/>
          <w:kern w:val="2"/>
          <w:sz w:val="24"/>
          <w:szCs w:val="24"/>
        </w:rPr>
        <w:t>（非中小企业不适用）</w:t>
      </w:r>
    </w:p>
    <w:p w14:paraId="27B70EFF">
      <w:pPr>
        <w:adjustRightInd/>
        <w:snapToGrid/>
        <w:spacing w:after="0" w:line="360" w:lineRule="auto"/>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中小企业声明函（工程、服务）</w:t>
      </w:r>
    </w:p>
    <w:p w14:paraId="06BB29FB">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本公司（联合体）郑重声明，根据《政府采购促进中小企业发展管理办法》（财库﹝2020﹞46号）的规定，本公司（联合体）参加</w:t>
      </w:r>
      <w:r>
        <w:rPr>
          <w:rFonts w:hint="eastAsia" w:ascii="宋体" w:hAnsi="宋体" w:eastAsia="宋体" w:cs="宋体"/>
          <w:kern w:val="2"/>
          <w:sz w:val="24"/>
          <w:szCs w:val="24"/>
          <w:u w:val="single"/>
        </w:rPr>
        <w:t>（单位名称）</w:t>
      </w:r>
      <w:r>
        <w:rPr>
          <w:rFonts w:hint="eastAsia" w:ascii="宋体" w:hAnsi="宋体" w:eastAsia="宋体" w:cs="宋体"/>
          <w:kern w:val="2"/>
          <w:sz w:val="24"/>
          <w:szCs w:val="24"/>
        </w:rPr>
        <w:t>的</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BD91507">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；承建（承接）企业为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，从业人员人，营业收入为万元，资产总额为万元（注：</w:t>
      </w:r>
      <w:r>
        <w:fldChar w:fldCharType="begin"/>
      </w:r>
      <w:r>
        <w:instrText xml:space="preserve"> HYPERLINK \l "_bookmark0" </w:instrText>
      </w:r>
      <w:r>
        <w:fldChar w:fldCharType="separate"/>
      </w:r>
      <w:r>
        <w:rPr>
          <w:rFonts w:hint="eastAsia" w:ascii="宋体" w:hAnsi="宋体" w:eastAsia="宋体" w:cs="宋体"/>
          <w:kern w:val="2"/>
          <w:sz w:val="24"/>
          <w:szCs w:val="24"/>
        </w:rPr>
        <w:t>1</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14:paraId="33E95E51">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，从业人员人，营业收入为万元，资产总额为万元（注：</w:t>
      </w:r>
      <w:r>
        <w:fldChar w:fldCharType="begin"/>
      </w:r>
      <w:r>
        <w:instrText xml:space="preserve"> HYPERLINK \l "_bookmark0" </w:instrText>
      </w:r>
      <w:r>
        <w:fldChar w:fldCharType="separate"/>
      </w:r>
      <w:r>
        <w:rPr>
          <w:rFonts w:hint="eastAsia" w:ascii="宋体" w:hAnsi="宋体" w:eastAsia="宋体" w:cs="宋体"/>
          <w:kern w:val="2"/>
          <w:sz w:val="24"/>
          <w:szCs w:val="24"/>
        </w:rPr>
        <w:t>1</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14:paraId="1B38AB65">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3.……</w:t>
      </w:r>
    </w:p>
    <w:p w14:paraId="66CC4F37">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以上企业，不属于大企业的分支机构，不存在控股股东为大企业的情形，也不存在与大企业的负责人为同一人的情形。</w:t>
      </w:r>
    </w:p>
    <w:p w14:paraId="344772D6">
      <w:pPr>
        <w:adjustRightInd/>
        <w:snapToGrid/>
        <w:spacing w:after="0" w:line="360" w:lineRule="auto"/>
        <w:ind w:firstLine="480" w:firstLineChars="2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本企业对上述声明内容的真实性负责。如有虚假，将依法承担相应责任。</w:t>
      </w:r>
    </w:p>
    <w:p w14:paraId="70A5085F">
      <w:pPr>
        <w:adjustRightInd/>
        <w:snapToGrid/>
        <w:spacing w:after="0" w:line="360" w:lineRule="auto"/>
        <w:jc w:val="both"/>
        <w:textAlignment w:val="baseline"/>
        <w:rPr>
          <w:rFonts w:ascii="宋体" w:hAnsi="宋体" w:eastAsia="宋体" w:cs="宋体"/>
          <w:kern w:val="2"/>
          <w:sz w:val="24"/>
          <w:szCs w:val="24"/>
        </w:rPr>
      </w:pPr>
    </w:p>
    <w:p w14:paraId="3D2B395C">
      <w:pPr>
        <w:adjustRightInd/>
        <w:snapToGrid/>
        <w:spacing w:after="0" w:line="360" w:lineRule="auto"/>
        <w:ind w:firstLine="5520" w:firstLineChars="23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企业名称（盖章）：</w:t>
      </w:r>
    </w:p>
    <w:p w14:paraId="2BF21D4C">
      <w:pPr>
        <w:adjustRightInd/>
        <w:snapToGrid/>
        <w:spacing w:after="0" w:line="360" w:lineRule="auto"/>
        <w:ind w:firstLine="5520" w:firstLineChars="2300"/>
        <w:jc w:val="both"/>
        <w:textAlignment w:val="baseline"/>
        <w:rPr>
          <w:rFonts w:ascii="宋体" w:hAnsi="宋体" w:eastAsia="宋体" w:cs="宋体"/>
          <w:kern w:val="2"/>
          <w:sz w:val="24"/>
          <w:szCs w:val="24"/>
        </w:rPr>
      </w:pPr>
      <w:r>
        <w:rPr>
          <w:rFonts w:hint="eastAsia" w:ascii="宋体" w:hAnsi="宋体" w:eastAsia="宋体" w:cs="宋体"/>
          <w:kern w:val="2"/>
          <w:sz w:val="24"/>
          <w:szCs w:val="24"/>
        </w:rPr>
        <w:t>日期：</w:t>
      </w:r>
    </w:p>
    <w:p w14:paraId="4DBB22E5">
      <w:pPr>
        <w:adjustRightInd/>
        <w:snapToGrid/>
        <w:spacing w:after="0" w:line="360" w:lineRule="auto"/>
        <w:jc w:val="both"/>
        <w:textAlignment w:val="baseline"/>
        <w:rPr>
          <w:rFonts w:ascii="宋体" w:hAnsi="宋体" w:eastAsia="宋体" w:cs="宋体"/>
          <w:b/>
          <w:bCs/>
          <w:kern w:val="2"/>
          <w:sz w:val="24"/>
          <w:szCs w:val="24"/>
        </w:rPr>
      </w:pPr>
    </w:p>
    <w:p w14:paraId="45BA723D">
      <w:pPr>
        <w:adjustRightInd/>
        <w:snapToGrid/>
        <w:spacing w:after="0" w:line="360" w:lineRule="auto"/>
        <w:textAlignment w:val="baseline"/>
        <w:rPr>
          <w:rFonts w:ascii="宋体" w:hAnsi="宋体" w:eastAsia="宋体" w:cs="宋体"/>
          <w:b/>
          <w:bCs/>
          <w:kern w:val="2"/>
          <w:sz w:val="24"/>
          <w:szCs w:val="24"/>
        </w:rPr>
      </w:pPr>
    </w:p>
    <w:p w14:paraId="4C671EF7">
      <w:pPr>
        <w:adjustRightInd/>
        <w:snapToGrid/>
        <w:spacing w:after="0" w:line="360" w:lineRule="auto"/>
        <w:jc w:val="center"/>
        <w:textAlignment w:val="baseline"/>
        <w:outlineLvl w:val="1"/>
        <w:rPr>
          <w:rFonts w:ascii="宋体" w:hAnsi="宋体" w:eastAsia="宋体" w:cs="宋体"/>
          <w:b/>
          <w:bCs/>
          <w:kern w:val="2"/>
          <w:sz w:val="24"/>
          <w:szCs w:val="24"/>
        </w:rPr>
      </w:pPr>
      <w:r>
        <w:rPr>
          <w:rFonts w:hint="eastAsia" w:ascii="宋体" w:hAnsi="宋体" w:eastAsia="宋体" w:cs="宋体"/>
          <w:b/>
          <w:kern w:val="2"/>
          <w:sz w:val="24"/>
          <w:szCs w:val="24"/>
        </w:rPr>
        <w:br w:type="page"/>
      </w:r>
      <w:bookmarkStart w:id="279" w:name="_Toc11793"/>
      <w:bookmarkStart w:id="280" w:name="_Toc30876"/>
      <w:bookmarkStart w:id="281" w:name="_Toc11915"/>
      <w:bookmarkStart w:id="282" w:name="_Toc15833"/>
      <w:bookmarkStart w:id="283" w:name="_Toc31678"/>
      <w:bookmarkStart w:id="284" w:name="_Toc30558"/>
      <w:r>
        <w:rPr>
          <w:rFonts w:hint="eastAsia" w:ascii="宋体" w:hAnsi="宋体" w:eastAsia="宋体" w:cs="宋体"/>
          <w:b/>
          <w:bCs/>
          <w:sz w:val="24"/>
          <w:szCs w:val="24"/>
        </w:rPr>
        <w:t>附件16：</w:t>
      </w:r>
      <w:bookmarkEnd w:id="279"/>
      <w:bookmarkEnd w:id="280"/>
      <w:bookmarkEnd w:id="281"/>
      <w:bookmarkEnd w:id="282"/>
      <w:bookmarkEnd w:id="283"/>
      <w:bookmarkStart w:id="285" w:name="_Toc13691_WPSOffice_Level2"/>
      <w:bookmarkStart w:id="286" w:name="_Toc4641_WPSOffice_Level2"/>
      <w:r>
        <w:rPr>
          <w:rFonts w:hint="eastAsia" w:ascii="宋体" w:hAnsi="宋体" w:eastAsia="宋体" w:cs="宋体"/>
          <w:b/>
          <w:bCs/>
          <w:kern w:val="2"/>
          <w:sz w:val="24"/>
          <w:szCs w:val="24"/>
        </w:rPr>
        <w:t>同意招标文件条款声明</w:t>
      </w:r>
      <w:bookmarkEnd w:id="284"/>
      <w:bookmarkEnd w:id="285"/>
      <w:bookmarkEnd w:id="286"/>
    </w:p>
    <w:p w14:paraId="4321D5F3">
      <w:pPr>
        <w:adjustRightInd/>
        <w:snapToGrid/>
        <w:spacing w:after="0" w:line="360" w:lineRule="auto"/>
        <w:jc w:val="both"/>
        <w:textAlignment w:val="baseline"/>
        <w:rPr>
          <w:rFonts w:ascii="宋体" w:hAnsi="宋体" w:eastAsia="宋体" w:cs="宋体"/>
          <w:b/>
          <w:kern w:val="2"/>
          <w:sz w:val="24"/>
          <w:szCs w:val="24"/>
          <w:lang w:bidi="zh-CN"/>
        </w:rPr>
      </w:pPr>
    </w:p>
    <w:p w14:paraId="736247A8">
      <w:pPr>
        <w:spacing w:line="500" w:lineRule="exact"/>
        <w:jc w:val="both"/>
        <w:rPr>
          <w:rFonts w:ascii="宋体" w:hAnsi="宋体" w:eastAsia="宋体" w:cs="宋体"/>
          <w:bCs/>
          <w:kern w:val="2"/>
          <w:sz w:val="24"/>
          <w:szCs w:val="24"/>
          <w:lang w:bidi="zh-CN"/>
        </w:rPr>
      </w:pPr>
      <w:r>
        <w:rPr>
          <w:rFonts w:hint="eastAsia" w:ascii="宋体" w:hAnsi="宋体" w:eastAsia="宋体" w:cs="宋体"/>
          <w:bCs/>
          <w:kern w:val="2"/>
          <w:sz w:val="24"/>
          <w:szCs w:val="24"/>
          <w:lang w:bidi="zh-CN"/>
        </w:rPr>
        <w:t>致：</w:t>
      </w:r>
      <w:r>
        <w:rPr>
          <w:rFonts w:hint="eastAsia" w:ascii="宋体" w:hAnsi="宋体" w:eastAsia="宋体" w:cs="宋体"/>
          <w:bCs/>
          <w:kern w:val="2"/>
          <w:sz w:val="24"/>
          <w:szCs w:val="24"/>
        </w:rPr>
        <w:t>宕昌县公安局</w:t>
      </w:r>
    </w:p>
    <w:p w14:paraId="2F84EE50">
      <w:pPr>
        <w:spacing w:line="500" w:lineRule="exact"/>
        <w:ind w:firstLine="480"/>
        <w:jc w:val="both"/>
        <w:rPr>
          <w:rFonts w:ascii="宋体" w:hAnsi="宋体" w:eastAsia="宋体" w:cs="宋体"/>
          <w:bCs/>
          <w:kern w:val="2"/>
          <w:sz w:val="24"/>
          <w:szCs w:val="24"/>
          <w:lang w:bidi="zh-CN"/>
        </w:rPr>
      </w:pPr>
      <w:r>
        <w:rPr>
          <w:rFonts w:hint="eastAsia" w:ascii="宋体" w:hAnsi="宋体" w:eastAsia="宋体" w:cs="宋体"/>
          <w:bCs/>
          <w:kern w:val="2"/>
          <w:sz w:val="24"/>
          <w:szCs w:val="24"/>
          <w:lang w:bidi="zh-CN"/>
        </w:rPr>
        <w:t>为响应你方组织的项目的招标采购，招标编号为：，我方在参与投标前已详细研究了招标文件的所有内容，包括修改或更改（正）文件（如果有的话）和所有已提供的参考资料以及有关附件，我方完全明白并认为此招标文件没有倾向性，也没有存在排斥潜在供应商的内容，我方同意招标文件的相关条款并承诺参与投标后不再对招标文件的任何条款提出质疑或异议。</w:t>
      </w:r>
    </w:p>
    <w:p w14:paraId="30DB986B">
      <w:pPr>
        <w:spacing w:line="500" w:lineRule="exact"/>
        <w:ind w:left="480"/>
        <w:rPr>
          <w:rFonts w:ascii="宋体" w:hAnsi="宋体" w:eastAsia="宋体" w:cs="宋体"/>
          <w:sz w:val="24"/>
          <w:szCs w:val="24"/>
        </w:rPr>
      </w:pPr>
    </w:p>
    <w:p w14:paraId="7E2E0E20">
      <w:pPr>
        <w:spacing w:line="500" w:lineRule="exact"/>
        <w:ind w:left="480" w:firstLine="3360" w:firstLineChars="1400"/>
        <w:rPr>
          <w:rFonts w:ascii="宋体" w:hAnsi="宋体" w:eastAsia="宋体" w:cs="宋体"/>
          <w:sz w:val="24"/>
          <w:szCs w:val="24"/>
        </w:rPr>
      </w:pPr>
      <w:r>
        <w:rPr>
          <w:rFonts w:hint="eastAsia" w:ascii="宋体" w:hAnsi="宋体" w:eastAsia="宋体" w:cs="宋体"/>
          <w:sz w:val="24"/>
          <w:szCs w:val="24"/>
        </w:rPr>
        <w:t>特此声明。</w:t>
      </w:r>
    </w:p>
    <w:p w14:paraId="6225D13C">
      <w:pPr>
        <w:adjustRightInd/>
        <w:snapToGrid/>
        <w:spacing w:after="0" w:line="360" w:lineRule="auto"/>
        <w:jc w:val="both"/>
        <w:textAlignment w:val="baseline"/>
        <w:rPr>
          <w:rFonts w:ascii="宋体" w:hAnsi="宋体" w:eastAsia="宋体" w:cs="宋体"/>
          <w:b/>
          <w:kern w:val="2"/>
          <w:sz w:val="24"/>
          <w:szCs w:val="24"/>
          <w:lang w:bidi="zh-CN"/>
        </w:rPr>
      </w:pPr>
    </w:p>
    <w:p w14:paraId="147FE4C2">
      <w:pPr>
        <w:adjustRightInd/>
        <w:snapToGrid/>
        <w:spacing w:after="0" w:line="360" w:lineRule="auto"/>
        <w:ind w:firstLine="4560" w:firstLineChars="19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1D640522">
      <w:pPr>
        <w:adjustRightInd/>
        <w:snapToGrid/>
        <w:spacing w:after="0" w:line="360" w:lineRule="auto"/>
        <w:jc w:val="both"/>
        <w:textAlignment w:val="baseline"/>
        <w:rPr>
          <w:rFonts w:ascii="宋体" w:hAnsi="宋体" w:eastAsia="宋体" w:cs="宋体"/>
          <w:bCs/>
          <w:kern w:val="2"/>
          <w:sz w:val="24"/>
          <w:szCs w:val="24"/>
        </w:rPr>
      </w:pPr>
    </w:p>
    <w:p w14:paraId="0F4ED3BB">
      <w:pPr>
        <w:adjustRightInd/>
        <w:snapToGrid/>
        <w:spacing w:after="0" w:line="360" w:lineRule="auto"/>
        <w:ind w:firstLine="4560" w:firstLineChars="19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146ABB4D">
      <w:pPr>
        <w:adjustRightInd/>
        <w:snapToGrid/>
        <w:spacing w:after="0" w:line="360" w:lineRule="auto"/>
        <w:jc w:val="both"/>
        <w:textAlignment w:val="baseline"/>
        <w:rPr>
          <w:rFonts w:ascii="宋体" w:hAnsi="宋体" w:eastAsia="宋体" w:cs="宋体"/>
          <w:bCs/>
          <w:kern w:val="2"/>
          <w:sz w:val="24"/>
          <w:szCs w:val="24"/>
        </w:rPr>
      </w:pPr>
    </w:p>
    <w:p w14:paraId="7C912A22">
      <w:pPr>
        <w:adjustRightInd/>
        <w:spacing w:after="0" w:line="360" w:lineRule="auto"/>
        <w:ind w:firstLine="4560" w:firstLineChars="19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64E51760">
      <w:pPr>
        <w:adjustRightInd/>
        <w:snapToGrid/>
        <w:spacing w:after="0" w:line="360" w:lineRule="auto"/>
        <w:jc w:val="both"/>
        <w:textAlignment w:val="baseline"/>
        <w:rPr>
          <w:rFonts w:ascii="宋体" w:hAnsi="宋体" w:eastAsia="宋体" w:cs="宋体"/>
          <w:b/>
          <w:kern w:val="2"/>
          <w:sz w:val="24"/>
          <w:szCs w:val="24"/>
          <w:lang w:bidi="zh-CN"/>
        </w:rPr>
      </w:pPr>
    </w:p>
    <w:p w14:paraId="2C64687C">
      <w:pPr>
        <w:adjustRightInd/>
        <w:snapToGrid/>
        <w:spacing w:after="0" w:line="360" w:lineRule="auto"/>
        <w:jc w:val="both"/>
        <w:textAlignment w:val="baseline"/>
        <w:rPr>
          <w:rFonts w:ascii="宋体" w:hAnsi="宋体" w:eastAsia="宋体" w:cs="宋体"/>
          <w:b/>
          <w:kern w:val="2"/>
          <w:sz w:val="24"/>
          <w:szCs w:val="24"/>
          <w:lang w:bidi="zh-CN"/>
        </w:rPr>
      </w:pPr>
    </w:p>
    <w:p w14:paraId="3AD2F01D">
      <w:pPr>
        <w:adjustRightInd/>
        <w:snapToGrid/>
        <w:spacing w:after="0" w:line="360" w:lineRule="auto"/>
        <w:jc w:val="both"/>
        <w:textAlignment w:val="baseline"/>
        <w:rPr>
          <w:rFonts w:ascii="宋体" w:hAnsi="宋体" w:eastAsia="宋体" w:cs="宋体"/>
          <w:b/>
          <w:kern w:val="2"/>
          <w:sz w:val="24"/>
          <w:szCs w:val="24"/>
          <w:lang w:bidi="zh-CN"/>
        </w:rPr>
      </w:pPr>
    </w:p>
    <w:p w14:paraId="6F2B8CE1">
      <w:pPr>
        <w:adjustRightInd/>
        <w:snapToGrid/>
        <w:spacing w:after="0" w:line="360" w:lineRule="auto"/>
        <w:jc w:val="both"/>
        <w:textAlignment w:val="baseline"/>
        <w:rPr>
          <w:rFonts w:ascii="宋体" w:hAnsi="宋体" w:eastAsia="宋体" w:cs="宋体"/>
          <w:b/>
          <w:kern w:val="2"/>
          <w:sz w:val="24"/>
          <w:szCs w:val="24"/>
          <w:lang w:bidi="zh-CN"/>
        </w:rPr>
      </w:pPr>
    </w:p>
    <w:p w14:paraId="1FCCF94F">
      <w:pPr>
        <w:adjustRightInd/>
        <w:snapToGrid/>
        <w:spacing w:after="0" w:line="360" w:lineRule="auto"/>
        <w:jc w:val="both"/>
        <w:textAlignment w:val="baseline"/>
        <w:rPr>
          <w:rFonts w:ascii="宋体" w:hAnsi="宋体" w:eastAsia="宋体" w:cs="宋体"/>
          <w:b/>
          <w:kern w:val="2"/>
          <w:sz w:val="24"/>
          <w:szCs w:val="24"/>
          <w:lang w:bidi="zh-CN"/>
        </w:rPr>
      </w:pPr>
    </w:p>
    <w:p w14:paraId="3311F924">
      <w:pPr>
        <w:rPr>
          <w:rFonts w:ascii="宋体" w:hAnsi="宋体" w:eastAsia="宋体" w:cs="宋体"/>
          <w:sz w:val="24"/>
          <w:szCs w:val="24"/>
        </w:rPr>
      </w:pPr>
    </w:p>
    <w:p w14:paraId="70E8C41A">
      <w:pPr>
        <w:pStyle w:val="2"/>
        <w:ind w:firstLine="480"/>
        <w:rPr>
          <w:rFonts w:hAnsi="宋体" w:eastAsia="宋体" w:cs="宋体"/>
          <w:sz w:val="24"/>
          <w:szCs w:val="24"/>
          <w:lang w:eastAsia="zh-CN"/>
        </w:rPr>
      </w:pPr>
    </w:p>
    <w:p w14:paraId="4B14D488">
      <w:pPr>
        <w:spacing w:line="0" w:lineRule="atLeast"/>
        <w:rPr>
          <w:rFonts w:ascii="宋体" w:hAnsi="宋体" w:eastAsia="宋体" w:cs="宋体"/>
          <w:b/>
          <w:sz w:val="24"/>
          <w:szCs w:val="24"/>
        </w:rPr>
      </w:pPr>
    </w:p>
    <w:p w14:paraId="76DC8EA9">
      <w:pPr>
        <w:adjustRightInd/>
        <w:snapToGrid/>
        <w:spacing w:after="0" w:line="360" w:lineRule="auto"/>
        <w:jc w:val="both"/>
        <w:textAlignment w:val="baseline"/>
        <w:outlineLvl w:val="0"/>
        <w:rPr>
          <w:rFonts w:ascii="宋体" w:hAnsi="宋体" w:eastAsia="宋体" w:cs="宋体"/>
          <w:b/>
          <w:bCs/>
          <w:sz w:val="24"/>
          <w:szCs w:val="24"/>
        </w:rPr>
        <w:sectPr>
          <w:headerReference r:id="rId16" w:type="default"/>
          <w:pgSz w:w="11906" w:h="16838"/>
          <w:pgMar w:top="1440" w:right="1080" w:bottom="1440" w:left="1080" w:header="851" w:footer="992" w:gutter="0"/>
          <w:cols w:space="720" w:num="1"/>
          <w:docGrid w:linePitch="312" w:charSpace="0"/>
        </w:sectPr>
      </w:pPr>
      <w:bookmarkStart w:id="287" w:name="_Toc14876"/>
      <w:bookmarkStart w:id="288" w:name="_Toc6785"/>
      <w:bookmarkStart w:id="289" w:name="_Toc31382"/>
      <w:bookmarkStart w:id="290" w:name="_Toc2421"/>
      <w:bookmarkStart w:id="291" w:name="_Toc19955"/>
    </w:p>
    <w:p w14:paraId="408AF97E">
      <w:pPr>
        <w:adjustRightInd/>
        <w:snapToGrid/>
        <w:spacing w:after="0" w:line="360" w:lineRule="auto"/>
        <w:jc w:val="center"/>
        <w:textAlignment w:val="baseline"/>
        <w:outlineLvl w:val="1"/>
        <w:rPr>
          <w:rFonts w:ascii="宋体" w:hAnsi="宋体" w:eastAsia="宋体" w:cs="宋体"/>
          <w:b/>
          <w:bCs/>
          <w:kern w:val="2"/>
          <w:sz w:val="24"/>
          <w:szCs w:val="24"/>
        </w:rPr>
      </w:pPr>
      <w:bookmarkStart w:id="292" w:name="_Toc2880"/>
      <w:bookmarkStart w:id="293" w:name="_Toc22126"/>
      <w:r>
        <w:rPr>
          <w:rFonts w:hint="eastAsia" w:ascii="宋体" w:hAnsi="宋体" w:eastAsia="宋体" w:cs="宋体"/>
          <w:b/>
          <w:bCs/>
          <w:sz w:val="24"/>
          <w:szCs w:val="24"/>
        </w:rPr>
        <w:t>附件17：</w:t>
      </w:r>
      <w:bookmarkEnd w:id="287"/>
      <w:bookmarkEnd w:id="288"/>
      <w:bookmarkEnd w:id="289"/>
      <w:bookmarkEnd w:id="290"/>
      <w:bookmarkEnd w:id="291"/>
      <w:bookmarkEnd w:id="292"/>
      <w:bookmarkStart w:id="294" w:name="_Toc9518_WPSOffice_Level2"/>
      <w:bookmarkStart w:id="295" w:name="_Toc1879_WPSOffice_Level2"/>
      <w:r>
        <w:rPr>
          <w:rFonts w:hint="eastAsia" w:ascii="宋体" w:hAnsi="宋体" w:eastAsia="宋体" w:cs="宋体"/>
          <w:b/>
          <w:bCs/>
          <w:kern w:val="2"/>
          <w:sz w:val="24"/>
          <w:szCs w:val="24"/>
        </w:rPr>
        <w:t>虚假应标承担责任声明</w:t>
      </w:r>
      <w:bookmarkEnd w:id="293"/>
      <w:bookmarkEnd w:id="294"/>
      <w:bookmarkEnd w:id="295"/>
    </w:p>
    <w:p w14:paraId="7495FB2A">
      <w:pPr>
        <w:adjustRightInd/>
        <w:snapToGrid/>
        <w:spacing w:after="0" w:line="360" w:lineRule="auto"/>
        <w:jc w:val="both"/>
        <w:textAlignment w:val="baseline"/>
        <w:rPr>
          <w:rFonts w:ascii="宋体" w:hAnsi="宋体" w:eastAsia="宋体" w:cs="宋体"/>
          <w:bCs/>
          <w:kern w:val="2"/>
          <w:sz w:val="24"/>
          <w:szCs w:val="24"/>
        </w:rPr>
      </w:pPr>
    </w:p>
    <w:p w14:paraId="7284D49B">
      <w:pPr>
        <w:spacing w:line="500" w:lineRule="exact"/>
        <w:jc w:val="both"/>
        <w:rPr>
          <w:rFonts w:ascii="宋体" w:hAnsi="宋体" w:eastAsia="宋体" w:cs="宋体"/>
          <w:bCs/>
          <w:kern w:val="2"/>
          <w:sz w:val="24"/>
          <w:szCs w:val="24"/>
        </w:rPr>
      </w:pPr>
      <w:r>
        <w:rPr>
          <w:rFonts w:hint="eastAsia" w:ascii="宋体" w:hAnsi="宋体" w:eastAsia="宋体" w:cs="宋体"/>
          <w:bCs/>
          <w:kern w:val="2"/>
          <w:sz w:val="24"/>
          <w:szCs w:val="24"/>
        </w:rPr>
        <w:t>致：宕昌县公安局</w:t>
      </w:r>
    </w:p>
    <w:p w14:paraId="578599E4">
      <w:pPr>
        <w:spacing w:line="500" w:lineRule="exact"/>
        <w:ind w:firstLine="480"/>
        <w:jc w:val="both"/>
        <w:rPr>
          <w:rFonts w:ascii="宋体" w:hAnsi="宋体" w:eastAsia="宋体" w:cs="宋体"/>
          <w:bCs/>
          <w:kern w:val="2"/>
          <w:sz w:val="24"/>
          <w:szCs w:val="24"/>
          <w:lang w:bidi="zh-CN"/>
        </w:rPr>
      </w:pPr>
      <w:r>
        <w:rPr>
          <w:rFonts w:hint="eastAsia" w:ascii="宋体" w:hAnsi="宋体" w:eastAsia="宋体" w:cs="宋体"/>
          <w:bCs/>
          <w:kern w:val="2"/>
          <w:sz w:val="24"/>
          <w:szCs w:val="24"/>
        </w:rPr>
        <w:t xml:space="preserve">   </w:t>
      </w:r>
      <w:r>
        <w:rPr>
          <w:rFonts w:hint="eastAsia" w:ascii="宋体" w:hAnsi="宋体" w:eastAsia="宋体" w:cs="宋体"/>
          <w:bCs/>
          <w:kern w:val="2"/>
          <w:sz w:val="24"/>
          <w:szCs w:val="24"/>
          <w:lang w:bidi="zh-CN"/>
        </w:rPr>
        <w:t>我公司承诺所提供的投标文件（包括一切技术资料、技术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等决定。</w:t>
      </w:r>
    </w:p>
    <w:p w14:paraId="5D9A53C5">
      <w:pPr>
        <w:spacing w:line="500" w:lineRule="exact"/>
        <w:rPr>
          <w:rFonts w:ascii="宋体" w:hAnsi="宋体" w:eastAsia="宋体" w:cs="宋体"/>
          <w:sz w:val="24"/>
          <w:szCs w:val="24"/>
        </w:rPr>
      </w:pPr>
    </w:p>
    <w:p w14:paraId="566A37B0">
      <w:pPr>
        <w:spacing w:line="500" w:lineRule="exact"/>
        <w:ind w:left="480" w:firstLine="3360" w:firstLineChars="1400"/>
        <w:rPr>
          <w:rFonts w:ascii="宋体" w:hAnsi="宋体" w:eastAsia="宋体" w:cs="宋体"/>
          <w:sz w:val="24"/>
          <w:szCs w:val="24"/>
        </w:rPr>
      </w:pPr>
      <w:r>
        <w:rPr>
          <w:rFonts w:hint="eastAsia" w:ascii="宋体" w:hAnsi="宋体" w:eastAsia="宋体" w:cs="宋体"/>
          <w:sz w:val="24"/>
          <w:szCs w:val="24"/>
        </w:rPr>
        <w:t>特此声明。</w:t>
      </w:r>
    </w:p>
    <w:p w14:paraId="424A071B">
      <w:pPr>
        <w:spacing w:line="500" w:lineRule="exact"/>
        <w:rPr>
          <w:rFonts w:ascii="宋体" w:hAnsi="宋体" w:eastAsia="宋体" w:cs="宋体"/>
          <w:sz w:val="24"/>
          <w:szCs w:val="24"/>
        </w:rPr>
      </w:pPr>
    </w:p>
    <w:p w14:paraId="34F11824">
      <w:pPr>
        <w:adjustRightInd/>
        <w:snapToGrid/>
        <w:spacing w:after="0" w:line="360" w:lineRule="auto"/>
        <w:ind w:firstLine="4080" w:firstLineChars="17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03E891ED">
      <w:pPr>
        <w:adjustRightInd/>
        <w:snapToGrid/>
        <w:spacing w:after="0" w:line="360" w:lineRule="auto"/>
        <w:jc w:val="both"/>
        <w:textAlignment w:val="baseline"/>
        <w:rPr>
          <w:rFonts w:ascii="宋体" w:hAnsi="宋体" w:eastAsia="宋体" w:cs="宋体"/>
          <w:bCs/>
          <w:kern w:val="2"/>
          <w:sz w:val="24"/>
          <w:szCs w:val="24"/>
        </w:rPr>
      </w:pPr>
    </w:p>
    <w:p w14:paraId="5054279F">
      <w:pPr>
        <w:adjustRightInd/>
        <w:snapToGrid/>
        <w:spacing w:after="0" w:line="360" w:lineRule="auto"/>
        <w:ind w:firstLine="4080" w:firstLineChars="17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652C9091">
      <w:pPr>
        <w:adjustRightInd/>
        <w:snapToGrid/>
        <w:spacing w:after="0" w:line="360" w:lineRule="auto"/>
        <w:jc w:val="both"/>
        <w:textAlignment w:val="baseline"/>
        <w:rPr>
          <w:rFonts w:ascii="宋体" w:hAnsi="宋体" w:eastAsia="宋体" w:cs="宋体"/>
          <w:bCs/>
          <w:kern w:val="2"/>
          <w:sz w:val="24"/>
          <w:szCs w:val="24"/>
        </w:rPr>
      </w:pPr>
    </w:p>
    <w:p w14:paraId="0B1A945B">
      <w:pPr>
        <w:adjustRightInd/>
        <w:spacing w:after="0" w:line="360" w:lineRule="auto"/>
        <w:ind w:firstLine="4080" w:firstLineChars="17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48775222">
      <w:pPr>
        <w:spacing w:line="500" w:lineRule="exact"/>
        <w:rPr>
          <w:rFonts w:ascii="宋体" w:hAnsi="宋体" w:eastAsia="宋体" w:cs="宋体"/>
          <w:sz w:val="24"/>
          <w:szCs w:val="24"/>
        </w:rPr>
      </w:pPr>
    </w:p>
    <w:p w14:paraId="4B3540F4">
      <w:pPr>
        <w:spacing w:line="500" w:lineRule="exact"/>
        <w:rPr>
          <w:rFonts w:ascii="宋体" w:hAnsi="宋体" w:eastAsia="宋体" w:cs="宋体"/>
          <w:sz w:val="24"/>
          <w:szCs w:val="24"/>
        </w:rPr>
      </w:pPr>
    </w:p>
    <w:p w14:paraId="140C19FD">
      <w:pPr>
        <w:spacing w:line="0" w:lineRule="atLeast"/>
        <w:rPr>
          <w:rFonts w:ascii="宋体" w:hAnsi="宋体" w:eastAsia="宋体" w:cs="宋体"/>
          <w:b/>
          <w:sz w:val="24"/>
          <w:szCs w:val="24"/>
        </w:rPr>
      </w:pPr>
    </w:p>
    <w:p w14:paraId="6B4AF38E">
      <w:pPr>
        <w:pStyle w:val="10"/>
        <w:rPr>
          <w:sz w:val="24"/>
          <w:szCs w:val="24"/>
        </w:rPr>
      </w:pPr>
    </w:p>
    <w:p w14:paraId="2388AE12">
      <w:pPr>
        <w:adjustRightInd/>
        <w:snapToGrid/>
        <w:spacing w:after="0"/>
        <w:rPr>
          <w:rFonts w:ascii="宋体" w:hAnsi="宋体" w:eastAsia="宋体" w:cs="宋体"/>
          <w:b/>
          <w:sz w:val="24"/>
          <w:szCs w:val="24"/>
        </w:rPr>
      </w:pPr>
      <w:r>
        <w:rPr>
          <w:rFonts w:hint="eastAsia" w:ascii="宋体" w:hAnsi="宋体" w:eastAsia="宋体" w:cs="宋体"/>
          <w:b/>
          <w:sz w:val="24"/>
          <w:szCs w:val="24"/>
        </w:rPr>
        <w:br w:type="page"/>
      </w:r>
    </w:p>
    <w:p w14:paraId="0C9F131F">
      <w:pPr>
        <w:adjustRightInd/>
        <w:snapToGrid/>
        <w:spacing w:after="0" w:line="360" w:lineRule="auto"/>
        <w:jc w:val="center"/>
        <w:textAlignment w:val="baseline"/>
        <w:outlineLvl w:val="1"/>
        <w:rPr>
          <w:rFonts w:ascii="宋体" w:hAnsi="宋体" w:eastAsia="宋体" w:cs="宋体"/>
          <w:b/>
          <w:bCs/>
          <w:kern w:val="2"/>
          <w:sz w:val="24"/>
          <w:szCs w:val="24"/>
        </w:rPr>
      </w:pPr>
      <w:bookmarkStart w:id="296" w:name="_Toc15060"/>
      <w:bookmarkStart w:id="297" w:name="_Toc12812"/>
      <w:bookmarkStart w:id="298" w:name="_Toc14565"/>
      <w:bookmarkStart w:id="299" w:name="_Toc9957"/>
      <w:bookmarkStart w:id="300" w:name="_Toc26201"/>
      <w:r>
        <w:rPr>
          <w:rFonts w:hint="eastAsia" w:ascii="宋体" w:hAnsi="宋体" w:eastAsia="宋体" w:cs="宋体"/>
          <w:b/>
          <w:bCs/>
          <w:sz w:val="24"/>
          <w:szCs w:val="24"/>
        </w:rPr>
        <w:t>附件18：</w:t>
      </w:r>
      <w:bookmarkEnd w:id="296"/>
      <w:bookmarkEnd w:id="297"/>
      <w:bookmarkEnd w:id="298"/>
      <w:bookmarkEnd w:id="299"/>
      <w:bookmarkStart w:id="301" w:name="_Toc28915_WPSOffice_Level2"/>
      <w:bookmarkStart w:id="302" w:name="_Toc7391_WPSOffice_Level2"/>
      <w:r>
        <w:rPr>
          <w:rFonts w:hint="eastAsia" w:ascii="宋体" w:hAnsi="宋体" w:eastAsia="宋体" w:cs="宋体"/>
          <w:b/>
          <w:bCs/>
          <w:kern w:val="2"/>
          <w:sz w:val="24"/>
          <w:szCs w:val="24"/>
        </w:rPr>
        <w:t>代理服务费确认书</w:t>
      </w:r>
      <w:bookmarkEnd w:id="300"/>
      <w:bookmarkEnd w:id="301"/>
      <w:bookmarkEnd w:id="302"/>
    </w:p>
    <w:p w14:paraId="186FB475">
      <w:pPr>
        <w:spacing w:line="0" w:lineRule="atLeast"/>
        <w:rPr>
          <w:rFonts w:ascii="宋体" w:hAnsi="宋体" w:eastAsia="宋体" w:cs="宋体"/>
          <w:b/>
          <w:sz w:val="24"/>
          <w:szCs w:val="24"/>
        </w:rPr>
      </w:pPr>
    </w:p>
    <w:p w14:paraId="1C34BF13">
      <w:pPr>
        <w:spacing w:line="500" w:lineRule="exact"/>
        <w:jc w:val="both"/>
        <w:rPr>
          <w:rFonts w:ascii="宋体" w:hAnsi="宋体" w:eastAsia="宋体" w:cs="宋体"/>
          <w:bCs/>
          <w:kern w:val="2"/>
          <w:sz w:val="24"/>
          <w:szCs w:val="24"/>
        </w:rPr>
      </w:pPr>
      <w:r>
        <w:rPr>
          <w:rFonts w:hint="eastAsia" w:ascii="宋体" w:hAnsi="宋体" w:eastAsia="宋体" w:cs="宋体"/>
          <w:bCs/>
          <w:kern w:val="2"/>
          <w:sz w:val="24"/>
          <w:szCs w:val="24"/>
        </w:rPr>
        <w:t>致：甘肃鑫畅达工程咨询有限公司</w:t>
      </w:r>
    </w:p>
    <w:p w14:paraId="086C3BAC">
      <w:pPr>
        <w:spacing w:line="500" w:lineRule="exact"/>
        <w:ind w:firstLine="480"/>
        <w:jc w:val="both"/>
        <w:rPr>
          <w:rFonts w:ascii="宋体" w:hAnsi="宋体" w:eastAsia="宋体" w:cs="宋体"/>
          <w:bCs/>
          <w:kern w:val="2"/>
          <w:sz w:val="24"/>
          <w:szCs w:val="24"/>
          <w:lang w:bidi="zh-CN"/>
        </w:rPr>
      </w:pPr>
      <w:r>
        <w:rPr>
          <w:rFonts w:hint="eastAsia" w:ascii="宋体" w:hAnsi="宋体" w:eastAsia="宋体" w:cs="宋体"/>
          <w:bCs/>
          <w:kern w:val="2"/>
          <w:sz w:val="24"/>
          <w:szCs w:val="24"/>
          <w:lang w:bidi="zh-CN"/>
        </w:rPr>
        <w:t>参照国家计委《招标代理服务收费管理暂行办法》（计价格[2002]1980 号）和国家发改委《国家发展改革委办公厅关于招标代理服务费有关问题的通知》（发改办价格[2003]857 号）文件的有关规定，经采购人、采购代理机构协商，本次招标项目（招标文件编号：  ）的招标服务费向中标方收取。若我单位中标，将按照国家规定标准向贵公司缴纳招标代理服务费。</w:t>
      </w:r>
    </w:p>
    <w:p w14:paraId="7E9D4E51">
      <w:pPr>
        <w:spacing w:line="0" w:lineRule="atLeast"/>
        <w:ind w:left="480"/>
        <w:rPr>
          <w:rFonts w:ascii="宋体" w:hAnsi="宋体" w:eastAsia="宋体" w:cs="宋体"/>
          <w:sz w:val="24"/>
          <w:szCs w:val="24"/>
          <w:u w:val="single"/>
        </w:rPr>
      </w:pPr>
    </w:p>
    <w:p w14:paraId="43E45E7F">
      <w:pPr>
        <w:spacing w:line="200" w:lineRule="exact"/>
        <w:rPr>
          <w:rFonts w:ascii="宋体" w:hAnsi="宋体" w:eastAsia="宋体" w:cs="宋体"/>
          <w:sz w:val="24"/>
          <w:szCs w:val="24"/>
          <w:u w:val="single"/>
        </w:rPr>
      </w:pPr>
    </w:p>
    <w:p w14:paraId="07168D01">
      <w:pPr>
        <w:spacing w:line="200" w:lineRule="exact"/>
        <w:rPr>
          <w:rFonts w:ascii="宋体" w:hAnsi="宋体" w:eastAsia="宋体" w:cs="宋体"/>
          <w:sz w:val="24"/>
          <w:szCs w:val="24"/>
        </w:rPr>
      </w:pPr>
    </w:p>
    <w:p w14:paraId="68951D92">
      <w:pPr>
        <w:spacing w:line="239" w:lineRule="exact"/>
        <w:rPr>
          <w:rFonts w:ascii="宋体" w:hAnsi="宋体" w:eastAsia="宋体" w:cs="宋体"/>
          <w:sz w:val="24"/>
          <w:szCs w:val="24"/>
        </w:rPr>
      </w:pPr>
    </w:p>
    <w:p w14:paraId="1F372BEB">
      <w:pPr>
        <w:adjustRightInd/>
        <w:snapToGrid/>
        <w:spacing w:after="0" w:line="360" w:lineRule="auto"/>
        <w:ind w:firstLine="4560" w:firstLineChars="19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413CA0B0">
      <w:pPr>
        <w:adjustRightInd/>
        <w:snapToGrid/>
        <w:spacing w:after="0" w:line="360" w:lineRule="auto"/>
        <w:jc w:val="both"/>
        <w:textAlignment w:val="baseline"/>
        <w:rPr>
          <w:rFonts w:ascii="宋体" w:hAnsi="宋体" w:eastAsia="宋体" w:cs="宋体"/>
          <w:bCs/>
          <w:kern w:val="2"/>
          <w:sz w:val="24"/>
          <w:szCs w:val="24"/>
        </w:rPr>
      </w:pPr>
    </w:p>
    <w:p w14:paraId="639A3B9B">
      <w:pPr>
        <w:adjustRightInd/>
        <w:snapToGrid/>
        <w:spacing w:after="0" w:line="360" w:lineRule="auto"/>
        <w:ind w:firstLine="4560" w:firstLineChars="19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76A4A311">
      <w:pPr>
        <w:adjustRightInd/>
        <w:snapToGrid/>
        <w:spacing w:after="0" w:line="360" w:lineRule="auto"/>
        <w:jc w:val="both"/>
        <w:textAlignment w:val="baseline"/>
        <w:rPr>
          <w:rFonts w:ascii="宋体" w:hAnsi="宋体" w:eastAsia="宋体" w:cs="宋体"/>
          <w:bCs/>
          <w:kern w:val="2"/>
          <w:sz w:val="24"/>
          <w:szCs w:val="24"/>
        </w:rPr>
      </w:pPr>
    </w:p>
    <w:p w14:paraId="6DEC681C">
      <w:pPr>
        <w:adjustRightInd/>
        <w:spacing w:after="0" w:line="360" w:lineRule="auto"/>
        <w:ind w:firstLine="4560" w:firstLineChars="19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711B5A58">
      <w:pPr>
        <w:tabs>
          <w:tab w:val="left" w:pos="6580"/>
          <w:tab w:val="left" w:pos="7420"/>
        </w:tabs>
        <w:spacing w:line="0" w:lineRule="atLeast"/>
        <w:rPr>
          <w:rFonts w:ascii="宋体" w:hAnsi="宋体" w:eastAsia="宋体" w:cs="宋体"/>
          <w:sz w:val="24"/>
          <w:szCs w:val="24"/>
        </w:rPr>
      </w:pPr>
    </w:p>
    <w:p w14:paraId="554A991B">
      <w:pPr>
        <w:tabs>
          <w:tab w:val="left" w:pos="6580"/>
          <w:tab w:val="left" w:pos="7420"/>
        </w:tabs>
        <w:spacing w:line="0" w:lineRule="atLeast"/>
        <w:rPr>
          <w:rFonts w:ascii="宋体" w:hAnsi="宋体" w:eastAsia="宋体" w:cs="宋体"/>
          <w:sz w:val="24"/>
          <w:szCs w:val="24"/>
        </w:rPr>
      </w:pPr>
    </w:p>
    <w:p w14:paraId="46924258">
      <w:pPr>
        <w:tabs>
          <w:tab w:val="left" w:pos="6580"/>
          <w:tab w:val="left" w:pos="7420"/>
        </w:tabs>
        <w:spacing w:line="0" w:lineRule="atLeast"/>
        <w:rPr>
          <w:rFonts w:ascii="宋体" w:hAnsi="宋体" w:eastAsia="宋体" w:cs="宋体"/>
          <w:sz w:val="24"/>
          <w:szCs w:val="24"/>
        </w:rPr>
      </w:pPr>
    </w:p>
    <w:p w14:paraId="3962C460">
      <w:pPr>
        <w:tabs>
          <w:tab w:val="left" w:pos="6580"/>
          <w:tab w:val="left" w:pos="7420"/>
        </w:tabs>
        <w:spacing w:line="0" w:lineRule="atLeast"/>
        <w:rPr>
          <w:rFonts w:ascii="宋体" w:hAnsi="宋体" w:eastAsia="宋体" w:cs="宋体"/>
          <w:sz w:val="24"/>
          <w:szCs w:val="24"/>
        </w:rPr>
      </w:pPr>
    </w:p>
    <w:p w14:paraId="76F53FA3">
      <w:pPr>
        <w:tabs>
          <w:tab w:val="left" w:pos="6580"/>
          <w:tab w:val="left" w:pos="7420"/>
        </w:tabs>
        <w:spacing w:line="0" w:lineRule="atLeast"/>
        <w:rPr>
          <w:rFonts w:ascii="宋体" w:hAnsi="宋体" w:eastAsia="宋体" w:cs="宋体"/>
          <w:sz w:val="24"/>
          <w:szCs w:val="24"/>
        </w:rPr>
      </w:pPr>
    </w:p>
    <w:p w14:paraId="186E09FE">
      <w:pPr>
        <w:rPr>
          <w:rFonts w:ascii="宋体" w:hAnsi="宋体" w:eastAsia="宋体" w:cs="宋体"/>
          <w:sz w:val="24"/>
          <w:szCs w:val="24"/>
        </w:rPr>
      </w:pPr>
    </w:p>
    <w:p w14:paraId="18E9A8DA">
      <w:pPr>
        <w:pStyle w:val="2"/>
        <w:ind w:firstLine="480"/>
        <w:rPr>
          <w:rFonts w:hAnsi="宋体" w:eastAsia="宋体" w:cs="宋体"/>
          <w:sz w:val="24"/>
          <w:szCs w:val="24"/>
          <w:lang w:eastAsia="zh-CN"/>
        </w:rPr>
      </w:pPr>
    </w:p>
    <w:p w14:paraId="17BA801E">
      <w:pPr>
        <w:rPr>
          <w:rFonts w:ascii="宋体" w:hAnsi="宋体" w:eastAsia="宋体" w:cs="宋体"/>
          <w:sz w:val="24"/>
          <w:szCs w:val="24"/>
        </w:rPr>
      </w:pPr>
    </w:p>
    <w:p w14:paraId="54436BEA">
      <w:pPr>
        <w:adjustRightInd/>
        <w:snapToGrid/>
        <w:spacing w:after="0" w:line="360" w:lineRule="auto"/>
        <w:jc w:val="both"/>
        <w:textAlignment w:val="baseline"/>
        <w:outlineLvl w:val="0"/>
        <w:rPr>
          <w:rFonts w:ascii="宋体" w:hAnsi="宋体" w:eastAsia="宋体" w:cs="宋体"/>
          <w:b/>
          <w:bCs/>
          <w:sz w:val="24"/>
          <w:szCs w:val="24"/>
        </w:rPr>
        <w:sectPr>
          <w:pgSz w:w="11906" w:h="16838"/>
          <w:pgMar w:top="1440" w:right="1080" w:bottom="1440" w:left="1080" w:header="851" w:footer="992" w:gutter="0"/>
          <w:cols w:space="720" w:num="1"/>
          <w:docGrid w:linePitch="312" w:charSpace="0"/>
        </w:sectPr>
      </w:pPr>
      <w:bookmarkStart w:id="303" w:name="_Toc6821"/>
      <w:bookmarkStart w:id="304" w:name="_Toc31172"/>
      <w:bookmarkStart w:id="305" w:name="_Toc29791"/>
      <w:bookmarkStart w:id="306" w:name="_Toc28693"/>
    </w:p>
    <w:p w14:paraId="42D47254">
      <w:pPr>
        <w:adjustRightInd/>
        <w:snapToGrid/>
        <w:spacing w:after="0" w:line="360" w:lineRule="auto"/>
        <w:jc w:val="center"/>
        <w:textAlignment w:val="baseline"/>
        <w:outlineLvl w:val="1"/>
        <w:rPr>
          <w:rFonts w:eastAsia="宋体"/>
          <w:b/>
          <w:spacing w:val="6"/>
          <w:kern w:val="2"/>
          <w:szCs w:val="24"/>
        </w:rPr>
      </w:pPr>
      <w:bookmarkStart w:id="307" w:name="_Toc10582"/>
      <w:bookmarkStart w:id="308" w:name="_Toc22708"/>
      <w:r>
        <w:rPr>
          <w:rFonts w:hint="eastAsia" w:ascii="宋体" w:hAnsi="宋体" w:eastAsia="宋体" w:cs="宋体"/>
          <w:b/>
          <w:bCs/>
          <w:sz w:val="24"/>
          <w:szCs w:val="24"/>
        </w:rPr>
        <w:t>附件19：</w:t>
      </w:r>
      <w:bookmarkEnd w:id="303"/>
      <w:bookmarkEnd w:id="304"/>
      <w:bookmarkEnd w:id="305"/>
      <w:bookmarkEnd w:id="306"/>
      <w:bookmarkEnd w:id="307"/>
      <w:r>
        <w:rPr>
          <w:rFonts w:hint="eastAsia" w:eastAsia="宋体"/>
          <w:b/>
          <w:spacing w:val="6"/>
          <w:kern w:val="2"/>
          <w:szCs w:val="24"/>
        </w:rPr>
        <w:t>代理服务费承诺书</w:t>
      </w:r>
      <w:bookmarkEnd w:id="308"/>
    </w:p>
    <w:p w14:paraId="04FEC35C">
      <w:pPr>
        <w:pStyle w:val="25"/>
        <w:widowControl w:val="0"/>
        <w:adjustRightInd/>
        <w:snapToGrid/>
        <w:ind w:firstLine="0" w:firstLineChars="0"/>
        <w:rPr>
          <w:rFonts w:eastAsia="宋体"/>
          <w:b/>
          <w:bCs/>
          <w:szCs w:val="24"/>
        </w:rPr>
      </w:pPr>
      <w:r>
        <w:rPr>
          <w:rFonts w:hint="eastAsia" w:eastAsia="宋体"/>
          <w:b/>
          <w:bCs/>
          <w:szCs w:val="24"/>
        </w:rPr>
        <w:t>致：甘肃鑫畅达工程咨询有限公司</w:t>
      </w:r>
    </w:p>
    <w:p w14:paraId="1F373054">
      <w:pPr>
        <w:pStyle w:val="25"/>
        <w:widowControl w:val="0"/>
        <w:adjustRightInd/>
        <w:snapToGrid/>
        <w:ind w:firstLine="720" w:firstLineChars="300"/>
        <w:rPr>
          <w:rFonts w:eastAsia="宋体"/>
          <w:szCs w:val="24"/>
        </w:rPr>
      </w:pPr>
      <w:r>
        <w:rPr>
          <w:rFonts w:hint="eastAsia" w:eastAsia="宋体"/>
          <w:szCs w:val="24"/>
        </w:rPr>
        <w:t>我们在贵公司组织的项目（招标编号：       ），如获成交，我们保证按照招标文件规定自愿以电汇、转支支付方式，向招标公司缴纳代理服务费。</w:t>
      </w:r>
    </w:p>
    <w:p w14:paraId="38222A31">
      <w:pPr>
        <w:pStyle w:val="25"/>
        <w:widowControl w:val="0"/>
        <w:adjustRightInd/>
        <w:snapToGrid/>
        <w:ind w:firstLine="720" w:firstLineChars="300"/>
        <w:rPr>
          <w:rFonts w:eastAsia="宋体"/>
          <w:szCs w:val="24"/>
        </w:rPr>
      </w:pPr>
    </w:p>
    <w:p w14:paraId="0E37334E">
      <w:pPr>
        <w:pStyle w:val="25"/>
        <w:widowControl w:val="0"/>
        <w:adjustRightInd/>
        <w:snapToGrid/>
        <w:ind w:firstLine="0" w:firstLineChars="0"/>
        <w:rPr>
          <w:rFonts w:eastAsia="宋体"/>
          <w:szCs w:val="24"/>
        </w:rPr>
      </w:pPr>
    </w:p>
    <w:p w14:paraId="1C8E235A">
      <w:pPr>
        <w:pStyle w:val="25"/>
        <w:widowControl w:val="0"/>
        <w:adjustRightInd/>
        <w:snapToGrid/>
        <w:ind w:firstLine="720" w:firstLineChars="300"/>
        <w:rPr>
          <w:rFonts w:eastAsia="宋体"/>
          <w:szCs w:val="24"/>
        </w:rPr>
      </w:pPr>
      <w:r>
        <w:rPr>
          <w:rFonts w:hint="eastAsia" w:eastAsia="宋体"/>
          <w:szCs w:val="24"/>
        </w:rPr>
        <w:t xml:space="preserve"> 特此承诺！ </w:t>
      </w:r>
    </w:p>
    <w:p w14:paraId="0D345B87">
      <w:pPr>
        <w:pStyle w:val="25"/>
        <w:widowControl w:val="0"/>
        <w:adjustRightInd/>
        <w:snapToGrid/>
        <w:ind w:firstLine="4560" w:firstLineChars="1900"/>
        <w:rPr>
          <w:rFonts w:eastAsia="宋体"/>
          <w:szCs w:val="24"/>
          <w:u w:val="single"/>
        </w:rPr>
      </w:pPr>
      <w:r>
        <w:rPr>
          <w:rFonts w:hint="eastAsia" w:eastAsia="宋体"/>
          <w:szCs w:val="24"/>
        </w:rPr>
        <w:t>投标人（盖章）：</w:t>
      </w:r>
    </w:p>
    <w:p w14:paraId="6F43D921">
      <w:pPr>
        <w:pStyle w:val="25"/>
        <w:widowControl w:val="0"/>
        <w:adjustRightInd/>
        <w:snapToGrid/>
        <w:ind w:firstLine="4560" w:firstLineChars="1900"/>
        <w:rPr>
          <w:rFonts w:eastAsia="宋体"/>
          <w:szCs w:val="24"/>
          <w:u w:val="single"/>
        </w:rPr>
      </w:pPr>
      <w:r>
        <w:rPr>
          <w:rFonts w:hint="eastAsia" w:eastAsia="宋体"/>
          <w:szCs w:val="24"/>
        </w:rPr>
        <w:t>法定代表人或被授权人(签字)：</w:t>
      </w:r>
    </w:p>
    <w:p w14:paraId="71BACE8A">
      <w:pPr>
        <w:pStyle w:val="25"/>
        <w:widowControl w:val="0"/>
        <w:adjustRightInd/>
        <w:snapToGrid/>
        <w:ind w:firstLine="3600" w:firstLineChars="1500"/>
        <w:rPr>
          <w:rFonts w:eastAsia="宋体"/>
          <w:szCs w:val="24"/>
        </w:rPr>
      </w:pPr>
      <w:r>
        <w:rPr>
          <w:rFonts w:hint="eastAsia" w:eastAsia="宋体"/>
          <w:szCs w:val="24"/>
        </w:rPr>
        <w:t xml:space="preserve">        日 期：   年 月 日 </w:t>
      </w:r>
    </w:p>
    <w:p w14:paraId="30563569">
      <w:pPr>
        <w:pStyle w:val="25"/>
        <w:ind w:firstLine="0" w:firstLineChars="0"/>
        <w:rPr>
          <w:rFonts w:eastAsia="宋体"/>
          <w:szCs w:val="24"/>
        </w:rPr>
      </w:pPr>
    </w:p>
    <w:p w14:paraId="730FF7FD">
      <w:pPr>
        <w:adjustRightInd/>
        <w:snapToGrid/>
        <w:spacing w:after="0" w:line="360" w:lineRule="auto"/>
        <w:jc w:val="both"/>
        <w:textAlignment w:val="baseline"/>
        <w:rPr>
          <w:rFonts w:ascii="宋体" w:hAnsi="宋体" w:eastAsia="宋体" w:cs="宋体"/>
          <w:b/>
          <w:bCs/>
          <w:sz w:val="24"/>
          <w:szCs w:val="24"/>
        </w:rPr>
      </w:pPr>
      <w:bookmarkStart w:id="309" w:name="_Toc8331"/>
      <w:bookmarkStart w:id="310" w:name="_Toc10941"/>
      <w:bookmarkStart w:id="311" w:name="_Toc6833"/>
      <w:bookmarkStart w:id="312" w:name="_Toc7450"/>
      <w:bookmarkStart w:id="313" w:name="_Toc16493"/>
    </w:p>
    <w:p w14:paraId="34BAF874">
      <w:pPr>
        <w:adjustRightInd/>
        <w:snapToGrid/>
        <w:spacing w:after="0" w:line="360" w:lineRule="auto"/>
        <w:jc w:val="both"/>
        <w:textAlignment w:val="baseline"/>
        <w:rPr>
          <w:rFonts w:ascii="宋体" w:hAnsi="宋体" w:eastAsia="宋体" w:cs="宋体"/>
          <w:b/>
          <w:bCs/>
          <w:sz w:val="24"/>
          <w:szCs w:val="24"/>
        </w:rPr>
      </w:pPr>
    </w:p>
    <w:p w14:paraId="1E02F531">
      <w:pPr>
        <w:adjustRightInd/>
        <w:snapToGrid/>
        <w:spacing w:after="0" w:line="360" w:lineRule="auto"/>
        <w:jc w:val="both"/>
        <w:textAlignment w:val="baseline"/>
        <w:rPr>
          <w:rFonts w:ascii="宋体" w:hAnsi="宋体" w:eastAsia="宋体" w:cs="宋体"/>
          <w:b/>
          <w:bCs/>
          <w:sz w:val="24"/>
          <w:szCs w:val="24"/>
        </w:rPr>
      </w:pPr>
    </w:p>
    <w:p w14:paraId="25F80FBD">
      <w:pPr>
        <w:adjustRightInd/>
        <w:snapToGrid/>
        <w:spacing w:after="0" w:line="360" w:lineRule="auto"/>
        <w:jc w:val="both"/>
        <w:textAlignment w:val="baseline"/>
        <w:rPr>
          <w:rFonts w:ascii="宋体" w:hAnsi="宋体" w:eastAsia="宋体" w:cs="宋体"/>
          <w:b/>
          <w:bCs/>
          <w:sz w:val="24"/>
          <w:szCs w:val="24"/>
        </w:rPr>
      </w:pPr>
    </w:p>
    <w:p w14:paraId="391EAE8B">
      <w:pPr>
        <w:adjustRightInd/>
        <w:snapToGrid/>
        <w:spacing w:after="0" w:line="360" w:lineRule="auto"/>
        <w:jc w:val="both"/>
        <w:textAlignment w:val="baseline"/>
        <w:rPr>
          <w:rFonts w:ascii="宋体" w:hAnsi="宋体" w:eastAsia="宋体" w:cs="宋体"/>
          <w:b/>
          <w:bCs/>
          <w:sz w:val="24"/>
          <w:szCs w:val="24"/>
        </w:rPr>
      </w:pPr>
    </w:p>
    <w:p w14:paraId="4F13D188">
      <w:pPr>
        <w:adjustRightInd/>
        <w:snapToGrid/>
        <w:spacing w:after="0" w:line="360" w:lineRule="auto"/>
        <w:jc w:val="both"/>
        <w:textAlignment w:val="baseline"/>
        <w:rPr>
          <w:rFonts w:ascii="宋体" w:hAnsi="宋体" w:eastAsia="宋体" w:cs="宋体"/>
          <w:b/>
          <w:bCs/>
          <w:sz w:val="24"/>
          <w:szCs w:val="24"/>
        </w:rPr>
      </w:pPr>
    </w:p>
    <w:p w14:paraId="00F842E2">
      <w:pPr>
        <w:adjustRightInd/>
        <w:snapToGrid/>
        <w:spacing w:after="0" w:line="360" w:lineRule="auto"/>
        <w:jc w:val="both"/>
        <w:textAlignment w:val="baseline"/>
        <w:rPr>
          <w:rFonts w:ascii="宋体" w:hAnsi="宋体" w:eastAsia="宋体" w:cs="宋体"/>
          <w:b/>
          <w:bCs/>
          <w:sz w:val="24"/>
          <w:szCs w:val="24"/>
        </w:rPr>
      </w:pPr>
    </w:p>
    <w:p w14:paraId="743936BD">
      <w:pPr>
        <w:adjustRightInd/>
        <w:snapToGrid/>
        <w:spacing w:after="0" w:line="360" w:lineRule="auto"/>
        <w:jc w:val="both"/>
        <w:textAlignment w:val="baseline"/>
        <w:rPr>
          <w:rFonts w:ascii="宋体" w:hAnsi="宋体" w:eastAsia="宋体" w:cs="宋体"/>
          <w:b/>
          <w:bCs/>
          <w:sz w:val="24"/>
          <w:szCs w:val="24"/>
        </w:rPr>
      </w:pPr>
    </w:p>
    <w:p w14:paraId="5E223880">
      <w:pPr>
        <w:adjustRightInd/>
        <w:snapToGrid/>
        <w:spacing w:after="0" w:line="360" w:lineRule="auto"/>
        <w:jc w:val="both"/>
        <w:textAlignment w:val="baseline"/>
        <w:rPr>
          <w:rFonts w:ascii="宋体" w:hAnsi="宋体" w:eastAsia="宋体" w:cs="宋体"/>
          <w:b/>
          <w:bCs/>
          <w:sz w:val="24"/>
          <w:szCs w:val="24"/>
        </w:rPr>
      </w:pPr>
    </w:p>
    <w:p w14:paraId="1C7D888C">
      <w:pPr>
        <w:adjustRightInd/>
        <w:snapToGrid/>
        <w:spacing w:after="0" w:line="360" w:lineRule="auto"/>
        <w:jc w:val="both"/>
        <w:textAlignment w:val="baseline"/>
        <w:rPr>
          <w:rFonts w:ascii="宋体" w:hAnsi="宋体" w:eastAsia="宋体" w:cs="宋体"/>
          <w:b/>
          <w:bCs/>
          <w:sz w:val="24"/>
          <w:szCs w:val="24"/>
        </w:rPr>
      </w:pPr>
    </w:p>
    <w:p w14:paraId="7658202D">
      <w:pPr>
        <w:rPr>
          <w:rFonts w:ascii="宋体" w:hAnsi="宋体" w:eastAsia="宋体" w:cs="宋体"/>
          <w:b/>
          <w:bCs/>
          <w:sz w:val="24"/>
          <w:szCs w:val="24"/>
        </w:rPr>
      </w:pPr>
      <w:bookmarkStart w:id="314" w:name="_Toc26711"/>
      <w:r>
        <w:rPr>
          <w:rFonts w:hint="eastAsia" w:ascii="宋体" w:hAnsi="宋体" w:eastAsia="宋体" w:cs="宋体"/>
          <w:b/>
          <w:bCs/>
          <w:sz w:val="24"/>
          <w:szCs w:val="24"/>
        </w:rPr>
        <w:br w:type="page"/>
      </w:r>
    </w:p>
    <w:p w14:paraId="7929D6C5">
      <w:pPr>
        <w:adjustRightInd/>
        <w:snapToGrid/>
        <w:spacing w:after="0" w:line="360" w:lineRule="auto"/>
        <w:jc w:val="center"/>
        <w:textAlignment w:val="baseline"/>
        <w:outlineLvl w:val="1"/>
        <w:rPr>
          <w:rFonts w:ascii="宋体" w:hAnsi="宋体" w:eastAsia="宋体" w:cs="宋体"/>
          <w:b/>
          <w:spacing w:val="6"/>
          <w:kern w:val="2"/>
          <w:sz w:val="24"/>
          <w:szCs w:val="24"/>
        </w:rPr>
      </w:pPr>
      <w:bookmarkStart w:id="315" w:name="_Toc24318"/>
      <w:r>
        <w:rPr>
          <w:rFonts w:hint="eastAsia" w:ascii="宋体" w:hAnsi="宋体" w:eastAsia="宋体" w:cs="宋体"/>
          <w:b/>
          <w:bCs/>
          <w:sz w:val="24"/>
          <w:szCs w:val="24"/>
        </w:rPr>
        <w:t>附件20：</w:t>
      </w:r>
      <w:bookmarkEnd w:id="309"/>
      <w:bookmarkEnd w:id="310"/>
      <w:bookmarkEnd w:id="311"/>
      <w:bookmarkEnd w:id="312"/>
      <w:bookmarkEnd w:id="313"/>
      <w:bookmarkEnd w:id="314"/>
      <w:r>
        <w:rPr>
          <w:rFonts w:hint="eastAsia" w:ascii="宋体" w:hAnsi="宋体" w:eastAsia="宋体" w:cs="宋体"/>
          <w:b/>
          <w:spacing w:val="6"/>
          <w:kern w:val="2"/>
          <w:sz w:val="24"/>
          <w:szCs w:val="24"/>
        </w:rPr>
        <w:t>残疾人福利性单位声明函</w:t>
      </w:r>
      <w:bookmarkEnd w:id="315"/>
    </w:p>
    <w:p w14:paraId="0B9F8AE0">
      <w:pPr>
        <w:adjustRightInd/>
        <w:snapToGrid/>
        <w:spacing w:after="0" w:line="360" w:lineRule="auto"/>
        <w:jc w:val="center"/>
        <w:textAlignment w:val="baseline"/>
        <w:rPr>
          <w:rFonts w:ascii="宋体" w:hAnsi="宋体" w:eastAsia="宋体" w:cs="宋体"/>
          <w:spacing w:val="6"/>
          <w:kern w:val="2"/>
          <w:sz w:val="24"/>
          <w:szCs w:val="24"/>
        </w:rPr>
      </w:pPr>
      <w:r>
        <w:rPr>
          <w:rFonts w:hint="eastAsia" w:ascii="宋体" w:hAnsi="宋体" w:eastAsia="宋体" w:cs="宋体"/>
          <w:spacing w:val="6"/>
          <w:kern w:val="2"/>
          <w:sz w:val="24"/>
          <w:szCs w:val="24"/>
        </w:rPr>
        <w:t>（非残疾人福利性单位不适用）</w:t>
      </w:r>
    </w:p>
    <w:p w14:paraId="77DFD0A4">
      <w:pPr>
        <w:adjustRightInd/>
        <w:snapToGrid/>
        <w:spacing w:after="0" w:line="360" w:lineRule="auto"/>
        <w:jc w:val="both"/>
        <w:textAlignment w:val="baseline"/>
        <w:rPr>
          <w:rFonts w:ascii="宋体" w:hAnsi="宋体" w:eastAsia="宋体" w:cs="宋体"/>
          <w:b/>
          <w:spacing w:val="6"/>
          <w:kern w:val="2"/>
          <w:sz w:val="24"/>
          <w:szCs w:val="24"/>
        </w:rPr>
      </w:pPr>
    </w:p>
    <w:p w14:paraId="509BBFF9">
      <w:pPr>
        <w:adjustRightInd/>
        <w:snapToGrid/>
        <w:spacing w:after="0" w:line="360" w:lineRule="auto"/>
        <w:ind w:firstLine="504" w:firstLineChars="200"/>
        <w:jc w:val="both"/>
        <w:textAlignment w:val="baseline"/>
        <w:rPr>
          <w:rFonts w:ascii="宋体" w:hAnsi="宋体" w:eastAsia="宋体" w:cs="宋体"/>
          <w:spacing w:val="6"/>
          <w:kern w:val="2"/>
          <w:sz w:val="24"/>
          <w:szCs w:val="24"/>
        </w:rPr>
      </w:pPr>
      <w:r>
        <w:rPr>
          <w:rFonts w:hint="eastAsia" w:ascii="宋体" w:hAnsi="宋体" w:eastAsia="宋体" w:cs="宋体"/>
          <w:spacing w:val="6"/>
          <w:kern w:val="2"/>
          <w:sz w:val="24"/>
          <w:szCs w:val="24"/>
        </w:rPr>
        <w:t>本单位郑重声明，根据《财政部 民政部 中国残疾人联合会关于促进残疾人就业政府采购政策的通知》（财库</w:t>
      </w:r>
      <w:r>
        <w:rPr>
          <w:rFonts w:hint="eastAsia" w:ascii="宋体" w:hAnsi="宋体" w:eastAsia="宋体" w:cs="宋体"/>
          <w:kern w:val="2"/>
          <w:sz w:val="24"/>
          <w:szCs w:val="24"/>
        </w:rPr>
        <w:t>〔2017〕141</w:t>
      </w:r>
      <w:r>
        <w:rPr>
          <w:rFonts w:hint="eastAsia" w:ascii="宋体" w:hAnsi="宋体" w:eastAsia="宋体" w:cs="宋体"/>
          <w:spacing w:val="6"/>
          <w:kern w:val="2"/>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4007CF">
      <w:pPr>
        <w:adjustRightInd/>
        <w:snapToGrid/>
        <w:spacing w:after="0" w:line="360" w:lineRule="auto"/>
        <w:ind w:firstLine="504" w:firstLineChars="200"/>
        <w:jc w:val="both"/>
        <w:textAlignment w:val="baseline"/>
        <w:rPr>
          <w:rFonts w:ascii="宋体" w:hAnsi="宋体" w:eastAsia="宋体" w:cs="宋体"/>
          <w:spacing w:val="6"/>
          <w:kern w:val="2"/>
          <w:sz w:val="24"/>
          <w:szCs w:val="24"/>
        </w:rPr>
      </w:pPr>
      <w:r>
        <w:rPr>
          <w:rFonts w:hint="eastAsia" w:ascii="宋体" w:hAnsi="宋体" w:eastAsia="宋体" w:cs="宋体"/>
          <w:spacing w:val="6"/>
          <w:kern w:val="2"/>
          <w:sz w:val="24"/>
          <w:szCs w:val="24"/>
        </w:rPr>
        <w:t>本单位对上述声明的真实性负责。如有虚假，将依法承担相应责任。</w:t>
      </w:r>
    </w:p>
    <w:p w14:paraId="3AEA9D4A">
      <w:pPr>
        <w:adjustRightInd/>
        <w:snapToGrid/>
        <w:spacing w:after="0" w:line="360" w:lineRule="auto"/>
        <w:ind w:firstLine="504" w:firstLineChars="200"/>
        <w:jc w:val="both"/>
        <w:textAlignment w:val="baseline"/>
        <w:rPr>
          <w:rFonts w:ascii="宋体" w:hAnsi="宋体" w:eastAsia="宋体" w:cs="宋体"/>
          <w:spacing w:val="6"/>
          <w:kern w:val="2"/>
          <w:sz w:val="24"/>
          <w:szCs w:val="24"/>
        </w:rPr>
      </w:pPr>
    </w:p>
    <w:p w14:paraId="39771023">
      <w:pPr>
        <w:adjustRightInd/>
        <w:snapToGrid/>
        <w:spacing w:after="0" w:line="360" w:lineRule="auto"/>
        <w:jc w:val="center"/>
        <w:textAlignment w:val="baseline"/>
        <w:rPr>
          <w:rFonts w:ascii="宋体" w:hAnsi="宋体" w:eastAsia="宋体" w:cs="宋体"/>
          <w:b/>
          <w:bCs/>
          <w:kern w:val="2"/>
          <w:sz w:val="24"/>
          <w:szCs w:val="24"/>
        </w:rPr>
      </w:pPr>
    </w:p>
    <w:p w14:paraId="6F10A642">
      <w:pPr>
        <w:adjustRightInd/>
        <w:snapToGrid/>
        <w:spacing w:after="0" w:line="360" w:lineRule="auto"/>
        <w:jc w:val="center"/>
        <w:textAlignment w:val="baseline"/>
        <w:rPr>
          <w:rFonts w:ascii="宋体" w:hAnsi="宋体" w:eastAsia="宋体" w:cs="宋体"/>
          <w:b/>
          <w:bCs/>
          <w:kern w:val="2"/>
          <w:sz w:val="24"/>
          <w:szCs w:val="24"/>
        </w:rPr>
      </w:pPr>
    </w:p>
    <w:p w14:paraId="0C550338">
      <w:pPr>
        <w:adjustRightInd/>
        <w:snapToGrid/>
        <w:spacing w:after="0" w:line="360" w:lineRule="auto"/>
        <w:jc w:val="center"/>
        <w:textAlignment w:val="baseline"/>
        <w:rPr>
          <w:rFonts w:ascii="宋体" w:hAnsi="宋体" w:eastAsia="宋体" w:cs="宋体"/>
          <w:b/>
          <w:bCs/>
          <w:kern w:val="2"/>
          <w:sz w:val="24"/>
          <w:szCs w:val="24"/>
        </w:rPr>
      </w:pPr>
    </w:p>
    <w:p w14:paraId="3AA7254B">
      <w:pPr>
        <w:adjustRightInd/>
        <w:snapToGrid/>
        <w:spacing w:after="0" w:line="360" w:lineRule="auto"/>
        <w:jc w:val="center"/>
        <w:textAlignment w:val="baseline"/>
        <w:rPr>
          <w:rFonts w:ascii="宋体" w:hAnsi="宋体" w:eastAsia="宋体" w:cs="宋体"/>
          <w:b/>
          <w:bCs/>
          <w:kern w:val="2"/>
          <w:sz w:val="24"/>
          <w:szCs w:val="24"/>
        </w:rPr>
      </w:pPr>
    </w:p>
    <w:p w14:paraId="129180D7">
      <w:pPr>
        <w:adjustRightInd/>
        <w:snapToGrid/>
        <w:spacing w:after="0" w:line="360" w:lineRule="auto"/>
        <w:jc w:val="center"/>
        <w:textAlignment w:val="baseline"/>
        <w:rPr>
          <w:rFonts w:ascii="宋体" w:hAnsi="宋体" w:eastAsia="宋体" w:cs="宋体"/>
          <w:b/>
          <w:bCs/>
          <w:kern w:val="2"/>
          <w:sz w:val="24"/>
          <w:szCs w:val="24"/>
        </w:rPr>
      </w:pPr>
    </w:p>
    <w:p w14:paraId="1330C7B2">
      <w:pPr>
        <w:adjustRightInd/>
        <w:snapToGrid/>
        <w:spacing w:after="0" w:line="360" w:lineRule="auto"/>
        <w:ind w:firstLine="3600" w:firstLineChars="15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5147D01E">
      <w:pPr>
        <w:adjustRightInd/>
        <w:snapToGrid/>
        <w:spacing w:after="0" w:line="360" w:lineRule="auto"/>
        <w:jc w:val="both"/>
        <w:textAlignment w:val="baseline"/>
        <w:rPr>
          <w:rFonts w:ascii="宋体" w:hAnsi="宋体" w:eastAsia="宋体" w:cs="宋体"/>
          <w:bCs/>
          <w:kern w:val="2"/>
          <w:sz w:val="24"/>
          <w:szCs w:val="24"/>
        </w:rPr>
      </w:pPr>
    </w:p>
    <w:p w14:paraId="24545177">
      <w:pPr>
        <w:adjustRightInd/>
        <w:snapToGrid/>
        <w:spacing w:after="0" w:line="360" w:lineRule="auto"/>
        <w:ind w:firstLine="3600" w:firstLineChars="1500"/>
        <w:jc w:val="both"/>
        <w:textAlignment w:val="baseline"/>
        <w:rPr>
          <w:rFonts w:ascii="宋体" w:hAnsi="宋体" w:eastAsia="宋体" w:cs="宋体"/>
          <w:bCs/>
          <w:kern w:val="2"/>
          <w:sz w:val="24"/>
          <w:szCs w:val="24"/>
          <w:u w:val="single"/>
        </w:rPr>
      </w:pPr>
      <w:r>
        <w:rPr>
          <w:rFonts w:hint="eastAsia" w:ascii="宋体" w:hAnsi="宋体" w:eastAsia="宋体" w:cs="宋体"/>
          <w:bCs/>
          <w:kern w:val="2"/>
          <w:sz w:val="24"/>
          <w:szCs w:val="24"/>
        </w:rPr>
        <w:t>法定代表人或授权代表人（签字）：</w:t>
      </w:r>
    </w:p>
    <w:p w14:paraId="0259AD0C">
      <w:pPr>
        <w:adjustRightInd/>
        <w:snapToGrid/>
        <w:spacing w:after="0" w:line="360" w:lineRule="auto"/>
        <w:jc w:val="both"/>
        <w:textAlignment w:val="baseline"/>
        <w:rPr>
          <w:rFonts w:ascii="宋体" w:hAnsi="宋体" w:eastAsia="宋体" w:cs="宋体"/>
          <w:bCs/>
          <w:kern w:val="2"/>
          <w:sz w:val="24"/>
          <w:szCs w:val="24"/>
        </w:rPr>
      </w:pPr>
    </w:p>
    <w:p w14:paraId="0C7ED661">
      <w:pPr>
        <w:adjustRightInd/>
        <w:spacing w:after="0" w:line="360" w:lineRule="auto"/>
        <w:ind w:firstLine="3600" w:firstLineChars="1500"/>
        <w:jc w:val="both"/>
        <w:textAlignment w:val="baseline"/>
        <w:rPr>
          <w:rFonts w:ascii="宋体" w:hAnsi="宋体" w:eastAsia="宋体" w:cs="宋体"/>
          <w:b/>
          <w:bCs/>
          <w:kern w:val="2"/>
          <w:sz w:val="24"/>
          <w:szCs w:val="24"/>
        </w:rPr>
      </w:pPr>
      <w:r>
        <w:rPr>
          <w:rFonts w:hint="eastAsia" w:ascii="宋体" w:hAnsi="宋体" w:eastAsia="宋体" w:cs="宋体"/>
          <w:bCs/>
          <w:kern w:val="2"/>
          <w:sz w:val="24"/>
          <w:szCs w:val="24"/>
        </w:rPr>
        <w:t>日期：   年   月   日</w:t>
      </w:r>
    </w:p>
    <w:p w14:paraId="0C4E86EE">
      <w:pPr>
        <w:adjustRightInd/>
        <w:snapToGrid/>
        <w:spacing w:after="0" w:line="360" w:lineRule="auto"/>
        <w:jc w:val="center"/>
        <w:textAlignment w:val="baseline"/>
        <w:rPr>
          <w:rFonts w:ascii="宋体" w:hAnsi="宋体" w:eastAsia="宋体" w:cs="宋体"/>
          <w:b/>
          <w:kern w:val="2"/>
          <w:sz w:val="24"/>
          <w:szCs w:val="24"/>
        </w:rPr>
      </w:pPr>
    </w:p>
    <w:p w14:paraId="3CC40F4C">
      <w:pPr>
        <w:adjustRightInd/>
        <w:snapToGrid/>
        <w:spacing w:after="0" w:line="360" w:lineRule="auto"/>
        <w:jc w:val="center"/>
        <w:textAlignment w:val="baseline"/>
        <w:rPr>
          <w:rFonts w:ascii="宋体" w:hAnsi="宋体" w:eastAsia="宋体" w:cs="宋体"/>
          <w:b/>
          <w:kern w:val="2"/>
          <w:sz w:val="24"/>
          <w:szCs w:val="24"/>
        </w:rPr>
      </w:pPr>
    </w:p>
    <w:p w14:paraId="154BA13F">
      <w:pPr>
        <w:pStyle w:val="2"/>
        <w:ind w:firstLine="0" w:firstLineChars="0"/>
        <w:rPr>
          <w:rFonts w:hAnsi="宋体" w:eastAsia="宋体" w:cs="宋体"/>
          <w:sz w:val="24"/>
          <w:szCs w:val="24"/>
          <w:lang w:eastAsia="zh-CN"/>
        </w:rPr>
      </w:pPr>
    </w:p>
    <w:p w14:paraId="31D72722">
      <w:pPr>
        <w:adjustRightInd/>
        <w:snapToGrid/>
        <w:spacing w:after="0" w:line="360" w:lineRule="auto"/>
        <w:jc w:val="both"/>
        <w:textAlignment w:val="baseline"/>
        <w:rPr>
          <w:rFonts w:ascii="宋体" w:hAnsi="宋体" w:eastAsia="宋体" w:cs="宋体"/>
          <w:b/>
          <w:bCs/>
          <w:sz w:val="24"/>
          <w:szCs w:val="24"/>
        </w:rPr>
        <w:sectPr>
          <w:pgSz w:w="11907" w:h="16840"/>
          <w:pgMar w:top="1213" w:right="1514" w:bottom="1247" w:left="1888" w:header="851" w:footer="590" w:gutter="0"/>
          <w:cols w:space="720" w:num="1"/>
          <w:titlePg/>
          <w:docGrid w:linePitch="312" w:charSpace="0"/>
        </w:sectPr>
      </w:pPr>
      <w:bookmarkStart w:id="316" w:name="_Toc18583"/>
      <w:bookmarkStart w:id="317" w:name="_Toc18689"/>
      <w:bookmarkStart w:id="318" w:name="_Toc9322"/>
      <w:bookmarkStart w:id="319" w:name="_Toc22950"/>
      <w:bookmarkStart w:id="320" w:name="_Toc12286"/>
    </w:p>
    <w:p w14:paraId="4C87C29A">
      <w:pPr>
        <w:adjustRightInd/>
        <w:snapToGrid/>
        <w:spacing w:after="0" w:line="360" w:lineRule="auto"/>
        <w:jc w:val="center"/>
        <w:textAlignment w:val="baseline"/>
        <w:outlineLvl w:val="0"/>
        <w:rPr>
          <w:rFonts w:ascii="宋体" w:hAnsi="宋体" w:eastAsia="宋体" w:cs="宋体"/>
          <w:b/>
          <w:bCs/>
          <w:sz w:val="30"/>
          <w:szCs w:val="30"/>
        </w:rPr>
      </w:pPr>
      <w:bookmarkStart w:id="321" w:name="_Toc10502"/>
      <w:bookmarkStart w:id="322" w:name="_Toc17673"/>
      <w:bookmarkStart w:id="323" w:name="_Toc29311"/>
      <w:r>
        <w:rPr>
          <w:rFonts w:hint="eastAsia" w:ascii="宋体" w:hAnsi="宋体" w:eastAsia="宋体" w:cs="宋体"/>
          <w:b/>
          <w:bCs/>
          <w:sz w:val="30"/>
          <w:szCs w:val="30"/>
        </w:rPr>
        <w:t>第八章、招标文件其他材料</w:t>
      </w:r>
      <w:bookmarkEnd w:id="321"/>
    </w:p>
    <w:p w14:paraId="5B9061F9">
      <w:pPr>
        <w:adjustRightInd/>
        <w:snapToGrid/>
        <w:spacing w:after="0" w:line="360" w:lineRule="auto"/>
        <w:textAlignment w:val="baseline"/>
        <w:rPr>
          <w:rFonts w:ascii="宋体" w:hAnsi="宋体" w:eastAsia="宋体" w:cs="宋体"/>
          <w:b/>
          <w:bCs/>
          <w:sz w:val="24"/>
          <w:szCs w:val="24"/>
        </w:rPr>
      </w:pPr>
    </w:p>
    <w:bookmarkEnd w:id="316"/>
    <w:bookmarkEnd w:id="317"/>
    <w:bookmarkEnd w:id="318"/>
    <w:bookmarkEnd w:id="319"/>
    <w:bookmarkEnd w:id="320"/>
    <w:bookmarkEnd w:id="322"/>
    <w:p w14:paraId="10732C2E">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关于印发《政府采购促进中小企业发展管理办法》的通知</w:t>
      </w:r>
      <w:bookmarkEnd w:id="323"/>
    </w:p>
    <w:p w14:paraId="585DA0A3">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财库〔2020〕46号</w:t>
      </w:r>
    </w:p>
    <w:p w14:paraId="40E07BC8">
      <w:pPr>
        <w:adjustRightInd/>
        <w:snapToGrid/>
        <w:spacing w:after="0" w:line="360" w:lineRule="auto"/>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各中央预算单位办公厅（室），各省、自治区、直辖市、计划单列市财政厅（局）、工业和信息化主管部门，新疆生产建设兵团财政局、工业和信息化主管部门：</w:t>
      </w:r>
    </w:p>
    <w:p w14:paraId="4C4F5A7B">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EB9E152">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政府采购促进中小企业发展管理办法</w:t>
      </w:r>
    </w:p>
    <w:p w14:paraId="4BDC902A">
      <w:pPr>
        <w:pStyle w:val="2"/>
        <w:ind w:firstLine="480"/>
        <w:rPr>
          <w:rFonts w:hAnsi="宋体" w:eastAsia="宋体" w:cs="宋体"/>
          <w:sz w:val="24"/>
          <w:szCs w:val="24"/>
          <w:lang w:eastAsia="zh-CN"/>
        </w:rPr>
      </w:pPr>
    </w:p>
    <w:p w14:paraId="4BFCA1CC">
      <w:pPr>
        <w:adjustRightInd/>
        <w:snapToGrid/>
        <w:spacing w:after="0" w:line="360" w:lineRule="auto"/>
        <w:ind w:firstLine="5160" w:firstLineChars="215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财 政 部</w:t>
      </w:r>
    </w:p>
    <w:p w14:paraId="4F21AF00">
      <w:pPr>
        <w:adjustRightInd/>
        <w:snapToGrid/>
        <w:spacing w:after="0" w:line="360" w:lineRule="auto"/>
        <w:ind w:firstLine="4800" w:firstLineChars="20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工业和信息化部</w:t>
      </w:r>
    </w:p>
    <w:p w14:paraId="0B3AB751">
      <w:pPr>
        <w:adjustRightInd/>
        <w:snapToGrid/>
        <w:spacing w:after="0" w:line="360" w:lineRule="auto"/>
        <w:ind w:firstLine="4800" w:firstLineChars="20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2020年12月18日</w:t>
      </w:r>
    </w:p>
    <w:p w14:paraId="1654D287">
      <w:pPr>
        <w:adjustRightInd/>
        <w:snapToGrid/>
        <w:spacing w:after="0" w:line="360" w:lineRule="auto"/>
        <w:jc w:val="both"/>
        <w:textAlignment w:val="baseline"/>
        <w:rPr>
          <w:rFonts w:ascii="宋体" w:hAnsi="宋体" w:eastAsia="宋体" w:cs="宋体"/>
          <w:b/>
          <w:kern w:val="2"/>
          <w:sz w:val="24"/>
          <w:szCs w:val="24"/>
        </w:rPr>
      </w:pPr>
    </w:p>
    <w:p w14:paraId="727A6BDB">
      <w:pPr>
        <w:adjustRightInd/>
        <w:snapToGrid/>
        <w:spacing w:after="0" w:line="360" w:lineRule="auto"/>
        <w:jc w:val="both"/>
        <w:textAlignment w:val="baseline"/>
        <w:rPr>
          <w:rFonts w:ascii="宋体" w:hAnsi="宋体" w:eastAsia="宋体" w:cs="宋体"/>
          <w:b/>
          <w:kern w:val="2"/>
          <w:sz w:val="24"/>
          <w:szCs w:val="24"/>
        </w:rPr>
      </w:pPr>
    </w:p>
    <w:p w14:paraId="1515591A">
      <w:pPr>
        <w:adjustRightInd/>
        <w:snapToGrid/>
        <w:spacing w:after="0" w:line="360" w:lineRule="auto"/>
        <w:jc w:val="both"/>
        <w:textAlignment w:val="baseline"/>
        <w:rPr>
          <w:rFonts w:ascii="宋体" w:hAnsi="宋体" w:eastAsia="宋体" w:cs="宋体"/>
          <w:b/>
          <w:kern w:val="2"/>
          <w:sz w:val="24"/>
          <w:szCs w:val="24"/>
        </w:rPr>
      </w:pPr>
    </w:p>
    <w:p w14:paraId="22E09A48">
      <w:pPr>
        <w:adjustRightInd/>
        <w:snapToGrid/>
        <w:spacing w:after="0" w:line="360" w:lineRule="auto"/>
        <w:jc w:val="both"/>
        <w:textAlignment w:val="baseline"/>
        <w:rPr>
          <w:rFonts w:ascii="宋体" w:hAnsi="宋体" w:eastAsia="宋体" w:cs="宋体"/>
          <w:b/>
          <w:kern w:val="2"/>
          <w:sz w:val="24"/>
          <w:szCs w:val="24"/>
        </w:rPr>
      </w:pPr>
    </w:p>
    <w:p w14:paraId="515348D9">
      <w:pPr>
        <w:adjustRightInd/>
        <w:snapToGrid/>
        <w:spacing w:after="0" w:line="360" w:lineRule="auto"/>
        <w:jc w:val="both"/>
        <w:textAlignment w:val="baseline"/>
        <w:rPr>
          <w:rFonts w:ascii="宋体" w:hAnsi="宋体" w:eastAsia="宋体" w:cs="宋体"/>
          <w:b/>
          <w:kern w:val="2"/>
          <w:sz w:val="24"/>
          <w:szCs w:val="24"/>
        </w:rPr>
      </w:pPr>
    </w:p>
    <w:p w14:paraId="2112DAC9">
      <w:pPr>
        <w:adjustRightInd/>
        <w:snapToGrid/>
        <w:spacing w:after="0" w:line="360" w:lineRule="auto"/>
        <w:jc w:val="both"/>
        <w:textAlignment w:val="baseline"/>
        <w:rPr>
          <w:rFonts w:ascii="宋体" w:hAnsi="宋体" w:eastAsia="宋体" w:cs="宋体"/>
          <w:b/>
          <w:kern w:val="2"/>
          <w:sz w:val="24"/>
          <w:szCs w:val="24"/>
        </w:rPr>
      </w:pPr>
    </w:p>
    <w:p w14:paraId="4ED4B492">
      <w:pPr>
        <w:adjustRightInd/>
        <w:snapToGrid/>
        <w:spacing w:after="0" w:line="360" w:lineRule="auto"/>
        <w:jc w:val="both"/>
        <w:textAlignment w:val="baseline"/>
        <w:rPr>
          <w:rFonts w:ascii="宋体" w:hAnsi="宋体" w:eastAsia="宋体" w:cs="宋体"/>
          <w:b/>
          <w:kern w:val="2"/>
          <w:sz w:val="24"/>
          <w:szCs w:val="24"/>
        </w:rPr>
        <w:sectPr>
          <w:pgSz w:w="11907" w:h="16840"/>
          <w:pgMar w:top="1213" w:right="1514" w:bottom="1247" w:left="1888" w:header="851" w:footer="590" w:gutter="0"/>
          <w:cols w:space="720" w:num="1"/>
          <w:titlePg/>
          <w:docGrid w:linePitch="312" w:charSpace="0"/>
        </w:sectPr>
      </w:pPr>
    </w:p>
    <w:p w14:paraId="37744BBC">
      <w:pPr>
        <w:adjustRightInd/>
        <w:snapToGrid/>
        <w:spacing w:after="0" w:line="360" w:lineRule="auto"/>
        <w:jc w:val="both"/>
        <w:textAlignment w:val="baseline"/>
        <w:rPr>
          <w:rFonts w:ascii="宋体" w:hAnsi="宋体" w:eastAsia="宋体" w:cs="宋体"/>
          <w:b/>
          <w:kern w:val="2"/>
          <w:sz w:val="24"/>
          <w:szCs w:val="24"/>
        </w:rPr>
      </w:pPr>
      <w:r>
        <w:rPr>
          <w:rFonts w:hint="eastAsia" w:ascii="宋体" w:hAnsi="宋体" w:eastAsia="宋体" w:cs="宋体"/>
          <w:b/>
          <w:kern w:val="2"/>
          <w:sz w:val="24"/>
          <w:szCs w:val="24"/>
        </w:rPr>
        <w:t>附件：</w:t>
      </w:r>
    </w:p>
    <w:p w14:paraId="758AE2AF">
      <w:pPr>
        <w:adjustRightInd/>
        <w:snapToGrid/>
        <w:spacing w:after="0" w:line="360" w:lineRule="auto"/>
        <w:jc w:val="center"/>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政府采购促进中小企业发展管理办法</w:t>
      </w:r>
    </w:p>
    <w:p w14:paraId="182D9653">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lang w:val="zh-CN"/>
        </w:rPr>
        <w:t>第一条 为了发挥政府采购的政策功能，促进中小企业健康发展，根据《中华人民共和国政府采购法》、《中华人民共和国中小企业促进法》等有关法律法规，制定本办法。</w:t>
      </w:r>
    </w:p>
    <w:p w14:paraId="4B0BA0D0">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8147A4">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第三条 采购人在政府采购活动中应当通过加强采购需求管理，落实预留采购份额、价格评审优惠、优先采购等措施，提高中小企业在政府采购中的份额，支持中小企业发展。</w:t>
      </w:r>
    </w:p>
    <w:p w14:paraId="421F913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第四条 在政府采购活动中，供应商提供的货物、工程或者服务符合下列情形的，享受本办法规定的中小企业扶持政策：</w:t>
      </w:r>
    </w:p>
    <w:p w14:paraId="5D47ED2D">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（一）在货物采购项目中，货物由中小企业制造，即货 物由中小企业生产且使用该中小企业商号或者注册商标；</w:t>
      </w:r>
    </w:p>
    <w:p w14:paraId="27657F90">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（二）在工程采购项目中，工程由中小企业承建，即工程施工单位为中小企业；</w:t>
      </w:r>
    </w:p>
    <w:p w14:paraId="201E75F8">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（三）在服务采购项目中，服务由中小企业承接，即提供服务的人员为中小企业依照《中华人民共和国劳动合同法》订立劳动合同的从业人员。</w:t>
      </w:r>
    </w:p>
    <w:p w14:paraId="2893E1D1">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在货物采购项目中，供应商提供的货物既有中小企业制造货物，也有大型企业制造货物的，不享受本办法规定的中小企业扶持政策。</w:t>
      </w:r>
    </w:p>
    <w:p w14:paraId="31D82909">
      <w:pPr>
        <w:adjustRightInd/>
        <w:snapToGrid/>
        <w:spacing w:after="0" w:line="360" w:lineRule="auto"/>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以联合体形式参加政府采购活动，联合体各方均为中小企业的，联合体视同中小企业。其中，联合体各方均为小微企业的，联合体视同小微企业。</w:t>
      </w:r>
    </w:p>
    <w:p w14:paraId="58F8AB3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CA10182">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C16DF7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符合下列情形之一的，可不专门面向中小企业预留采购份额：</w:t>
      </w:r>
    </w:p>
    <w:p w14:paraId="65B2279D">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（一）法律法规和国家有关政策明确规定优先或者应当面向事业单位、社会组织等非企业主体采购的；</w:t>
      </w:r>
    </w:p>
    <w:p w14:paraId="768D7CB0">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（二）因确需使用不可替代的专利、专有技术，基础设施限制，或者提供特定公共服务等原因，只能从中小企业之外的供应商处采购的；</w:t>
      </w:r>
    </w:p>
    <w:p w14:paraId="273A171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（三）按照本办法规定预留采购份额无法确保充分供应、充分竞争，或者存在可能影响政府采购目标实现的情形；</w:t>
      </w:r>
    </w:p>
    <w:p w14:paraId="466542F3">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（四）框架协议采购项目；</w:t>
      </w:r>
    </w:p>
    <w:p w14:paraId="6746BB4D">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（五）省级以上人民政府财政部门规定的其他情形。 除上述情形外，其他均为适宜由中小企业提供的情形。</w:t>
      </w:r>
    </w:p>
    <w:p w14:paraId="315C3B82">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第七条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采购限额标准以上，200 万元以下的货物和服务采购项目、400 万元以下的工程采购项目，适宜由中小企业提供的，采购人应当专门面向中小企业采购。</w:t>
      </w:r>
    </w:p>
    <w:p w14:paraId="61AAA2D0">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45D9C8A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（一）将采购项目整体或者设置采购包专门面向中小企业采购；</w:t>
      </w:r>
    </w:p>
    <w:p w14:paraId="2042542B">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（二）要求供应商以联合体形式参加采购活动，且联合体中中小企业承担的部分达到一定比例；</w:t>
      </w:r>
    </w:p>
    <w:p w14:paraId="0527EC14">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（三）要求获得采购合同的供应商将采购项目中的一定比例分包给一家或者多家中小企业。</w:t>
      </w:r>
    </w:p>
    <w:p w14:paraId="4417F4B4">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组成联合体或者接受分包合同的中小企业与联合体内 其他企业、分包企业之间不得存在直接控股、管理关系。</w:t>
      </w:r>
    </w:p>
    <w:p w14:paraId="7FC0230D">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7CF902F5">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876F591">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0AD013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75E8356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027B3D11">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第十二条 采购项目涉及中小企业采购的，采购文件应当明确以下内容：</w:t>
      </w:r>
    </w:p>
    <w:p w14:paraId="354313FA">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（一）预留份额的采购项目或者采购包，明确该项目或相关采购包专门面向中小企业采购，以及相关标的及预算金额；</w:t>
      </w:r>
    </w:p>
    <w:p w14:paraId="5E993206">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（二）要求以联合体形式参加或者合同分包的，明确联合协议或者分包意向协议中中小企业合同金额应当达到的比例，并作为供应商资格条件；</w:t>
      </w:r>
    </w:p>
    <w:p w14:paraId="167F16C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（三）非预留份额的采购项目或者采购包，明确有关价格扣除比例或者价格分加分比例；</w:t>
      </w:r>
    </w:p>
    <w:p w14:paraId="35B8864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（四）规定依据本办法规定享受扶持政策获得政府采购合同的，小微企业不得将合同分包给大中型企业，中型企业不得将合同分包给大型企业；</w:t>
      </w:r>
    </w:p>
    <w:p w14:paraId="7DED626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（五）采购人认为具备相关条件的，明确对中小企业在资金支付期限、预付款比例等方面的优惠措施；</w:t>
      </w:r>
    </w:p>
    <w:p w14:paraId="765F11D3">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（六）明确采购标的对应的中小企业划分标准所属行业；</w:t>
      </w:r>
    </w:p>
    <w:p w14:paraId="36837B4D">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（七）法律法规和省级以上人民政府财政部门规定的其他事项。</w:t>
      </w:r>
    </w:p>
    <w:p w14:paraId="34F8FC48">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lang w:val="zh-CN"/>
        </w:rPr>
        <w:t>第十三条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中标、成交供应商享受本办法规定的中小企业扶持政策的，采购人、采购代理机构应当随中标、成交结果公开中标、成交供应商的《中小企业声明函》。</w:t>
      </w:r>
    </w:p>
    <w:p w14:paraId="520B9058">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适用招标投标法的政府采购工程建设项目，应当在公示中标候选人时公开中标候选人的《中小企业声明函》。</w:t>
      </w:r>
    </w:p>
    <w:p w14:paraId="2D01B263">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B692D6">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第十五条 鼓励各地区、各部门在采购活动中允许中小企业引入信用担保手段，为中小企业在投标（响应）保证、履约保证等方面提供专业化服务。鼓励中小企业依法合规通过政府采购合同融资。</w:t>
      </w:r>
    </w:p>
    <w:p w14:paraId="0159EE48">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第十六条 政府采购监督检查、投诉处理及政府采购行政处罚中对中小企业的认定，由货物制造商或者工程、服务供应商注册登记所在地的县级以上人民政府中小企业主管 部门负责。</w:t>
      </w:r>
    </w:p>
    <w:p w14:paraId="79E1B94F">
      <w:pPr>
        <w:adjustRightInd/>
        <w:snapToGrid/>
        <w:spacing w:after="0" w:line="360" w:lineRule="auto"/>
        <w:ind w:firstLine="720" w:firstLineChars="3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中小企业主管部门应当在收到财政部门或者有关招标 投标行政监督部门关于协助开展中小企业认定函后 10 个工作日内做出书面答复。</w:t>
      </w:r>
    </w:p>
    <w:p w14:paraId="1E2912B0">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第十七条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各地区、各部门应当对涉及中小企业采购的 预算项目实施全过程绩效管理，合理设置绩效目标和指标， 落实扶持中小企业有关政策要求，定期开展绩效监控和评价， 强化绩效评价结果应用。</w:t>
      </w:r>
    </w:p>
    <w:p w14:paraId="32F518B9">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第十八条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 xml:space="preserve">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3BCE370E">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第十九条</w:t>
      </w:r>
      <w:r>
        <w:rPr>
          <w:rFonts w:hint="eastAsia" w:ascii="宋体" w:hAnsi="宋体" w:eastAsia="宋体" w:cs="宋体"/>
          <w:bCs/>
          <w:kern w:val="2"/>
          <w:sz w:val="24"/>
          <w:szCs w:val="24"/>
          <w:lang w:val="zh-CN"/>
        </w:rPr>
        <w:tab/>
      </w:r>
      <w:r>
        <w:rPr>
          <w:rFonts w:hint="eastAsia" w:ascii="宋体" w:hAnsi="宋体" w:eastAsia="宋体" w:cs="宋体"/>
          <w:bCs/>
          <w:kern w:val="2"/>
          <w:sz w:val="24"/>
          <w:szCs w:val="24"/>
          <w:lang w:val="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8196EA7">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第二十条 供应商按照本办法规定提供声明函内容不实的，属于提供虚假材料谋取中标、成交，依照《中华人民共和国政府采购法》等国家有关规定追究相应责任。</w:t>
      </w:r>
    </w:p>
    <w:p w14:paraId="594C84E1">
      <w:pPr>
        <w:adjustRightInd/>
        <w:snapToGrid/>
        <w:spacing w:after="0" w:line="360" w:lineRule="auto"/>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适用招标投标法的政府采购工程建设项目，投标人按照 本办法规定提供声明函内容不实的，属于弄虚作假骗取中标， 依照《中华人民共和国招标投标法》等国家有关规定追究相应责任。</w:t>
      </w:r>
    </w:p>
    <w:p w14:paraId="1C0FD7B4">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2AFDBABC">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第二十二条 对外援助项目、国家相关资格或者资质管理制度另有规定的项目，不适用本办法。</w:t>
      </w:r>
    </w:p>
    <w:p w14:paraId="7405A26C">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第二十三条 关于视同中小企业的其他主体的政府采购扶持政策，由财政部会同有关部门另行规定。</w:t>
      </w:r>
    </w:p>
    <w:p w14:paraId="2144E991">
      <w:pPr>
        <w:adjustRightInd/>
        <w:snapToGrid/>
        <w:spacing w:after="0" w:line="360" w:lineRule="auto"/>
        <w:ind w:firstLine="480" w:firstLineChars="200"/>
        <w:jc w:val="both"/>
        <w:textAlignment w:val="baseline"/>
        <w:rPr>
          <w:rFonts w:ascii="宋体" w:hAnsi="宋体" w:eastAsia="宋体" w:cs="宋体"/>
          <w:bCs/>
          <w:kern w:val="2"/>
          <w:sz w:val="24"/>
          <w:szCs w:val="24"/>
          <w:lang w:val="zh-CN"/>
        </w:rPr>
      </w:pPr>
      <w:r>
        <w:rPr>
          <w:rFonts w:hint="eastAsia" w:ascii="宋体" w:hAnsi="宋体" w:eastAsia="宋体" w:cs="宋体"/>
          <w:bCs/>
          <w:kern w:val="2"/>
          <w:sz w:val="24"/>
          <w:szCs w:val="24"/>
          <w:lang w:val="zh-CN"/>
        </w:rPr>
        <w:t>第二十四条 省级财政部门可以会同中小企业主管部门根据本办法的规定制定具体实施办法。</w:t>
      </w:r>
    </w:p>
    <w:p w14:paraId="39BA0085">
      <w:pPr>
        <w:adjustRightInd/>
        <w:snapToGrid/>
        <w:spacing w:after="0" w:line="360" w:lineRule="auto"/>
        <w:ind w:firstLine="480" w:firstLineChars="200"/>
        <w:jc w:val="both"/>
        <w:textAlignment w:val="baseline"/>
        <w:rPr>
          <w:rFonts w:ascii="宋体" w:hAnsi="宋体" w:eastAsia="宋体" w:cs="宋体"/>
          <w:b/>
          <w:kern w:val="2"/>
          <w:sz w:val="24"/>
          <w:szCs w:val="24"/>
          <w:lang w:val="zh-CN"/>
        </w:rPr>
      </w:pPr>
      <w:r>
        <w:rPr>
          <w:rFonts w:hint="eastAsia" w:ascii="宋体" w:hAnsi="宋体" w:eastAsia="宋体" w:cs="宋体"/>
          <w:bCs/>
          <w:kern w:val="2"/>
          <w:sz w:val="24"/>
          <w:szCs w:val="24"/>
          <w:lang w:val="zh-CN"/>
        </w:rPr>
        <w:t>第二十五条 本办法自 2021 年 1 月 1 日起施行。《财政部工业和信息化部关于印发〈政府采购促进中小企业发展管理办法〉的通知》（财库﹝2011﹞181 号）同时废止。</w:t>
      </w:r>
    </w:p>
    <w:p w14:paraId="3EA37A1B">
      <w:pPr>
        <w:adjustRightInd/>
        <w:snapToGrid/>
        <w:spacing w:after="0" w:line="360" w:lineRule="auto"/>
        <w:jc w:val="both"/>
        <w:textAlignment w:val="baseline"/>
        <w:rPr>
          <w:rFonts w:ascii="宋体" w:hAnsi="宋体" w:eastAsia="宋体" w:cs="宋体"/>
          <w:b/>
          <w:kern w:val="2"/>
          <w:sz w:val="24"/>
          <w:szCs w:val="24"/>
        </w:rPr>
        <w:sectPr>
          <w:pgSz w:w="11907" w:h="16840"/>
          <w:pgMar w:top="1213" w:right="1514" w:bottom="1247" w:left="1888" w:header="851" w:footer="590" w:gutter="0"/>
          <w:cols w:space="720" w:num="1"/>
          <w:titlePg/>
          <w:docGrid w:linePitch="312" w:charSpace="0"/>
        </w:sectPr>
      </w:pPr>
    </w:p>
    <w:p w14:paraId="18B82E51">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财政部关于进一步加大政府采购支持中小企业力度的通知</w:t>
      </w:r>
    </w:p>
    <w:p w14:paraId="0699C519">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t>财库〔2022〕19号</w:t>
      </w:r>
    </w:p>
    <w:p w14:paraId="2B74C465">
      <w:pPr>
        <w:adjustRightInd/>
        <w:snapToGrid/>
        <w:spacing w:after="0" w:line="360" w:lineRule="auto"/>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各中央预算单位，各省、自治区、直辖市、计划单列市财政厅（局），新疆生产建设兵团财政局：</w:t>
      </w:r>
    </w:p>
    <w:p w14:paraId="7430FD42">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为贯彻落实《</w:t>
      </w:r>
      <w:r>
        <w:fldChar w:fldCharType="begin"/>
      </w:r>
      <w:r>
        <w:instrText xml:space="preserve"> HYPERLINK "https://www.waizi.org.cn/doc/132590.html" \t "https://www.waizi.org.cn/doc/_blank" \o "国发〔2022〕12号《国务院关于印发扎实稳住经济一揽子政策措施的通知》" </w:instrText>
      </w:r>
      <w:r>
        <w:fldChar w:fldCharType="separate"/>
      </w:r>
      <w:r>
        <w:rPr>
          <w:rFonts w:hint="eastAsia" w:ascii="宋体" w:hAnsi="宋体" w:eastAsia="宋体" w:cs="宋体"/>
          <w:bCs/>
          <w:kern w:val="2"/>
          <w:sz w:val="24"/>
          <w:szCs w:val="24"/>
        </w:rPr>
        <w:t>国务院关于印发扎实稳住经济一揽子政策措施的通知</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w:t>
      </w:r>
      <w:r>
        <w:fldChar w:fldCharType="begin"/>
      </w:r>
      <w:r>
        <w:instrText xml:space="preserve"> HYPERLINK "https://www.waizi.org.cn/doc/132590.html" \t "https://www.waizi.org.cn/doc/_blank" \o "国发〔2022〕12号《国务院关于印发扎实稳住经济一揽子政策措施的通知》" </w:instrText>
      </w:r>
      <w:r>
        <w:fldChar w:fldCharType="separate"/>
      </w:r>
      <w:r>
        <w:rPr>
          <w:rFonts w:hint="eastAsia" w:ascii="宋体" w:hAnsi="宋体" w:eastAsia="宋体" w:cs="宋体"/>
          <w:bCs/>
          <w:kern w:val="2"/>
          <w:sz w:val="24"/>
          <w:szCs w:val="24"/>
        </w:rPr>
        <w:t>国发〔2022〕12号</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）有关要求，做好财政政策支持中小企业纾困解难工作，助力经济平稳健康发展，现就加大政府采购支持中小企业力度有关事项通知如下：</w:t>
      </w:r>
    </w:p>
    <w:p w14:paraId="48D5D36F">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一、严格落实支持中小企业政府采购政策。各地区、各部门要按照国务院的统一部署，认真落实《</w:t>
      </w:r>
      <w:r>
        <w:fldChar w:fldCharType="begin"/>
      </w:r>
      <w:r>
        <w:instrText xml:space="preserve"> HYPERLINK "https://www.waizi.org.cn/doc/97301.html" \t "https://www.waizi.org.cn/doc/_blank" \o "财库〔2020〕46号《财政部工业和信息化部关于印发〈政府采购促进中小企业发展管理办法〉的通知》" </w:instrText>
      </w:r>
      <w:r>
        <w:fldChar w:fldCharType="separate"/>
      </w:r>
      <w:r>
        <w:rPr>
          <w:rFonts w:hint="eastAsia" w:ascii="宋体" w:hAnsi="宋体" w:eastAsia="宋体" w:cs="宋体"/>
          <w:bCs/>
          <w:kern w:val="2"/>
          <w:sz w:val="24"/>
          <w:szCs w:val="24"/>
        </w:rPr>
        <w:t>政府采购促进中小企业发展管理办法</w:t>
      </w:r>
      <w:r>
        <w:rPr>
          <w:rFonts w:hint="eastAsia" w:ascii="宋体" w:hAnsi="宋体" w:eastAsia="宋体" w:cs="宋体"/>
          <w:bCs/>
          <w:kern w:val="2"/>
          <w:sz w:val="24"/>
          <w:szCs w:val="24"/>
        </w:rPr>
        <w:fldChar w:fldCharType="end"/>
      </w:r>
      <w:r>
        <w:rPr>
          <w:rFonts w:hint="eastAsia" w:ascii="宋体" w:hAnsi="宋体" w:eastAsia="宋体" w:cs="宋体"/>
          <w:bCs/>
          <w:kern w:val="2"/>
          <w:sz w:val="24"/>
          <w:szCs w:val="24"/>
        </w:rPr>
        <w:t>》（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7CAA21C">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BF27DDC">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27FFCE6">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四、认真做好组织实施。各地区、各部门应当加强组织领导，明确工作责任，细化执行要求，强化监督检查，确保国务院部署落实到位，对通知执行中出现的问题要及时向财政部报告。</w:t>
      </w:r>
    </w:p>
    <w:p w14:paraId="4A7E6380">
      <w:pPr>
        <w:adjustRightInd/>
        <w:snapToGrid/>
        <w:spacing w:after="0" w:line="360" w:lineRule="auto"/>
        <w:ind w:firstLine="480" w:firstLineChars="200"/>
        <w:jc w:val="both"/>
        <w:textAlignment w:val="baseline"/>
        <w:rPr>
          <w:rFonts w:ascii="宋体" w:hAnsi="宋体" w:eastAsia="宋体" w:cs="宋体"/>
          <w:bCs/>
          <w:kern w:val="2"/>
          <w:sz w:val="24"/>
          <w:szCs w:val="24"/>
        </w:rPr>
      </w:pPr>
      <w:r>
        <w:rPr>
          <w:rFonts w:hint="eastAsia" w:ascii="宋体" w:hAnsi="宋体" w:eastAsia="宋体" w:cs="宋体"/>
          <w:bCs/>
          <w:kern w:val="2"/>
          <w:sz w:val="24"/>
          <w:szCs w:val="24"/>
        </w:rPr>
        <w:t>本通知自2022年7月1日起执行。</w:t>
      </w:r>
    </w:p>
    <w:p w14:paraId="1EAFE85B">
      <w:pPr>
        <w:adjustRightInd/>
        <w:snapToGrid/>
        <w:spacing w:after="0" w:line="360" w:lineRule="auto"/>
        <w:jc w:val="both"/>
        <w:textAlignment w:val="baseline"/>
        <w:rPr>
          <w:rFonts w:ascii="宋体" w:hAnsi="宋体" w:eastAsia="宋体" w:cs="宋体"/>
          <w:b/>
          <w:kern w:val="2"/>
          <w:sz w:val="24"/>
          <w:szCs w:val="24"/>
        </w:rPr>
      </w:pPr>
    </w:p>
    <w:p w14:paraId="38A3D327">
      <w:pPr>
        <w:adjustRightInd/>
        <w:snapToGrid/>
        <w:spacing w:after="0" w:line="360" w:lineRule="auto"/>
        <w:jc w:val="center"/>
        <w:textAlignment w:val="baseline"/>
        <w:rPr>
          <w:rFonts w:ascii="宋体" w:hAnsi="宋体" w:eastAsia="宋体" w:cs="宋体"/>
          <w:b/>
          <w:kern w:val="2"/>
          <w:sz w:val="24"/>
          <w:szCs w:val="24"/>
        </w:rPr>
      </w:pPr>
      <w:r>
        <w:rPr>
          <w:rFonts w:hint="eastAsia" w:ascii="宋体" w:hAnsi="宋体" w:eastAsia="宋体" w:cs="宋体"/>
          <w:b/>
          <w:kern w:val="2"/>
          <w:sz w:val="24"/>
          <w:szCs w:val="24"/>
        </w:rPr>
        <w:br w:type="page"/>
      </w:r>
      <w:bookmarkStart w:id="324" w:name="_Toc27308"/>
      <w:r>
        <w:rPr>
          <w:rFonts w:hint="eastAsia" w:ascii="宋体" w:hAnsi="宋体" w:eastAsia="宋体" w:cs="宋体"/>
          <w:b/>
          <w:kern w:val="2"/>
          <w:sz w:val="24"/>
          <w:szCs w:val="24"/>
        </w:rPr>
        <w:t>中小企业划型标准规定</w:t>
      </w:r>
      <w:bookmarkEnd w:id="324"/>
    </w:p>
    <w:p w14:paraId="495DB339">
      <w:pPr>
        <w:adjustRightInd/>
        <w:snapToGrid/>
        <w:spacing w:after="0" w:line="360" w:lineRule="auto"/>
        <w:ind w:firstLine="480" w:firstLineChars="200"/>
        <w:textAlignment w:val="baseline"/>
        <w:rPr>
          <w:rFonts w:ascii="宋体" w:hAnsi="宋体" w:eastAsia="宋体" w:cs="宋体"/>
          <w:kern w:val="2"/>
          <w:sz w:val="24"/>
          <w:szCs w:val="24"/>
        </w:rPr>
      </w:pPr>
    </w:p>
    <w:p w14:paraId="49EF5CD8">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一、根据《中华人民共和国中小企业促进法》和《国务院关于进一步促进中小企业发展的若干意见》(国发〔2009〕36号)，制定本规定。</w:t>
      </w:r>
    </w:p>
    <w:p w14:paraId="6DFC7494">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二、中小企业划分为中型、小型、微型三种类型，具体标准根据企业从业人员、营业收入、资产总额等指标，结合行业特点制定。</w:t>
      </w:r>
    </w:p>
    <w:p w14:paraId="70BEE05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它未列明行业（包括科学研究和技术服务业，水利、环境和公共设施管理业，居民服务、修理和其它服务业，社会工作，文化、体育和娱乐业等）。</w:t>
      </w:r>
    </w:p>
    <w:p w14:paraId="186C055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四、各行业划型标准为：</w:t>
      </w:r>
    </w:p>
    <w:p w14:paraId="20965AED">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（一）农、林、牧、渔业。营业收入20000万元以下的为中小微型企业。其中，营业收入500万元及以上的为中型企业，营业收入50万元及以上的为小型企业，营业收入50万元以下的为微型企业。</w:t>
      </w:r>
    </w:p>
    <w:p w14:paraId="79992032">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EC670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900D8C">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2A4D46">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195507">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788550F">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63B122">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DE92F4">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A1473C">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933E78">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3CB91F">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2C6635">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E9B615">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0F2F1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4921A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（十六）其它未列明行业。从业人员300人以下的为中小微型企业。其中，从业人员100人及以上的为中型企业；从业人员10人及以上的为小型企业；从业人员10人以下的为微型企业。</w:t>
      </w:r>
    </w:p>
    <w:p w14:paraId="2E9BC786">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五、企业类型的划分以统计部门的统计数据为依据。</w:t>
      </w:r>
    </w:p>
    <w:p w14:paraId="3EF87288">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六、本规定适用于在中华人民共和国境内依法设立的各类所有制和各种组织形式的企业。个体工商户和本规定以外的行业，参照本规定进行划型。</w:t>
      </w:r>
    </w:p>
    <w:p w14:paraId="46A5F6B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2C08C0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八、本规定由工业和信息化部、国家统计局会同有关部门根据《国民经济行业分类》修订情况和企业发展变化情况适时修订。</w:t>
      </w:r>
    </w:p>
    <w:p w14:paraId="01EAC792">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九、本规定由工业和信息化部、国家统计局会同有关部门负责解释。</w:t>
      </w:r>
    </w:p>
    <w:p w14:paraId="649825B5">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十、本规定自发布之日起执行，原国家经贸委、原国家计委、财政部和国家统计局2003年颁布的《中小企业标准暂行规定》同时废止。</w:t>
      </w:r>
    </w:p>
    <w:p w14:paraId="7131D20E">
      <w:pPr>
        <w:pStyle w:val="2"/>
        <w:ind w:firstLine="0" w:firstLineChars="0"/>
        <w:rPr>
          <w:rFonts w:hAnsi="宋体" w:eastAsia="宋体" w:cs="宋体"/>
          <w:kern w:val="2"/>
          <w:sz w:val="24"/>
          <w:szCs w:val="24"/>
          <w:lang w:eastAsia="zh-CN"/>
        </w:rPr>
      </w:pPr>
    </w:p>
    <w:p w14:paraId="279EAA84">
      <w:pPr>
        <w:adjustRightInd/>
        <w:snapToGrid/>
        <w:spacing w:after="0" w:line="360" w:lineRule="auto"/>
        <w:jc w:val="center"/>
        <w:textAlignment w:val="baseline"/>
        <w:rPr>
          <w:rFonts w:ascii="宋体" w:hAnsi="宋体" w:eastAsia="宋体" w:cs="宋体"/>
          <w:b/>
          <w:kern w:val="2"/>
          <w:sz w:val="24"/>
          <w:szCs w:val="24"/>
        </w:rPr>
      </w:pPr>
      <w:bookmarkStart w:id="325" w:name="_Toc29769"/>
      <w:r>
        <w:rPr>
          <w:rFonts w:hint="eastAsia" w:ascii="宋体" w:hAnsi="宋体" w:eastAsia="宋体" w:cs="宋体"/>
          <w:b/>
          <w:kern w:val="2"/>
          <w:sz w:val="24"/>
          <w:szCs w:val="24"/>
        </w:rPr>
        <w:t>三部门联合发布关于促进残疾人就业政府采购政策的通知</w:t>
      </w:r>
      <w:bookmarkEnd w:id="325"/>
    </w:p>
    <w:p w14:paraId="631708AD">
      <w:pPr>
        <w:adjustRightInd/>
        <w:snapToGrid/>
        <w:spacing w:after="0" w:line="360" w:lineRule="auto"/>
        <w:ind w:firstLine="480" w:firstLineChars="20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财库〔2017〕141号</w:t>
      </w:r>
    </w:p>
    <w:p w14:paraId="780BD8DD">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 、民政局、残疾人联合会：</w:t>
      </w:r>
    </w:p>
    <w:p w14:paraId="4009E705">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为了发挥政府采购促进残疾人就业的作用，进一步保障残疾人权益，依照《政府采购法》、《残疾人保障法》等法律法规及相关规定，现就促进残疾人就业政府采购政策通知如下：</w:t>
      </w:r>
    </w:p>
    <w:p w14:paraId="23AFAC8D">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一、享受政府采购支持政策的残疾人福利性单位应当同时满足以下条件：</w:t>
      </w:r>
    </w:p>
    <w:p w14:paraId="62C8403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（一）安置的残疾人占本单位在职职工人数的比例不低于25%（含25%），并且安置的残疾人人数不少于10人（含10人）；</w:t>
      </w:r>
    </w:p>
    <w:p w14:paraId="3162DEC8">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（二）依法与安置的每位残疾人签订了一年以上（含一年）的劳动合同或服务协议；</w:t>
      </w:r>
    </w:p>
    <w:p w14:paraId="3A2AEB7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（三）为安置的每位残疾人按月足额缴纳了基本养老保险、基本医疗保险、失业保险、工伤保险和生育保险等社会保险费；</w:t>
      </w:r>
    </w:p>
    <w:p w14:paraId="1AE30F73">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（四）通过银行等金融机构向安置的每位残疾人，按月支付了不低于单位所在区县适用的经省级人民政府批准的月最低工资标准的工资；</w:t>
      </w:r>
    </w:p>
    <w:p w14:paraId="32712319">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（五）提供本单位制造的货物、承担的工程或者服务（以下简称产品），或者提供其他残疾人福利性单位制造的货物（不包括使用非残疾人福利性单位注册商标的货物）。</w:t>
      </w:r>
    </w:p>
    <w:p w14:paraId="669A5BFE">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BAD477">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0884040">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中标、成交供应商为残疾人福利性单位的，采购人或者其委托的采购代理机构应当随中标、成交结果同时公告其《残疾人福利性单位声明函》，接受社会监督。</w:t>
      </w:r>
    </w:p>
    <w:p w14:paraId="31BCDDC2">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供应商提供的《残疾人福利性单位声明函》与事实不符的，依照《政府采购法》第七十七条第一款的规定追究法律责任。</w:t>
      </w:r>
    </w:p>
    <w:p w14:paraId="220413D7">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6CA7444">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四、采购人采购公开招标数额标准以上的货物或者服务，因落实促进残疾人就业政策的需要，依法履行有关报批程序后，可采用公开招标以外的采购方式。</w:t>
      </w:r>
    </w:p>
    <w:p w14:paraId="43AA19C7">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F27F50D">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B4867E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七、本通知自2017年10月1日起执行。</w:t>
      </w:r>
    </w:p>
    <w:p w14:paraId="6C86F0F2">
      <w:pPr>
        <w:adjustRightInd/>
        <w:snapToGrid/>
        <w:spacing w:after="0" w:line="360" w:lineRule="auto"/>
        <w:ind w:firstLine="480" w:firstLineChars="200"/>
        <w:textAlignment w:val="baseline"/>
        <w:rPr>
          <w:rFonts w:ascii="宋体" w:hAnsi="宋体" w:eastAsia="宋体" w:cs="宋体"/>
          <w:kern w:val="2"/>
          <w:sz w:val="24"/>
          <w:szCs w:val="24"/>
        </w:rPr>
      </w:pPr>
    </w:p>
    <w:p w14:paraId="26747B06">
      <w:pPr>
        <w:adjustRightInd/>
        <w:snapToGrid/>
        <w:spacing w:after="0" w:line="360" w:lineRule="auto"/>
        <w:ind w:firstLine="3120" w:firstLineChars="1300"/>
        <w:textAlignment w:val="baseline"/>
        <w:rPr>
          <w:rFonts w:ascii="宋体" w:hAnsi="宋体" w:eastAsia="宋体" w:cs="宋体"/>
          <w:kern w:val="2"/>
          <w:sz w:val="24"/>
          <w:szCs w:val="24"/>
        </w:rPr>
      </w:pPr>
      <w:r>
        <w:rPr>
          <w:rFonts w:hint="eastAsia" w:ascii="宋体" w:hAnsi="宋体" w:eastAsia="宋体" w:cs="宋体"/>
          <w:kern w:val="2"/>
          <w:sz w:val="24"/>
          <w:szCs w:val="24"/>
        </w:rPr>
        <w:t>财政部 民政部 中国残疾人联合会</w:t>
      </w:r>
    </w:p>
    <w:p w14:paraId="5DC894AA">
      <w:pPr>
        <w:adjustRightInd/>
        <w:snapToGrid/>
        <w:spacing w:after="0" w:line="360" w:lineRule="auto"/>
        <w:ind w:firstLine="4560" w:firstLineChars="1900"/>
        <w:textAlignment w:val="baseline"/>
        <w:rPr>
          <w:rFonts w:ascii="宋体" w:hAnsi="宋体" w:eastAsia="宋体" w:cs="宋体"/>
          <w:kern w:val="2"/>
          <w:sz w:val="24"/>
          <w:szCs w:val="24"/>
        </w:rPr>
      </w:pPr>
      <w:r>
        <w:rPr>
          <w:rFonts w:hint="eastAsia" w:ascii="宋体" w:hAnsi="宋体" w:eastAsia="宋体" w:cs="宋体"/>
          <w:kern w:val="2"/>
          <w:sz w:val="24"/>
          <w:szCs w:val="24"/>
        </w:rPr>
        <w:t>2017年8月22日</w:t>
      </w:r>
    </w:p>
    <w:p w14:paraId="5997B257">
      <w:pPr>
        <w:adjustRightInd/>
        <w:snapToGrid/>
        <w:spacing w:after="0" w:line="360" w:lineRule="auto"/>
        <w:ind w:firstLine="480" w:firstLineChars="200"/>
        <w:textAlignment w:val="baseline"/>
        <w:rPr>
          <w:rFonts w:ascii="宋体" w:hAnsi="宋体" w:eastAsia="宋体" w:cs="宋体"/>
          <w:kern w:val="2"/>
          <w:sz w:val="24"/>
          <w:szCs w:val="24"/>
        </w:rPr>
      </w:pPr>
    </w:p>
    <w:p w14:paraId="78A942C2">
      <w:pPr>
        <w:adjustRightInd/>
        <w:snapToGrid/>
        <w:spacing w:after="0" w:line="360" w:lineRule="auto"/>
        <w:ind w:firstLine="480" w:firstLineChars="200"/>
        <w:textAlignment w:val="baseline"/>
        <w:rPr>
          <w:rFonts w:ascii="宋体" w:hAnsi="宋体" w:eastAsia="宋体" w:cs="宋体"/>
          <w:kern w:val="2"/>
          <w:sz w:val="24"/>
          <w:szCs w:val="24"/>
        </w:rPr>
      </w:pPr>
    </w:p>
    <w:p w14:paraId="0AA634DF">
      <w:pPr>
        <w:adjustRightInd/>
        <w:snapToGrid/>
        <w:spacing w:after="0" w:line="360" w:lineRule="auto"/>
        <w:ind w:firstLine="480" w:firstLineChars="200"/>
        <w:textAlignment w:val="baseline"/>
        <w:rPr>
          <w:rFonts w:ascii="宋体" w:hAnsi="宋体" w:eastAsia="宋体" w:cs="宋体"/>
          <w:kern w:val="2"/>
          <w:sz w:val="24"/>
          <w:szCs w:val="24"/>
        </w:rPr>
      </w:pPr>
    </w:p>
    <w:p w14:paraId="4479A6CE">
      <w:pPr>
        <w:adjustRightInd/>
        <w:snapToGrid/>
        <w:spacing w:after="0" w:line="360" w:lineRule="auto"/>
        <w:ind w:firstLine="480" w:firstLineChars="200"/>
        <w:textAlignment w:val="baseline"/>
        <w:rPr>
          <w:rFonts w:ascii="宋体" w:hAnsi="宋体" w:eastAsia="宋体" w:cs="宋体"/>
          <w:kern w:val="2"/>
          <w:sz w:val="24"/>
          <w:szCs w:val="24"/>
        </w:rPr>
      </w:pPr>
    </w:p>
    <w:p w14:paraId="6F1873E3">
      <w:pPr>
        <w:adjustRightInd/>
        <w:snapToGrid/>
        <w:spacing w:after="0" w:line="360" w:lineRule="auto"/>
        <w:ind w:firstLine="480" w:firstLineChars="200"/>
        <w:textAlignment w:val="baseline"/>
        <w:rPr>
          <w:rFonts w:ascii="宋体" w:hAnsi="宋体" w:eastAsia="宋体" w:cs="宋体"/>
          <w:kern w:val="2"/>
          <w:sz w:val="24"/>
          <w:szCs w:val="24"/>
        </w:rPr>
      </w:pPr>
    </w:p>
    <w:p w14:paraId="51848891">
      <w:pPr>
        <w:adjustRightInd/>
        <w:snapToGrid/>
        <w:spacing w:after="0" w:line="360" w:lineRule="auto"/>
        <w:ind w:firstLine="480" w:firstLineChars="200"/>
        <w:textAlignment w:val="baseline"/>
        <w:rPr>
          <w:rFonts w:ascii="宋体" w:hAnsi="宋体" w:eastAsia="宋体" w:cs="宋体"/>
          <w:kern w:val="2"/>
          <w:sz w:val="24"/>
          <w:szCs w:val="24"/>
        </w:rPr>
      </w:pPr>
    </w:p>
    <w:p w14:paraId="04B7FD05">
      <w:pPr>
        <w:adjustRightInd/>
        <w:snapToGrid/>
        <w:spacing w:after="0" w:line="360" w:lineRule="auto"/>
        <w:ind w:firstLine="480" w:firstLineChars="200"/>
        <w:textAlignment w:val="baseline"/>
        <w:rPr>
          <w:rFonts w:ascii="宋体" w:hAnsi="宋体" w:eastAsia="宋体" w:cs="宋体"/>
          <w:kern w:val="2"/>
          <w:sz w:val="24"/>
          <w:szCs w:val="24"/>
        </w:rPr>
      </w:pPr>
    </w:p>
    <w:p w14:paraId="13570793">
      <w:pPr>
        <w:adjustRightInd/>
        <w:snapToGrid/>
        <w:spacing w:after="0" w:line="360" w:lineRule="auto"/>
        <w:textAlignment w:val="baseline"/>
        <w:rPr>
          <w:rFonts w:ascii="宋体" w:hAnsi="宋体" w:eastAsia="宋体" w:cs="宋体"/>
          <w:kern w:val="2"/>
          <w:sz w:val="24"/>
          <w:szCs w:val="24"/>
        </w:rPr>
      </w:pPr>
    </w:p>
    <w:p w14:paraId="235DDC9C">
      <w:pPr>
        <w:adjustRightInd/>
        <w:snapToGrid/>
        <w:spacing w:after="0" w:line="360" w:lineRule="auto"/>
        <w:jc w:val="center"/>
        <w:textAlignment w:val="baseline"/>
        <w:rPr>
          <w:rFonts w:ascii="宋体" w:hAnsi="宋体" w:eastAsia="宋体" w:cs="宋体"/>
          <w:b/>
          <w:bCs/>
          <w:kern w:val="2"/>
          <w:sz w:val="24"/>
          <w:szCs w:val="24"/>
        </w:rPr>
      </w:pPr>
      <w:bookmarkStart w:id="326" w:name="_Toc30996"/>
      <w:bookmarkStart w:id="327" w:name="_Toc4234"/>
      <w:bookmarkStart w:id="328" w:name="_Toc31795"/>
      <w:bookmarkStart w:id="329" w:name="_Toc19799"/>
      <w:bookmarkStart w:id="330" w:name="_Toc15225"/>
      <w:r>
        <w:rPr>
          <w:rFonts w:hint="eastAsia" w:ascii="宋体" w:hAnsi="宋体" w:eastAsia="宋体" w:cs="宋体"/>
          <w:b/>
          <w:bCs/>
          <w:kern w:val="2"/>
          <w:sz w:val="24"/>
          <w:szCs w:val="24"/>
        </w:rPr>
        <w:t>关于政府采购支持监狱企业发展有关问题的通知</w:t>
      </w:r>
      <w:bookmarkEnd w:id="326"/>
      <w:bookmarkEnd w:id="327"/>
      <w:bookmarkEnd w:id="328"/>
      <w:bookmarkEnd w:id="329"/>
      <w:bookmarkEnd w:id="330"/>
    </w:p>
    <w:p w14:paraId="66DB8B8F">
      <w:pPr>
        <w:adjustRightInd/>
        <w:snapToGrid/>
        <w:spacing w:after="0" w:line="360" w:lineRule="auto"/>
        <w:ind w:firstLine="480" w:firstLineChars="200"/>
        <w:jc w:val="center"/>
        <w:textAlignment w:val="baseline"/>
        <w:rPr>
          <w:rFonts w:ascii="宋体" w:hAnsi="宋体" w:eastAsia="宋体" w:cs="宋体"/>
          <w:kern w:val="2"/>
          <w:sz w:val="24"/>
          <w:szCs w:val="24"/>
        </w:rPr>
      </w:pPr>
      <w:r>
        <w:rPr>
          <w:rFonts w:hint="eastAsia" w:ascii="宋体" w:hAnsi="宋体" w:eastAsia="宋体" w:cs="宋体"/>
          <w:kern w:val="2"/>
          <w:sz w:val="24"/>
          <w:szCs w:val="24"/>
        </w:rPr>
        <w:t>财库[2014]68号</w:t>
      </w:r>
    </w:p>
    <w:p w14:paraId="47A62B4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党中央有关部门，国务院各部委、各直属机构， 全国人大常委会办公厅 ， 全国政协办公厅，高法院，高检院，有关人民团 体， 中央国家机关政府采购中心，中共中央直属机关采购中心，全国人大机关采购中心，各省、自治区、直辖市、计划单列市财政厅(局)、司法厅(局)，新疆生产建设兵团财务局、司法局、监狱管理局:</w:t>
      </w:r>
    </w:p>
    <w:p w14:paraId="08CCD9F0">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9F96BCA">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363B91D">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二、在政府采购活动中，监狱企业视同小型、微型企业，享受预留份额、评审中价格扣除等政府采购促进中小企业发展的政府采购政策。向监狱企业采购的金额，计入面向中小企业采购的统计数据。</w:t>
      </w:r>
    </w:p>
    <w:p w14:paraId="5050FF00">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4A77341">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四、各地区可以结合本地区实际，对监狱企业生产的办公用品、家具用具、车辆维修和提供的保养服务、消防产品等，提出预留份额等政府采购支持措施，加大对监狱企业产品的采购力度。</w:t>
      </w:r>
    </w:p>
    <w:p w14:paraId="17C59A48">
      <w:pPr>
        <w:adjustRightInd/>
        <w:snapToGrid/>
        <w:spacing w:after="0" w:line="360" w:lineRule="auto"/>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4009CDA">
      <w:pPr>
        <w:adjustRightInd/>
        <w:snapToGrid/>
        <w:spacing w:after="0" w:line="360" w:lineRule="auto"/>
        <w:ind w:firstLine="480" w:firstLineChars="200"/>
        <w:textAlignment w:val="baseline"/>
        <w:rPr>
          <w:rFonts w:ascii="宋体" w:hAnsi="宋体" w:eastAsia="宋体" w:cs="宋体"/>
          <w:kern w:val="2"/>
          <w:sz w:val="24"/>
          <w:szCs w:val="24"/>
        </w:rPr>
      </w:pPr>
    </w:p>
    <w:p w14:paraId="6F90F141">
      <w:pPr>
        <w:adjustRightInd/>
        <w:snapToGrid/>
        <w:spacing w:after="0" w:line="360" w:lineRule="auto"/>
        <w:ind w:firstLine="480" w:firstLineChars="200"/>
        <w:textAlignment w:val="baseline"/>
        <w:rPr>
          <w:rFonts w:ascii="宋体" w:hAnsi="宋体" w:eastAsia="宋体" w:cs="宋体"/>
          <w:kern w:val="2"/>
          <w:sz w:val="24"/>
          <w:szCs w:val="24"/>
        </w:rPr>
      </w:pPr>
    </w:p>
    <w:p w14:paraId="091D0C2C">
      <w:pPr>
        <w:adjustRightInd/>
        <w:snapToGrid/>
        <w:spacing w:after="0" w:line="360" w:lineRule="auto"/>
        <w:ind w:right="120" w:firstLine="480" w:firstLineChars="200"/>
        <w:jc w:val="right"/>
        <w:textAlignment w:val="baseline"/>
        <w:rPr>
          <w:rFonts w:ascii="宋体" w:hAnsi="宋体" w:eastAsia="宋体" w:cs="宋体"/>
          <w:kern w:val="2"/>
          <w:sz w:val="24"/>
          <w:szCs w:val="24"/>
        </w:rPr>
      </w:pPr>
      <w:r>
        <w:rPr>
          <w:rFonts w:hint="eastAsia" w:ascii="宋体" w:hAnsi="宋体" w:eastAsia="宋体" w:cs="宋体"/>
          <w:kern w:val="2"/>
          <w:sz w:val="24"/>
          <w:szCs w:val="24"/>
        </w:rPr>
        <w:t>财政部 司法部</w:t>
      </w:r>
    </w:p>
    <w:p w14:paraId="356E9C23">
      <w:pPr>
        <w:adjustRightInd/>
        <w:snapToGrid/>
        <w:spacing w:after="0" w:line="360" w:lineRule="auto"/>
        <w:ind w:firstLine="480" w:firstLineChars="200"/>
        <w:jc w:val="right"/>
        <w:textAlignment w:val="baseline"/>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宋体"/>
          <w:kern w:val="2"/>
          <w:sz w:val="24"/>
          <w:szCs w:val="24"/>
        </w:rPr>
        <w:t>2014年6月10日</w:t>
      </w:r>
    </w:p>
    <w:p w14:paraId="3965ABE6"/>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1A0F3C52" w:usb2="00000010"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Miriam">
    <w:panose1 w:val="020B0502050101010101"/>
    <w:charset w:val="00"/>
    <w:family w:val="auto"/>
    <w:pitch w:val="default"/>
    <w:sig w:usb0="00000801" w:usb1="00000000" w:usb2="00000000" w:usb3="00000000" w:csb0="00000020" w:csb1="002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86F1">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D2DFFB">
                          <w:pPr>
                            <w:pStyle w:val="7"/>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3D0nEAQAAkA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KDlzwtKNX75/u/z4dfn5&#10;lb1N/vQBK2p7DA8wZUhhEju0YNObZLAhe3q+eqqGyCQVy/VqvV6S3ZLO5oRwiqfPA2C8V96yFNQc&#10;6NKyl+L0AePYOrekac7faWOoLirj/ioQZqoUifHIMUVx2A8T8b1vziS3p/uuuaP15sy8d2RnWo05&#10;gDnYz8ExgD50RK3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Z3D0nEAQAAkAMAAA4AAAAAAAAAAQAgAAAAHwEAAGRycy9lMm9Eb2MueG1s&#10;UEsFBgAAAAAGAAYAWQEAAFUFAAAAAA==&#10;">
              <v:fill on="f" focussize="0,0"/>
              <v:stroke on="f"/>
              <v:imagedata o:title=""/>
              <o:lock v:ext="edit" aspectratio="f"/>
              <v:textbox inset="0mm,0mm,0mm,0mm" style="mso-fit-shape-to-text:t;">
                <w:txbxContent>
                  <w:p w14:paraId="0DD2DFFB">
                    <w:pPr>
                      <w:pStyle w:val="7"/>
                    </w:pPr>
                    <w:r>
                      <w:fldChar w:fldCharType="begin"/>
                    </w:r>
                    <w:r>
                      <w:instrText xml:space="preserve"> PAGE  \* MERGEFORMAT </w:instrText>
                    </w:r>
                    <w:r>
                      <w:fldChar w:fldCharType="separate"/>
                    </w:r>
                    <w:r>
                      <w:t>23</w:t>
                    </w:r>
                    <w:r>
                      <w:fldChar w:fldCharType="end"/>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64795"/>
              <wp:effectExtent l="0" t="0" r="0" b="0"/>
              <wp:wrapNone/>
              <wp:docPr id="10" name="文本框 4"/>
              <wp:cNvGraphicFramePr/>
              <a:graphic xmlns:a="http://schemas.openxmlformats.org/drawingml/2006/main">
                <a:graphicData uri="http://schemas.microsoft.com/office/word/2010/wordprocessingShape">
                  <wps:wsp>
                    <wps:cNvSpPr/>
                    <wps:spPr>
                      <a:xfrm>
                        <a:off x="0" y="0"/>
                        <a:ext cx="114935" cy="264795"/>
                      </a:xfrm>
                      <a:prstGeom prst="rect">
                        <a:avLst/>
                      </a:prstGeom>
                      <a:noFill/>
                      <a:ln>
                        <a:noFill/>
                      </a:ln>
                    </wps:spPr>
                    <wps:txbx>
                      <w:txbxContent>
                        <w:p w14:paraId="5401ABCA">
                          <w:pPr>
                            <w:pStyle w:val="7"/>
                          </w:pPr>
                        </w:p>
                      </w:txbxContent>
                    </wps:txbx>
                    <wps:bodyPr wrap="none" lIns="0" tIns="0" rIns="0" bIns="0" upright="1">
                      <a:spAutoFit/>
                    </wps:bodyPr>
                  </wps:wsp>
                </a:graphicData>
              </a:graphic>
            </wp:anchor>
          </w:drawing>
        </mc:Choice>
        <mc:Fallback>
          <w:pict>
            <v:rect id="文本框 4" o:spid="_x0000_s1026" o:spt="1" style="position:absolute;left:0pt;margin-top:0pt;height:20.85pt;width:9.05pt;mso-position-horizontal:center;mso-position-horizontal-relative:margin;mso-wrap-style:none;z-index:251664384;mso-width-relative:page;mso-height-relative:page;" filled="f" stroked="f" coordsize="21600,21600" o:gfxdata="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SBiFHRAAAAAwEAAA8AAAAAAAAAAQAgAAAAIgAAAGRycy9kb3ducmV2&#10;LnhtbFBLAQIUABQAAAAIAIdO4kD6r4MjygEAAI4DAAAOAAAAAAAAAAEAIAAAACABAABkcnMvZTJv&#10;RG9jLnhtbFBLBQYAAAAABgAGAFkBAABcBQAAAAA=&#10;">
              <v:fill on="f" focussize="0,0"/>
              <v:stroke on="f"/>
              <v:imagedata o:title=""/>
              <o:lock v:ext="edit" aspectratio="f"/>
              <v:textbox inset="0mm,0mm,0mm,0mm" style="mso-fit-shape-to-text:t;">
                <w:txbxContent>
                  <w:p w14:paraId="5401ABCA">
                    <w:pPr>
                      <w:pStyle w:val="7"/>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568A">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0A314E1">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f7pzEAQAAkA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Vpw5YenGL9+/XX78uvz8&#10;yt4mf/qAFbU9hgeYMqQwiR1asOlNMtiQPT1fPVVDZJKKy/VqvS7Jbklnc0I4xdPnATDeK29ZCmoO&#10;dGnZS3H6gHFsnVvSNOfvtDFUF5VxfxUIM1WKxHjkmKI47IeJ+N43Z5Lb033X3NF6c2beO7IzrcYc&#10;wBzs5+AYQB86orb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kf7pzEAQAAkAMAAA4AAAAAAAAAAQAgAAAAHwEAAGRycy9lMm9Eb2MueG1s&#10;UEsFBgAAAAAGAAYAWQEAAFUFAAAAAA==&#10;">
              <v:fill on="f" focussize="0,0"/>
              <v:stroke on="f"/>
              <v:imagedata o:title=""/>
              <o:lock v:ext="edit" aspectratio="f"/>
              <v:textbox inset="0mm,0mm,0mm,0mm" style="mso-fit-shape-to-text:t;">
                <w:txbxContent>
                  <w:p w14:paraId="00A314E1">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5EC6">
    <w:pPr>
      <w:pStyle w:val="3"/>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159DC6">
                          <w:pPr>
                            <w:pStyle w:val="7"/>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Eic/EAQAAkA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3Ca86csHTjlx/fLz9/X359&#10;Y2+TP33Aitruwx1MGVKYxA4t2PQmGWzInp6vnqohMknF5Xq1Xpdkt6SzOSGc4uHzABjfK29ZCmoO&#10;dGnZS3H6iHFsnVvSNOdvtTFUF5VxfxUIM1WKxHjkmKI47IeJ+N43Z5Lb033X3NF6c2Y+OLIzrcYc&#10;wBzs5+AYQB86orbMvDC8O0YikbmlCSPsNJguKqubliptwuM8d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7Eic/EAQAAkAMAAA4AAAAAAAAAAQAgAAAAHwEAAGRycy9lMm9Eb2MueG1s&#10;UEsFBgAAAAAGAAYAWQEAAFUFAAAAAA==&#10;">
              <v:fill on="f" focussize="0,0"/>
              <v:stroke on="f"/>
              <v:imagedata o:title=""/>
              <o:lock v:ext="edit" aspectratio="f"/>
              <v:textbox inset="0mm,0mm,0mm,0mm" style="mso-fit-shape-to-text:t;">
                <w:txbxContent>
                  <w:p w14:paraId="69159DC6">
                    <w:pPr>
                      <w:pStyle w:val="7"/>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53F9">
    <w:pPr>
      <w:spacing w:line="176" w:lineRule="auto"/>
      <w:ind w:left="4481"/>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F04352">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nTZUyAgAAZA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edNlTICAABkBAAADgAAAAAAAAABACAAAAAfAQAAZHJzL2Uyb0RvYy54bWxQSwUG&#10;AAAAAAYABgBZAQAAwwUAAAAA&#10;">
              <v:fill on="f" focussize="0,0"/>
              <v:stroke on="f" weight="0.5pt"/>
              <v:imagedata o:title=""/>
              <o:lock v:ext="edit" aspectratio="f"/>
              <v:textbox inset="0mm,0mm,0mm,0mm" style="mso-fit-shape-to-text:t;">
                <w:txbxContent>
                  <w:p w14:paraId="41F04352">
                    <w:pPr>
                      <w:pStyle w:val="7"/>
                    </w:pPr>
                    <w:r>
                      <w:fldChar w:fldCharType="begin"/>
                    </w:r>
                    <w:r>
                      <w:instrText xml:space="preserve"> PAGE  \* MERGEFORMAT </w:instrText>
                    </w:r>
                    <w:r>
                      <w:fldChar w:fldCharType="separate"/>
                    </w:r>
                    <w:r>
                      <w:t>39</w:t>
                    </w:r>
                    <w:r>
                      <w:fldChar w:fldCharType="end"/>
                    </w:r>
                  </w:p>
                </w:txbxContent>
              </v:textbox>
            </v:shape>
          </w:pict>
        </mc:Fallback>
      </mc:AlternateContent>
    </w:r>
    <w:r>
      <w:rPr>
        <w:rFonts w:ascii="宋体" w:hAnsi="宋体" w:eastAsia="宋体" w:cs="宋体"/>
        <w:sz w:val="24"/>
        <w:szCs w:val="24"/>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ED6E">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8275" cy="146050"/>
              <wp:effectExtent l="0" t="0" r="0" b="0"/>
              <wp:wrapNone/>
              <wp:docPr id="53" name="文本框 30"/>
              <wp:cNvGraphicFramePr/>
              <a:graphic xmlns:a="http://schemas.openxmlformats.org/drawingml/2006/main">
                <a:graphicData uri="http://schemas.microsoft.com/office/word/2010/wordprocessingShape">
                  <wps:wsp>
                    <wps:cNvSpPr txBox="1"/>
                    <wps:spPr>
                      <a:xfrm>
                        <a:off x="0" y="0"/>
                        <a:ext cx="168275" cy="146050"/>
                      </a:xfrm>
                      <a:prstGeom prst="rect">
                        <a:avLst/>
                      </a:prstGeom>
                      <a:noFill/>
                      <a:ln>
                        <a:noFill/>
                      </a:ln>
                      <a:effectLst/>
                    </wps:spPr>
                    <wps:txbx>
                      <w:txbxContent>
                        <w:p w14:paraId="13F81BE7">
                          <w:pPr>
                            <w:spacing w:line="21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wps:txbx>
                    <wps:bodyPr lIns="0" tIns="0" rIns="0" bIns="0" upright="1"/>
                  </wps:wsp>
                </a:graphicData>
              </a:graphic>
            </wp:anchor>
          </w:drawing>
        </mc:Choice>
        <mc:Fallback>
          <w:pict>
            <v:shape id="文本框 30" o:spid="_x0000_s1026" o:spt="202" type="#_x0000_t202" style="position:absolute;left:0pt;margin-top:0pt;height:11.5pt;width:13.25pt;mso-position-horizontal:center;mso-position-horizontal-relative:margin;z-index:251661312;mso-width-relative:page;mso-height-relative:page;" filled="f" stroked="f" coordsize="21600,21600" o:gfxdata="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rwGx0wAAAAMBAAAPAAAAAAAAAAEAIAAAACIAAABkcnMvZG93bnJldi54bWxQSwEC&#10;FAAUAAAACACHTuJA1dyU9cABAACBAwAADgAAAAAAAAABACAAAAAiAQAAZHJzL2Uyb0RvYy54bWxQ&#10;SwUGAAAAAAYABgBZAQAAVAUAAAAA&#10;">
              <v:fill on="f" focussize="0,0"/>
              <v:stroke on="f"/>
              <v:imagedata o:title=""/>
              <o:lock v:ext="edit" aspectratio="f"/>
              <v:textbox inset="0mm,0mm,0mm,0mm">
                <w:txbxContent>
                  <w:p w14:paraId="13F81BE7">
                    <w:pPr>
                      <w:spacing w:line="21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E94D">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A9FB">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2FA9">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3ECD">
    <w:pPr>
      <w:pStyle w:val="3"/>
      <w:spacing w:line="14" w:lineRule="auto"/>
    </w:pPr>
    <w:r>
      <mc:AlternateContent>
        <mc:Choice Requires="wpg">
          <w:drawing>
            <wp:anchor distT="0" distB="0" distL="114300" distR="114300" simplePos="0" relativeHeight="251659264" behindDoc="1" locked="0" layoutInCell="1" allowOverlap="1">
              <wp:simplePos x="0" y="0"/>
              <wp:positionH relativeFrom="page">
                <wp:posOffset>1424305</wp:posOffset>
              </wp:positionH>
              <wp:positionV relativeFrom="page">
                <wp:posOffset>96520</wp:posOffset>
              </wp:positionV>
              <wp:extent cx="21590" cy="20955"/>
              <wp:effectExtent l="4445" t="4445" r="12065" b="12700"/>
              <wp:wrapNone/>
              <wp:docPr id="3" name="组合 8"/>
              <wp:cNvGraphicFramePr/>
              <a:graphic xmlns:a="http://schemas.openxmlformats.org/drawingml/2006/main">
                <a:graphicData uri="http://schemas.microsoft.com/office/word/2010/wordprocessingGroup">
                  <wpg:wgp>
                    <wpg:cNvGrpSpPr/>
                    <wpg:grpSpPr>
                      <a:xfrm>
                        <a:off x="0" y="0"/>
                        <a:ext cx="21590" cy="20955"/>
                        <a:chOff x="2244" y="152"/>
                        <a:chExt cx="33" cy="33"/>
                      </a:xfrm>
                    </wpg:grpSpPr>
                    <wps:wsp>
                      <wps:cNvPr id="1" name="任意多边形 6"/>
                      <wps:cNvSpPr/>
                      <wps:spPr>
                        <a:xfrm>
                          <a:off x="2244" y="152"/>
                          <a:ext cx="33" cy="33"/>
                        </a:xfrm>
                        <a:custGeom>
                          <a:avLst/>
                          <a:gdLst/>
                          <a:ahLst/>
                          <a:cxnLst/>
                          <a:rect l="0" t="0" r="0" b="0"/>
                          <a:pathLst>
                            <a:path w="33" h="33">
                              <a:moveTo>
                                <a:pt x="32" y="17"/>
                              </a:moveTo>
                              <a:lnTo>
                                <a:pt x="32" y="8"/>
                              </a:lnTo>
                              <a:lnTo>
                                <a:pt x="25" y="0"/>
                              </a:lnTo>
                              <a:lnTo>
                                <a:pt x="16" y="0"/>
                              </a:lnTo>
                              <a:lnTo>
                                <a:pt x="7" y="0"/>
                              </a:lnTo>
                              <a:lnTo>
                                <a:pt x="0" y="8"/>
                              </a:lnTo>
                              <a:lnTo>
                                <a:pt x="0" y="17"/>
                              </a:lnTo>
                              <a:lnTo>
                                <a:pt x="0" y="26"/>
                              </a:lnTo>
                              <a:lnTo>
                                <a:pt x="7" y="33"/>
                              </a:lnTo>
                              <a:lnTo>
                                <a:pt x="16" y="33"/>
                              </a:lnTo>
                              <a:lnTo>
                                <a:pt x="25" y="33"/>
                              </a:lnTo>
                              <a:lnTo>
                                <a:pt x="32" y="26"/>
                              </a:lnTo>
                              <a:lnTo>
                                <a:pt x="32" y="17"/>
                              </a:lnTo>
                              <a:close/>
                            </a:path>
                          </a:pathLst>
                        </a:custGeom>
                        <a:noFill/>
                        <a:ln w="9525" cap="flat" cmpd="sng">
                          <a:solidFill>
                            <a:srgbClr val="000000"/>
                          </a:solidFill>
                          <a:prstDash val="solid"/>
                          <a:headEnd type="none" w="med" len="med"/>
                          <a:tailEnd type="none" w="med" len="med"/>
                        </a:ln>
                      </wps:spPr>
                      <wps:bodyPr upright="1"/>
                    </wps:wsp>
                    <wps:wsp>
                      <wps:cNvPr id="2" name="直接连接符 7"/>
                      <wps:cNvCnPr/>
                      <wps:spPr>
                        <a:xfrm>
                          <a:off x="2244" y="169"/>
                          <a:ext cx="33"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8" o:spid="_x0000_s1026" o:spt="203" style="position:absolute;left:0pt;margin-left:112.15pt;margin-top:7.6pt;height:1.65pt;width:1.7pt;mso-position-horizontal-relative:page;mso-position-vertical-relative:page;z-index:-251657216;mso-width-relative:page;mso-height-relative:page;" coordorigin="2244,152" coordsize="33,33" o:gfxdata="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h+1VZ2QAAAAkBAAAPAAAAAAAAAAEAIAAAACIAAABkcnMvZG93bnJldi54bWxQSwECFAAUAAAA&#10;CACHTuJAKzdvr0MDAABuCQAADgAAAAAAAAABACAAAAAoAQAAZHJzL2Uyb0RvYy54bWxQSwUGAAAA&#10;AAYABgBZAQAA3QYAAAAA&#10;">
              <o:lock v:ext="edit" aspectratio="f"/>
              <v:shape id="任意多边形 6" o:spid="_x0000_s1026" o:spt="100" style="position:absolute;left:2244;top:152;height:33;width:33;" filled="f" stroked="t" coordsize="33,33" o:gfxdata="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RNdugAAANoA&#10;AAAPAAAAAAAAAAEAIAAAACIAAABkcnMvZG93bnJldi54bWxQSwECFAAUAAAACACHTuJAMy8FnjsA&#10;AAA5AAAAEAAAAAAAAAABACAAAAAJAQAAZHJzL3NoYXBleG1sLnhtbFBLBQYAAAAABgAGAFsBAACz&#10;AwAAAAA=&#10;" path="m32,17l32,8,25,0,16,0,7,0,0,8,0,17,0,26,7,33,16,33,25,33,32,26,32,17xe">
                <v:fill on="f" focussize="0,0"/>
                <v:stroke color="#000000" joinstyle="round"/>
                <v:imagedata o:title=""/>
                <o:lock v:ext="edit" aspectratio="f"/>
              </v:shape>
              <v:line id="直接连接符 7" o:spid="_x0000_s1026" o:spt="20" style="position:absolute;left:2244;top:169;height:0;width:33;"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335280</wp:posOffset>
              </wp:positionV>
              <wp:extent cx="533400" cy="170815"/>
              <wp:effectExtent l="0" t="0" r="0" b="0"/>
              <wp:wrapNone/>
              <wp:docPr id="4" name="文本框 1"/>
              <wp:cNvGraphicFramePr/>
              <a:graphic xmlns:a="http://schemas.openxmlformats.org/drawingml/2006/main">
                <a:graphicData uri="http://schemas.microsoft.com/office/word/2010/wordprocessingShape">
                  <wps:wsp>
                    <wps:cNvSpPr/>
                    <wps:spPr>
                      <a:xfrm>
                        <a:off x="0" y="0"/>
                        <a:ext cx="533400" cy="170815"/>
                      </a:xfrm>
                      <a:prstGeom prst="rect">
                        <a:avLst/>
                      </a:prstGeom>
                      <a:noFill/>
                      <a:ln>
                        <a:noFill/>
                      </a:ln>
                    </wps:spPr>
                    <wps:txbx>
                      <w:txbxContent>
                        <w:p w14:paraId="2F4F5A11">
                          <w:pPr>
                            <w:pStyle w:val="3"/>
                            <w:spacing w:line="248" w:lineRule="exact"/>
                          </w:pPr>
                        </w:p>
                      </w:txbxContent>
                    </wps:txbx>
                    <wps:bodyPr lIns="0" tIns="0" rIns="0" bIns="0" upright="1"/>
                  </wps:wsp>
                </a:graphicData>
              </a:graphic>
            </wp:anchor>
          </w:drawing>
        </mc:Choice>
        <mc:Fallback>
          <w:pict>
            <v:rect id="文本框 1" o:spid="_x0000_s1026" o:spt="1" style="position:absolute;left:0pt;margin-left:35pt;margin-top:26.4pt;height:13.45pt;width:42pt;mso-position-horizontal-relative:page;mso-position-vertical-relative:page;z-index:-251656192;mso-width-relative:page;mso-height-relative:page;" filled="f" stroked="f" coordsize="21600,21600" o:gfxdata="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tz5uNgAAAAIAQAADwAAAAAAAAABACAAAAAiAAAAZHJzL2Rvd25yZXYueG1sUEsBAhQAFAAAAAgA&#10;h07iQHGVpLmzAQAAZwMAAA4AAAAAAAAAAQAgAAAAJwEAAGRycy9lMm9Eb2MueG1sUEsFBgAAAAAG&#10;AAYAWQEAAEwFAAAAAA==&#10;">
              <v:fill on="f" focussize="0,0"/>
              <v:stroke on="f"/>
              <v:imagedata o:title=""/>
              <o:lock v:ext="edit" aspectratio="f"/>
              <v:textbox inset="0mm,0mm,0mm,0mm">
                <w:txbxContent>
                  <w:p w14:paraId="2F4F5A11">
                    <w:pPr>
                      <w:pStyle w:val="3"/>
                      <w:spacing w:line="248" w:lineRule="exact"/>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57CD">
    <w:pPr>
      <w:pStyle w:val="3"/>
      <w:spacing w:line="14" w:lineRule="auto"/>
    </w:pPr>
    <w:r>
      <mc:AlternateContent>
        <mc:Choice Requires="wpg">
          <w:drawing>
            <wp:anchor distT="0" distB="0" distL="114300" distR="114300" simplePos="0" relativeHeight="251662336" behindDoc="1" locked="0" layoutInCell="1" allowOverlap="1">
              <wp:simplePos x="0" y="0"/>
              <wp:positionH relativeFrom="page">
                <wp:posOffset>1424305</wp:posOffset>
              </wp:positionH>
              <wp:positionV relativeFrom="page">
                <wp:posOffset>96520</wp:posOffset>
              </wp:positionV>
              <wp:extent cx="21590" cy="20955"/>
              <wp:effectExtent l="4445" t="4445" r="12065" b="12700"/>
              <wp:wrapNone/>
              <wp:docPr id="7" name="组合 111"/>
              <wp:cNvGraphicFramePr/>
              <a:graphic xmlns:a="http://schemas.openxmlformats.org/drawingml/2006/main">
                <a:graphicData uri="http://schemas.microsoft.com/office/word/2010/wordprocessingGroup">
                  <wpg:wgp>
                    <wpg:cNvGrpSpPr/>
                    <wpg:grpSpPr>
                      <a:xfrm>
                        <a:off x="0" y="0"/>
                        <a:ext cx="21590" cy="20955"/>
                        <a:chOff x="2244" y="152"/>
                        <a:chExt cx="33" cy="33"/>
                      </a:xfrm>
                    </wpg:grpSpPr>
                    <wps:wsp>
                      <wps:cNvPr id="5" name="任意多边形 109"/>
                      <wps:cNvSpPr/>
                      <wps:spPr>
                        <a:xfrm>
                          <a:off x="2244" y="152"/>
                          <a:ext cx="33" cy="33"/>
                        </a:xfrm>
                        <a:custGeom>
                          <a:avLst/>
                          <a:gdLst/>
                          <a:ahLst/>
                          <a:cxnLst/>
                          <a:rect l="0" t="0" r="0" b="0"/>
                          <a:pathLst>
                            <a:path w="33" h="33">
                              <a:moveTo>
                                <a:pt x="32" y="17"/>
                              </a:moveTo>
                              <a:lnTo>
                                <a:pt x="32" y="8"/>
                              </a:lnTo>
                              <a:lnTo>
                                <a:pt x="25" y="0"/>
                              </a:lnTo>
                              <a:lnTo>
                                <a:pt x="16" y="0"/>
                              </a:lnTo>
                              <a:lnTo>
                                <a:pt x="7" y="0"/>
                              </a:lnTo>
                              <a:lnTo>
                                <a:pt x="0" y="8"/>
                              </a:lnTo>
                              <a:lnTo>
                                <a:pt x="0" y="17"/>
                              </a:lnTo>
                              <a:lnTo>
                                <a:pt x="0" y="26"/>
                              </a:lnTo>
                              <a:lnTo>
                                <a:pt x="7" y="33"/>
                              </a:lnTo>
                              <a:lnTo>
                                <a:pt x="16" y="33"/>
                              </a:lnTo>
                              <a:lnTo>
                                <a:pt x="25" y="33"/>
                              </a:lnTo>
                              <a:lnTo>
                                <a:pt x="32" y="26"/>
                              </a:lnTo>
                              <a:lnTo>
                                <a:pt x="32" y="17"/>
                              </a:lnTo>
                              <a:close/>
                            </a:path>
                          </a:pathLst>
                        </a:custGeom>
                        <a:noFill/>
                        <a:ln w="9525" cap="flat" cmpd="sng">
                          <a:solidFill>
                            <a:srgbClr val="000000"/>
                          </a:solidFill>
                          <a:prstDash val="solid"/>
                          <a:headEnd type="none" w="med" len="med"/>
                          <a:tailEnd type="none" w="med" len="med"/>
                        </a:ln>
                      </wps:spPr>
                      <wps:bodyPr upright="1"/>
                    </wps:wsp>
                    <wps:wsp>
                      <wps:cNvPr id="6" name="直接连接符 110"/>
                      <wps:cNvCnPr/>
                      <wps:spPr>
                        <a:xfrm>
                          <a:off x="2244" y="169"/>
                          <a:ext cx="33" cy="0"/>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11" o:spid="_x0000_s1026" o:spt="203" style="position:absolute;left:0pt;margin-left:112.15pt;margin-top:7.6pt;height:1.65pt;width:1.7pt;mso-position-horizontal-relative:page;mso-position-vertical-relative:page;z-index:-251654144;mso-width-relative:page;mso-height-relative:page;" coordorigin="2244,152" coordsize="33,33" o:gfxdata="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IftVWdkAAAAJAQAADwAAAAAAAAABACAAAAAiAAAAZHJzL2Rvd25yZXYueG1s&#10;UEsBAhQAFAAAAAgAh07iQN93UCtNAwAAdAkAAA4AAAAAAAAAAQAgAAAAKAEAAGRycy9lMm9Eb2Mu&#10;eG1sUEsFBgAAAAAGAAYAWQEAAOcGAAAAAA==&#10;">
              <o:lock v:ext="edit" aspectratio="f"/>
              <v:shape id="任意多边形 109" o:spid="_x0000_s1026" o:spt="100" style="position:absolute;left:2244;top:152;height:33;width:33;" filled="f" stroked="t" coordsize="33,33" o:gfxdata="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FV68AAAA&#10;2gAAAA8AAAAAAAAAAQAgAAAAIgAAAGRycy9kb3ducmV2LnhtbFBLAQIUABQAAAAIAIdO4kAzLwWe&#10;OwAAADkAAAAQAAAAAAAAAAEAIAAAAAsBAABkcnMvc2hhcGV4bWwueG1sUEsFBgAAAAAGAAYAWwEA&#10;ALUDAAAAAA==&#10;" path="m32,17l32,8,25,0,16,0,7,0,0,8,0,17,0,26,7,33,16,33,25,33,32,26,32,17xe">
                <v:fill on="f" focussize="0,0"/>
                <v:stroke color="#000000" joinstyle="round"/>
                <v:imagedata o:title=""/>
                <o:lock v:ext="edit" aspectratio="f"/>
              </v:shape>
              <v:line id="直接连接符 110" o:spid="_x0000_s1026" o:spt="20" style="position:absolute;left:2244;top:169;height:0;width:33;"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3360" behindDoc="1" locked="0" layoutInCell="1" allowOverlap="1">
              <wp:simplePos x="0" y="0"/>
              <wp:positionH relativeFrom="page">
                <wp:posOffset>444500</wp:posOffset>
              </wp:positionH>
              <wp:positionV relativeFrom="page">
                <wp:posOffset>335280</wp:posOffset>
              </wp:positionV>
              <wp:extent cx="533400" cy="170815"/>
              <wp:effectExtent l="0" t="0" r="0" b="0"/>
              <wp:wrapNone/>
              <wp:docPr id="8" name="文本框 113"/>
              <wp:cNvGraphicFramePr/>
              <a:graphic xmlns:a="http://schemas.openxmlformats.org/drawingml/2006/main">
                <a:graphicData uri="http://schemas.microsoft.com/office/word/2010/wordprocessingShape">
                  <wps:wsp>
                    <wps:cNvSpPr/>
                    <wps:spPr>
                      <a:xfrm>
                        <a:off x="0" y="0"/>
                        <a:ext cx="533400" cy="170815"/>
                      </a:xfrm>
                      <a:prstGeom prst="rect">
                        <a:avLst/>
                      </a:prstGeom>
                      <a:noFill/>
                      <a:ln>
                        <a:noFill/>
                      </a:ln>
                    </wps:spPr>
                    <wps:txbx>
                      <w:txbxContent>
                        <w:p w14:paraId="501B1D56">
                          <w:pPr>
                            <w:pStyle w:val="3"/>
                            <w:spacing w:line="248" w:lineRule="exact"/>
                          </w:pPr>
                        </w:p>
                      </w:txbxContent>
                    </wps:txbx>
                    <wps:bodyPr lIns="0" tIns="0" rIns="0" bIns="0" upright="1"/>
                  </wps:wsp>
                </a:graphicData>
              </a:graphic>
            </wp:anchor>
          </w:drawing>
        </mc:Choice>
        <mc:Fallback>
          <w:pict>
            <v:rect id="文本框 113" o:spid="_x0000_s1026" o:spt="1" style="position:absolute;left:0pt;margin-left:35pt;margin-top:26.4pt;height:13.45pt;width:42pt;mso-position-horizontal-relative:page;mso-position-vertical-relative:page;z-index:-251653120;mso-width-relative:page;mso-height-relative:page;" filled="f" stroked="f" coordsize="21600,21600" o:gfxdata="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Pm42AAAAAgBAAAPAAAAAAAAAAEAIAAAACIAAABkcnMvZG93bnJldi54bWxQSwECFAAUAAAA&#10;CACHTuJAII5UHLUBAABpAwAADgAAAAAAAAABACAAAAAnAQAAZHJzL2Uyb0RvYy54bWxQSwUGAAAA&#10;AAYABgBZAQAATgUAAAAA&#10;">
              <v:fill on="f" focussize="0,0"/>
              <v:stroke on="f"/>
              <v:imagedata o:title=""/>
              <o:lock v:ext="edit" aspectratio="f"/>
              <v:textbox inset="0mm,0mm,0mm,0mm">
                <w:txbxContent>
                  <w:p w14:paraId="501B1D56">
                    <w:pPr>
                      <w:pStyle w:val="3"/>
                      <w:spacing w:line="248" w:lineRule="exact"/>
                    </w:pP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8EFC">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1C24">
    <w:pPr>
      <w:pStyle w:val="8"/>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0CCA">
    <w:pPr>
      <w:pStyle w:val="8"/>
      <w:pBdr>
        <w:bottom w:val="none" w:color="auto" w:sz="0" w:space="1"/>
      </w:pBdr>
      <w:ind w:firstLine="105" w:firstLineChars="50"/>
      <w:jc w:val="left"/>
      <w:rPr>
        <w:rStyle w:val="22"/>
        <w:rFonts w:ascii="华文楷体" w:hAnsi="华文楷体" w:eastAsia="华文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CABB6"/>
    <w:multiLevelType w:val="singleLevel"/>
    <w:tmpl w:val="BF1CABB6"/>
    <w:lvl w:ilvl="0" w:tentative="0">
      <w:start w:val="1"/>
      <w:numFmt w:val="decimal"/>
      <w:suff w:val="nothing"/>
      <w:lvlText w:val="%1、"/>
      <w:lvlJc w:val="left"/>
    </w:lvl>
  </w:abstractNum>
  <w:abstractNum w:abstractNumId="1">
    <w:nsid w:val="13C5FC44"/>
    <w:multiLevelType w:val="singleLevel"/>
    <w:tmpl w:val="13C5FC44"/>
    <w:lvl w:ilvl="0" w:tentative="0">
      <w:start w:val="1"/>
      <w:numFmt w:val="decimal"/>
      <w:suff w:val="nothing"/>
      <w:lvlText w:val="%1）"/>
      <w:lvlJc w:val="left"/>
      <w:rPr>
        <w:rFonts w:hint="default"/>
        <w:b/>
        <w:bCs/>
      </w:rPr>
    </w:lvl>
  </w:abstractNum>
  <w:abstractNum w:abstractNumId="2">
    <w:nsid w:val="20100C8A"/>
    <w:multiLevelType w:val="singleLevel"/>
    <w:tmpl w:val="20100C8A"/>
    <w:lvl w:ilvl="0" w:tentative="0">
      <w:start w:val="2"/>
      <w:numFmt w:val="decimal"/>
      <w:suff w:val="nothing"/>
      <w:lvlText w:val="%1、"/>
      <w:lvlJc w:val="left"/>
      <w:pPr>
        <w:ind w:left="120" w:firstLine="0"/>
      </w:pPr>
    </w:lvl>
  </w:abstractNum>
  <w:abstractNum w:abstractNumId="3">
    <w:nsid w:val="29861750"/>
    <w:multiLevelType w:val="singleLevel"/>
    <w:tmpl w:val="29861750"/>
    <w:lvl w:ilvl="0" w:tentative="0">
      <w:start w:val="1"/>
      <w:numFmt w:val="decimal"/>
      <w:suff w:val="nothing"/>
      <w:lvlText w:val="（%1）"/>
      <w:lvlJc w:val="left"/>
    </w:lvl>
  </w:abstractNum>
  <w:abstractNum w:abstractNumId="4">
    <w:nsid w:val="2B817840"/>
    <w:multiLevelType w:val="singleLevel"/>
    <w:tmpl w:val="2B817840"/>
    <w:lvl w:ilvl="0" w:tentative="0">
      <w:start w:val="1"/>
      <w:numFmt w:val="decimal"/>
      <w:suff w:val="nothing"/>
      <w:lvlText w:val="（%1）"/>
      <w:lvlJc w:val="left"/>
    </w:lvl>
  </w:abstractNum>
  <w:abstractNum w:abstractNumId="5">
    <w:nsid w:val="531E8DCD"/>
    <w:multiLevelType w:val="singleLevel"/>
    <w:tmpl w:val="531E8DCD"/>
    <w:lvl w:ilvl="0" w:tentative="0">
      <w:start w:val="6"/>
      <w:numFmt w:val="decimal"/>
      <w:suff w:val="nothing"/>
      <w:lvlText w:val="（%1）"/>
      <w:lvlJc w:val="left"/>
    </w:lvl>
  </w:abstractNum>
  <w:abstractNum w:abstractNumId="6">
    <w:nsid w:val="5DAE3407"/>
    <w:multiLevelType w:val="multilevel"/>
    <w:tmpl w:val="5DAE340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FE84AA0"/>
    <w:multiLevelType w:val="singleLevel"/>
    <w:tmpl w:val="5FE84AA0"/>
    <w:lvl w:ilvl="0" w:tentative="0">
      <w:start w:val="3"/>
      <w:numFmt w:val="decimal"/>
      <w:suff w:val="nothing"/>
      <w:lvlText w:val="%1."/>
      <w:lvlJc w:val="left"/>
    </w:lvl>
  </w:abstractNum>
  <w:abstractNum w:abstractNumId="8">
    <w:nsid w:val="633152BE"/>
    <w:multiLevelType w:val="singleLevel"/>
    <w:tmpl w:val="633152BE"/>
    <w:lvl w:ilvl="0" w:tentative="0">
      <w:start w:val="1"/>
      <w:numFmt w:val="decimal"/>
      <w:suff w:val="nothing"/>
      <w:lvlText w:val="(%1)"/>
      <w:lvlJc w:val="left"/>
    </w:lvl>
  </w:abstractNum>
  <w:abstractNum w:abstractNumId="9">
    <w:nsid w:val="63339EE2"/>
    <w:multiLevelType w:val="singleLevel"/>
    <w:tmpl w:val="63339EE2"/>
    <w:lvl w:ilvl="0" w:tentative="0">
      <w:start w:val="1"/>
      <w:numFmt w:val="decimal"/>
      <w:suff w:val="nothing"/>
      <w:lvlText w:val="%1）"/>
      <w:lvlJc w:val="left"/>
    </w:lvl>
  </w:abstractNum>
  <w:num w:numId="1">
    <w:abstractNumId w:val="1"/>
  </w:num>
  <w:num w:numId="2">
    <w:abstractNumId w:val="9"/>
  </w:num>
  <w:num w:numId="3">
    <w:abstractNumId w:val="5"/>
  </w:num>
  <w:num w:numId="4">
    <w:abstractNumId w:val="8"/>
  </w:num>
  <w:num w:numId="5">
    <w:abstractNumId w:val="6"/>
  </w:num>
  <w:num w:numId="6">
    <w:abstractNumId w:val="4"/>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NzUzNDRiMmY4ZmE2ZGQ0NjEyODNhOWJkMTZkOGEifQ=="/>
    <w:docVar w:name="KSO_WPS_MARK_KEY" w:val="e1d0042f-5285-4044-b503-4be5311f78e2"/>
  </w:docVars>
  <w:rsids>
    <w:rsidRoot w:val="0CAD1D32"/>
    <w:rsid w:val="000229F4"/>
    <w:rsid w:val="00070813"/>
    <w:rsid w:val="000A40B0"/>
    <w:rsid w:val="000C7745"/>
    <w:rsid w:val="001B42CD"/>
    <w:rsid w:val="001C6267"/>
    <w:rsid w:val="001D06BD"/>
    <w:rsid w:val="001D68D8"/>
    <w:rsid w:val="00235B0E"/>
    <w:rsid w:val="00254DE7"/>
    <w:rsid w:val="00273443"/>
    <w:rsid w:val="0029776E"/>
    <w:rsid w:val="00304262"/>
    <w:rsid w:val="00390C02"/>
    <w:rsid w:val="003A4F4A"/>
    <w:rsid w:val="003B2A7E"/>
    <w:rsid w:val="003E6097"/>
    <w:rsid w:val="00403BA6"/>
    <w:rsid w:val="004110A7"/>
    <w:rsid w:val="0042699A"/>
    <w:rsid w:val="004773FB"/>
    <w:rsid w:val="00563183"/>
    <w:rsid w:val="0059689C"/>
    <w:rsid w:val="005C59F8"/>
    <w:rsid w:val="005C5D2A"/>
    <w:rsid w:val="006047CD"/>
    <w:rsid w:val="00610081"/>
    <w:rsid w:val="00664709"/>
    <w:rsid w:val="00691716"/>
    <w:rsid w:val="006C11F0"/>
    <w:rsid w:val="006C26F0"/>
    <w:rsid w:val="007B1E50"/>
    <w:rsid w:val="00825A38"/>
    <w:rsid w:val="008B01C6"/>
    <w:rsid w:val="008B30C6"/>
    <w:rsid w:val="0094668A"/>
    <w:rsid w:val="009F5F7F"/>
    <w:rsid w:val="00A57577"/>
    <w:rsid w:val="00A63103"/>
    <w:rsid w:val="00AA6092"/>
    <w:rsid w:val="00AE1B55"/>
    <w:rsid w:val="00B05616"/>
    <w:rsid w:val="00B605A7"/>
    <w:rsid w:val="00B671C1"/>
    <w:rsid w:val="00B85E6C"/>
    <w:rsid w:val="00B969EA"/>
    <w:rsid w:val="00BB043E"/>
    <w:rsid w:val="00BB7F11"/>
    <w:rsid w:val="00BF63F5"/>
    <w:rsid w:val="00C16D6C"/>
    <w:rsid w:val="00C211E5"/>
    <w:rsid w:val="00D12E78"/>
    <w:rsid w:val="00D876FE"/>
    <w:rsid w:val="00DA3A3E"/>
    <w:rsid w:val="00DF3ADF"/>
    <w:rsid w:val="00E4652E"/>
    <w:rsid w:val="00E821AA"/>
    <w:rsid w:val="00EC2B3B"/>
    <w:rsid w:val="00ED17D6"/>
    <w:rsid w:val="00F60BF1"/>
    <w:rsid w:val="00FB2A78"/>
    <w:rsid w:val="02FA082F"/>
    <w:rsid w:val="06271BF8"/>
    <w:rsid w:val="077E76DA"/>
    <w:rsid w:val="0995305F"/>
    <w:rsid w:val="0ADB7197"/>
    <w:rsid w:val="0B4D3BF1"/>
    <w:rsid w:val="0B8C3FEE"/>
    <w:rsid w:val="0CAD1D32"/>
    <w:rsid w:val="0D0F4ED6"/>
    <w:rsid w:val="0EA24254"/>
    <w:rsid w:val="0ECE5049"/>
    <w:rsid w:val="0F1F37F0"/>
    <w:rsid w:val="127557DC"/>
    <w:rsid w:val="13C0517C"/>
    <w:rsid w:val="14B3410C"/>
    <w:rsid w:val="16021A7C"/>
    <w:rsid w:val="16BF796D"/>
    <w:rsid w:val="19185113"/>
    <w:rsid w:val="19EC0A79"/>
    <w:rsid w:val="1B8A054A"/>
    <w:rsid w:val="1E29229C"/>
    <w:rsid w:val="1E2F53D8"/>
    <w:rsid w:val="1F6B68E4"/>
    <w:rsid w:val="206155F1"/>
    <w:rsid w:val="20A83220"/>
    <w:rsid w:val="23F451DA"/>
    <w:rsid w:val="2418246B"/>
    <w:rsid w:val="2437396B"/>
    <w:rsid w:val="26775B6F"/>
    <w:rsid w:val="26993D37"/>
    <w:rsid w:val="2C071743"/>
    <w:rsid w:val="2CD31625"/>
    <w:rsid w:val="2E623FAC"/>
    <w:rsid w:val="2FCC6F2B"/>
    <w:rsid w:val="30EB518F"/>
    <w:rsid w:val="30EE5E45"/>
    <w:rsid w:val="3190301D"/>
    <w:rsid w:val="33370B5F"/>
    <w:rsid w:val="33CF6FEA"/>
    <w:rsid w:val="359A3628"/>
    <w:rsid w:val="36ED7000"/>
    <w:rsid w:val="36F62AE0"/>
    <w:rsid w:val="3D0E0B83"/>
    <w:rsid w:val="3DD976DE"/>
    <w:rsid w:val="429733C9"/>
    <w:rsid w:val="43CA332A"/>
    <w:rsid w:val="43E22422"/>
    <w:rsid w:val="48B03E86"/>
    <w:rsid w:val="4AB56AE2"/>
    <w:rsid w:val="4AE051E1"/>
    <w:rsid w:val="4BC845F3"/>
    <w:rsid w:val="4E0C1BBE"/>
    <w:rsid w:val="4F416B96"/>
    <w:rsid w:val="505B3C87"/>
    <w:rsid w:val="55FD758F"/>
    <w:rsid w:val="568017C2"/>
    <w:rsid w:val="586B583D"/>
    <w:rsid w:val="58CF092A"/>
    <w:rsid w:val="59260BAB"/>
    <w:rsid w:val="5B12588A"/>
    <w:rsid w:val="5B4C6D34"/>
    <w:rsid w:val="5D07484F"/>
    <w:rsid w:val="60502867"/>
    <w:rsid w:val="64393E88"/>
    <w:rsid w:val="6461518D"/>
    <w:rsid w:val="64C339BB"/>
    <w:rsid w:val="66FF3904"/>
    <w:rsid w:val="67BD2577"/>
    <w:rsid w:val="68F465CF"/>
    <w:rsid w:val="693370F8"/>
    <w:rsid w:val="693B3655"/>
    <w:rsid w:val="69A41DA4"/>
    <w:rsid w:val="6AE306AA"/>
    <w:rsid w:val="6B2F1B41"/>
    <w:rsid w:val="702A6470"/>
    <w:rsid w:val="712F49A0"/>
    <w:rsid w:val="741407ED"/>
    <w:rsid w:val="753271E4"/>
    <w:rsid w:val="76D37824"/>
    <w:rsid w:val="7863107C"/>
    <w:rsid w:val="7A564AD6"/>
    <w:rsid w:val="7AA17C39"/>
    <w:rsid w:val="7AD63D87"/>
    <w:rsid w:val="7B5B603A"/>
    <w:rsid w:val="7B8C08E9"/>
    <w:rsid w:val="7BAE6A4A"/>
    <w:rsid w:val="7C284A3F"/>
    <w:rsid w:val="7CEB20C1"/>
    <w:rsid w:val="7E3E236F"/>
    <w:rsid w:val="7E7062A0"/>
    <w:rsid w:val="7E89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spacing w:after="0" w:line="360" w:lineRule="auto"/>
      <w:ind w:firstLine="602" w:firstLineChars="200"/>
    </w:pPr>
    <w:rPr>
      <w:rFonts w:ascii="宋体" w:hAnsi="Calibri"/>
      <w:sz w:val="28"/>
      <w:szCs w:val="28"/>
      <w:lang w:eastAsia="en-US" w:bidi="en-US"/>
    </w:rPr>
  </w:style>
  <w:style w:type="paragraph" w:styleId="3">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Body Text Indent"/>
    <w:basedOn w:val="1"/>
    <w:unhideWhenUsed/>
    <w:qFormat/>
    <w:uiPriority w:val="99"/>
    <w:pPr>
      <w:spacing w:after="120"/>
      <w:ind w:left="420" w:leftChars="200"/>
    </w:pPr>
  </w:style>
  <w:style w:type="paragraph" w:styleId="5">
    <w:name w:val="Plain Text"/>
    <w:basedOn w:val="1"/>
    <w:next w:val="1"/>
    <w:qFormat/>
    <w:uiPriority w:val="0"/>
    <w:rPr>
      <w:rFonts w:hint="eastAsia" w:ascii="宋体" w:hAnsi="Calibri"/>
      <w:szCs w:val="20"/>
    </w:rPr>
  </w:style>
  <w:style w:type="paragraph" w:styleId="6">
    <w:name w:val="Body Text Indent 2"/>
    <w:basedOn w:val="1"/>
    <w:qFormat/>
    <w:uiPriority w:val="0"/>
    <w:pPr>
      <w:spacing w:line="520" w:lineRule="exact"/>
      <w:ind w:left="181" w:firstLine="239"/>
    </w:pPr>
    <w:rPr>
      <w:rFonts w:ascii="仿宋_GB2312" w:eastAsia="仿宋_GB2312"/>
      <w:sz w:val="28"/>
      <w:szCs w:val="28"/>
      <w:lang w:val="zh-CN"/>
    </w:rPr>
  </w:style>
  <w:style w:type="paragraph" w:styleId="7">
    <w:name w:val="footer"/>
    <w:basedOn w:val="1"/>
    <w:unhideWhenUsed/>
    <w:qFormat/>
    <w:uiPriority w:val="0"/>
    <w:pPr>
      <w:tabs>
        <w:tab w:val="center" w:pos="4153"/>
        <w:tab w:val="right" w:pos="8306"/>
      </w:tabs>
    </w:pPr>
    <w:rPr>
      <w:sz w:val="18"/>
      <w:szCs w:val="18"/>
    </w:rPr>
  </w:style>
  <w:style w:type="paragraph" w:styleId="8">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style>
  <w:style w:type="paragraph" w:styleId="10">
    <w:name w:val="toc 2"/>
    <w:basedOn w:val="1"/>
    <w:next w:val="1"/>
    <w:qFormat/>
    <w:uiPriority w:val="39"/>
    <w:pPr>
      <w:widowControl w:val="0"/>
      <w:autoSpaceDE w:val="0"/>
      <w:autoSpaceDN w:val="0"/>
      <w:adjustRightInd/>
      <w:snapToGrid/>
      <w:spacing w:after="0"/>
      <w:ind w:left="210"/>
    </w:pPr>
    <w:rPr>
      <w:rFonts w:ascii="宋体" w:hAnsi="宋体" w:eastAsia="宋体" w:cs="宋体"/>
      <w:smallCaps/>
      <w:sz w:val="20"/>
      <w:lang w:val="zh-CN" w:bidi="zh-CN"/>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1"/>
    <w:next w:val="13"/>
    <w:qFormat/>
    <w:uiPriority w:val="0"/>
    <w:pPr>
      <w:spacing w:line="567" w:lineRule="exact"/>
      <w:ind w:firstLine="567"/>
    </w:pPr>
  </w:style>
  <w:style w:type="paragraph" w:customStyle="1" w:styleId="13">
    <w:name w:val="段落正文"/>
    <w:qFormat/>
    <w:uiPriority w:val="0"/>
    <w:pPr>
      <w:widowControl w:val="0"/>
      <w:spacing w:beforeLines="50" w:line="360" w:lineRule="auto"/>
      <w:ind w:firstLine="200" w:firstLineChars="200"/>
      <w:jc w:val="both"/>
    </w:pPr>
    <w:rPr>
      <w:rFonts w:asciiTheme="minorHAnsi" w:hAnsiTheme="minorHAnsi" w:eastAsiaTheme="minorEastAsia" w:cstheme="minorBidi"/>
      <w:spacing w:val="2"/>
      <w:kern w:val="2"/>
      <w:sz w:val="24"/>
      <w:lang w:val="en-US" w:eastAsia="zh-CN" w:bidi="ar-SA"/>
    </w:rPr>
  </w:style>
  <w:style w:type="paragraph" w:styleId="14">
    <w:name w:val="Body Text First Indent 2"/>
    <w:basedOn w:val="4"/>
    <w:unhideWhenUsed/>
    <w:qFormat/>
    <w:uiPriority w:val="99"/>
    <w:pPr>
      <w:ind w:firstLine="420" w:firstLineChars="200"/>
    </w:pPr>
  </w:style>
  <w:style w:type="character" w:styleId="17">
    <w:name w:val="Hyperlink"/>
    <w:basedOn w:val="16"/>
    <w:unhideWhenUsed/>
    <w:qFormat/>
    <w:uiPriority w:val="99"/>
    <w:rPr>
      <w:color w:val="0026E5" w:themeColor="hyperlink"/>
      <w:u w:val="single"/>
      <w14:textFill>
        <w14:solidFill>
          <w14:schemeClr w14:val="hlink"/>
        </w14:solidFill>
      </w14:textFill>
    </w:rPr>
  </w:style>
  <w:style w:type="paragraph" w:customStyle="1" w:styleId="18">
    <w:name w:val="Char"/>
    <w:basedOn w:val="1"/>
    <w:qFormat/>
    <w:uiPriority w:val="0"/>
    <w:pPr>
      <w:widowControl w:val="0"/>
      <w:adjustRightInd/>
    </w:pPr>
    <w:rPr>
      <w:rFonts w:ascii="仿宋_GB2312" w:hAnsi="Times New Roman" w:eastAsia="仿宋_GB2312" w:cs="Times New Roman"/>
      <w:b/>
      <w:kern w:val="2"/>
      <w:sz w:val="32"/>
      <w:szCs w:val="32"/>
    </w:rPr>
  </w:style>
  <w:style w:type="paragraph" w:customStyle="1" w:styleId="19">
    <w:name w:val="Table Paragraph"/>
    <w:basedOn w:val="1"/>
    <w:qFormat/>
    <w:uiPriority w:val="1"/>
    <w:pPr>
      <w:autoSpaceDE w:val="0"/>
      <w:autoSpaceDN w:val="0"/>
    </w:pPr>
    <w:rPr>
      <w:rFonts w:ascii="宋体" w:hAnsi="宋体" w:cs="宋体"/>
      <w:lang w:val="zh-CN" w:bidi="zh-CN"/>
    </w:rPr>
  </w:style>
  <w:style w:type="character" w:customStyle="1" w:styleId="20">
    <w:name w:val="标题 1 Char1"/>
    <w:qFormat/>
    <w:uiPriority w:val="0"/>
    <w:rPr>
      <w:rFonts w:ascii="Times New Roman" w:hAnsi="Times New Roman" w:eastAsia="宋体" w:cs="Times New Roman"/>
      <w:b/>
      <w:bCs/>
      <w:kern w:val="44"/>
      <w:sz w:val="32"/>
      <w:szCs w:val="44"/>
    </w:rPr>
  </w:style>
  <w:style w:type="paragraph" w:customStyle="1" w:styleId="21">
    <w:name w:val="Table Text"/>
    <w:basedOn w:val="1"/>
    <w:semiHidden/>
    <w:qFormat/>
    <w:uiPriority w:val="0"/>
    <w:rPr>
      <w:rFonts w:ascii="宋体" w:hAnsi="宋体" w:eastAsia="宋体" w:cs="宋体"/>
      <w:sz w:val="28"/>
      <w:szCs w:val="28"/>
      <w:lang w:eastAsia="en-US"/>
    </w:rPr>
  </w:style>
  <w:style w:type="character" w:customStyle="1" w:styleId="22">
    <w:name w:val="NormalCharacter"/>
    <w:semiHidden/>
    <w:qFormat/>
    <w:uiPriority w:val="0"/>
  </w:style>
  <w:style w:type="paragraph" w:customStyle="1" w:styleId="23">
    <w:name w:val="样式 宋体 小四1 Char"/>
    <w:basedOn w:val="1"/>
    <w:qFormat/>
    <w:uiPriority w:val="0"/>
    <w:pPr>
      <w:spacing w:before="100" w:beforeAutospacing="1" w:after="100" w:afterAutospacing="1" w:line="300" w:lineRule="auto"/>
    </w:pPr>
    <w:rPr>
      <w:rFonts w:ascii="宋体" w:hAnsi="宋体" w:eastAsia="宋体" w:cs="Times New Roman"/>
      <w:szCs w:val="21"/>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首行缩进"/>
    <w:basedOn w:val="1"/>
    <w:qFormat/>
    <w:uiPriority w:val="99"/>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37494</Words>
  <Characters>39127</Characters>
  <Lines>321</Lines>
  <Paragraphs>90</Paragraphs>
  <TotalTime>16</TotalTime>
  <ScaleCrop>false</ScaleCrop>
  <LinksUpToDate>false</LinksUpToDate>
  <CharactersWithSpaces>40567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2024-10-12T04:13:00Z</dcterms:created>
  <dc:creator>心  聲</dc:creator>
  <cp:lastModifiedBy>不要香菜</cp:lastModifiedBy>
  <dcterms:modified xsi:type="dcterms:W3CDTF">2024-10-12T07:18:57Z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3B29CD1E14884B6D859C86946FBB5C3E_11</vt:lpwstr>
  </property>
</Properties>
</file>