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color w:val="auto"/>
        </w:rPr>
      </w:pPr>
    </w:p>
    <w:p>
      <w:pPr>
        <w:pStyle w:val="26"/>
        <w:rPr>
          <w:color w:val="auto"/>
        </w:rPr>
      </w:pPr>
    </w:p>
    <w:p>
      <w:pPr>
        <w:pStyle w:val="26"/>
        <w:jc w:val="center"/>
        <w:rPr>
          <w:rFonts w:hint="eastAsia" w:ascii="宋体" w:hAnsi="宋体" w:eastAsia="宋体" w:cs="宋体"/>
          <w:b/>
          <w:bCs/>
          <w:color w:val="auto"/>
          <w:kern w:val="0"/>
          <w:sz w:val="36"/>
          <w:szCs w:val="36"/>
          <w:u w:val="none"/>
          <w:lang w:val="en-US" w:eastAsia="zh-CN" w:bidi="ar"/>
        </w:rPr>
      </w:pPr>
    </w:p>
    <w:p>
      <w:pPr>
        <w:pStyle w:val="26"/>
        <w:jc w:val="center"/>
        <w:rPr>
          <w:rFonts w:hint="eastAsia" w:ascii="仿宋" w:hAnsi="仿宋" w:eastAsia="仿宋" w:cs="仿宋"/>
          <w:b/>
          <w:color w:val="auto"/>
          <w:spacing w:val="8"/>
          <w:sz w:val="36"/>
          <w:szCs w:val="36"/>
        </w:rPr>
      </w:pPr>
      <w:r>
        <w:rPr>
          <w:rFonts w:hint="eastAsia" w:ascii="仿宋" w:hAnsi="仿宋" w:eastAsia="仿宋" w:cs="仿宋"/>
          <w:b/>
          <w:bCs/>
          <w:color w:val="auto"/>
          <w:kern w:val="0"/>
          <w:sz w:val="36"/>
          <w:szCs w:val="36"/>
          <w:u w:val="none"/>
          <w:lang w:val="en-US" w:eastAsia="zh-CN" w:bidi="ar"/>
        </w:rPr>
        <w:t>定西市融媒体中心《定西日报》印刷服务采购项目</w:t>
      </w:r>
    </w:p>
    <w:p>
      <w:pPr>
        <w:pStyle w:val="26"/>
        <w:rPr>
          <w:rFonts w:hint="eastAsia" w:ascii="仿宋" w:hAnsi="仿宋" w:eastAsia="仿宋" w:cs="仿宋"/>
          <w:b/>
          <w:color w:val="auto"/>
          <w:spacing w:val="8"/>
          <w:sz w:val="40"/>
          <w:szCs w:val="40"/>
        </w:rPr>
      </w:pPr>
    </w:p>
    <w:p>
      <w:pPr>
        <w:pStyle w:val="26"/>
        <w:rPr>
          <w:rFonts w:hint="eastAsia" w:ascii="仿宋" w:hAnsi="仿宋" w:eastAsia="仿宋" w:cs="仿宋"/>
          <w:b/>
          <w:color w:val="auto"/>
          <w:spacing w:val="8"/>
          <w:sz w:val="40"/>
          <w:szCs w:val="40"/>
        </w:rPr>
      </w:pPr>
    </w:p>
    <w:p>
      <w:pPr>
        <w:pStyle w:val="26"/>
        <w:rPr>
          <w:rFonts w:hint="eastAsia" w:ascii="仿宋" w:hAnsi="仿宋" w:eastAsia="仿宋" w:cs="仿宋"/>
          <w:b/>
          <w:color w:val="auto"/>
          <w:spacing w:val="8"/>
          <w:sz w:val="40"/>
          <w:szCs w:val="40"/>
        </w:rPr>
      </w:pPr>
    </w:p>
    <w:p>
      <w:pPr>
        <w:pStyle w:val="26"/>
        <w:rPr>
          <w:rFonts w:hint="eastAsia" w:ascii="仿宋" w:hAnsi="仿宋" w:eastAsia="仿宋" w:cs="仿宋"/>
          <w:b/>
          <w:color w:val="auto"/>
          <w:spacing w:val="8"/>
          <w:sz w:val="40"/>
          <w:szCs w:val="40"/>
        </w:rPr>
      </w:pPr>
    </w:p>
    <w:p>
      <w:pPr>
        <w:jc w:val="center"/>
        <w:rPr>
          <w:rFonts w:hint="eastAsia" w:ascii="仿宋" w:hAnsi="仿宋" w:eastAsia="仿宋" w:cs="仿宋"/>
          <w:b/>
          <w:color w:val="auto"/>
          <w:spacing w:val="8"/>
          <w:sz w:val="72"/>
          <w:szCs w:val="96"/>
        </w:rPr>
      </w:pPr>
    </w:p>
    <w:p>
      <w:pPr>
        <w:jc w:val="center"/>
        <w:rPr>
          <w:rFonts w:hint="eastAsia" w:ascii="仿宋" w:hAnsi="仿宋" w:eastAsia="仿宋" w:cs="仿宋"/>
          <w:b/>
          <w:color w:val="auto"/>
          <w:spacing w:val="8"/>
          <w:sz w:val="96"/>
          <w:szCs w:val="120"/>
        </w:rPr>
      </w:pPr>
      <w:r>
        <w:rPr>
          <w:rFonts w:hint="eastAsia" w:ascii="仿宋" w:hAnsi="仿宋" w:eastAsia="仿宋" w:cs="仿宋"/>
          <w:b/>
          <w:color w:val="auto"/>
          <w:spacing w:val="8"/>
          <w:sz w:val="72"/>
          <w:szCs w:val="96"/>
        </w:rPr>
        <w:t>招 标 文 件</w:t>
      </w:r>
    </w:p>
    <w:p>
      <w:pPr>
        <w:tabs>
          <w:tab w:val="left" w:pos="420"/>
        </w:tabs>
        <w:spacing w:line="500" w:lineRule="exact"/>
        <w:ind w:firstLine="2327" w:firstLineChars="690"/>
        <w:rPr>
          <w:rFonts w:hint="eastAsia" w:ascii="仿宋" w:hAnsi="仿宋" w:eastAsia="仿宋" w:cs="仿宋"/>
          <w:color w:val="auto"/>
          <w:sz w:val="28"/>
          <w:szCs w:val="28"/>
          <w:lang w:val="en-US" w:eastAsia="zh-CN"/>
        </w:rPr>
      </w:pPr>
      <w:r>
        <w:rPr>
          <w:rFonts w:hint="eastAsia" w:ascii="仿宋" w:hAnsi="仿宋" w:eastAsia="仿宋" w:cs="仿宋"/>
          <w:b/>
          <w:color w:val="auto"/>
          <w:spacing w:val="8"/>
          <w:sz w:val="32"/>
          <w:szCs w:val="32"/>
        </w:rPr>
        <w:t>招标编号：</w:t>
      </w:r>
      <w:r>
        <w:rPr>
          <w:rFonts w:hint="eastAsia" w:ascii="仿宋" w:hAnsi="仿宋" w:eastAsia="仿宋" w:cs="仿宋"/>
          <w:b/>
          <w:color w:val="auto"/>
          <w:sz w:val="32"/>
          <w:szCs w:val="32"/>
        </w:rPr>
        <w:t>DXZC2023-</w:t>
      </w:r>
      <w:r>
        <w:rPr>
          <w:rFonts w:hint="eastAsia" w:ascii="仿宋" w:hAnsi="仿宋" w:eastAsia="仿宋" w:cs="仿宋"/>
          <w:b/>
          <w:color w:val="auto"/>
          <w:sz w:val="32"/>
          <w:szCs w:val="32"/>
          <w:lang w:val="en-US" w:eastAsia="zh-CN"/>
        </w:rPr>
        <w:t>12</w:t>
      </w:r>
    </w:p>
    <w:p>
      <w:pPr>
        <w:jc w:val="center"/>
        <w:rPr>
          <w:rFonts w:hint="eastAsia" w:ascii="仿宋" w:hAnsi="仿宋" w:eastAsia="仿宋" w:cs="仿宋"/>
          <w:b/>
          <w:color w:val="auto"/>
          <w:spacing w:val="8"/>
          <w:sz w:val="96"/>
          <w:szCs w:val="120"/>
          <w:lang w:eastAsia="zh-CN"/>
        </w:rPr>
      </w:pPr>
    </w:p>
    <w:p>
      <w:pPr>
        <w:spacing w:line="500" w:lineRule="exact"/>
        <w:jc w:val="center"/>
        <w:rPr>
          <w:rFonts w:hint="eastAsia" w:ascii="仿宋" w:hAnsi="仿宋" w:eastAsia="仿宋" w:cs="仿宋"/>
          <w:b/>
          <w:color w:val="auto"/>
          <w:spacing w:val="8"/>
          <w:sz w:val="36"/>
          <w:szCs w:val="36"/>
        </w:rPr>
      </w:pPr>
    </w:p>
    <w:p>
      <w:pPr>
        <w:spacing w:line="500" w:lineRule="exact"/>
        <w:jc w:val="center"/>
        <w:rPr>
          <w:rFonts w:hint="eastAsia" w:ascii="仿宋" w:hAnsi="仿宋" w:eastAsia="仿宋" w:cs="仿宋"/>
          <w:b/>
          <w:color w:val="auto"/>
          <w:spacing w:val="8"/>
          <w:sz w:val="36"/>
          <w:szCs w:val="36"/>
        </w:rPr>
      </w:pPr>
    </w:p>
    <w:p>
      <w:pPr>
        <w:spacing w:line="500" w:lineRule="exact"/>
        <w:jc w:val="center"/>
        <w:rPr>
          <w:rFonts w:hint="eastAsia" w:ascii="仿宋" w:hAnsi="仿宋" w:eastAsia="仿宋" w:cs="仿宋"/>
          <w:b/>
          <w:color w:val="auto"/>
          <w:spacing w:val="8"/>
          <w:szCs w:val="21"/>
        </w:rPr>
      </w:pPr>
    </w:p>
    <w:p>
      <w:pPr>
        <w:pStyle w:val="26"/>
        <w:rPr>
          <w:rFonts w:hint="eastAsia" w:ascii="仿宋" w:hAnsi="仿宋" w:eastAsia="仿宋" w:cs="仿宋"/>
          <w:b/>
          <w:color w:val="auto"/>
          <w:spacing w:val="8"/>
          <w:sz w:val="36"/>
          <w:szCs w:val="36"/>
        </w:rPr>
      </w:pPr>
    </w:p>
    <w:p>
      <w:pPr>
        <w:tabs>
          <w:tab w:val="left" w:pos="3159"/>
        </w:tabs>
        <w:adjustRightInd w:val="0"/>
        <w:spacing w:line="500" w:lineRule="exact"/>
        <w:ind w:firstLine="1012" w:firstLineChars="300"/>
        <w:jc w:val="both"/>
        <w:rPr>
          <w:rFonts w:hint="eastAsia" w:ascii="仿宋" w:hAnsi="仿宋" w:eastAsia="仿宋" w:cs="仿宋"/>
          <w:b/>
          <w:color w:val="auto"/>
          <w:spacing w:val="8"/>
          <w:sz w:val="32"/>
          <w:szCs w:val="32"/>
        </w:rPr>
      </w:pPr>
    </w:p>
    <w:p>
      <w:pPr>
        <w:tabs>
          <w:tab w:val="left" w:pos="3159"/>
        </w:tabs>
        <w:adjustRightInd w:val="0"/>
        <w:spacing w:line="500" w:lineRule="exact"/>
        <w:ind w:firstLine="1012" w:firstLineChars="300"/>
        <w:jc w:val="both"/>
        <w:rPr>
          <w:rFonts w:hint="eastAsia" w:ascii="仿宋" w:hAnsi="仿宋" w:eastAsia="仿宋" w:cs="仿宋"/>
          <w:b/>
          <w:color w:val="auto"/>
          <w:spacing w:val="8"/>
          <w:sz w:val="32"/>
          <w:szCs w:val="32"/>
        </w:rPr>
      </w:pPr>
    </w:p>
    <w:p>
      <w:pPr>
        <w:tabs>
          <w:tab w:val="left" w:pos="3159"/>
        </w:tabs>
        <w:adjustRightInd w:val="0"/>
        <w:spacing w:line="500" w:lineRule="exact"/>
        <w:ind w:firstLine="1012" w:firstLineChars="300"/>
        <w:jc w:val="both"/>
        <w:rPr>
          <w:rFonts w:hint="eastAsia" w:ascii="仿宋" w:hAnsi="仿宋" w:eastAsia="仿宋" w:cs="仿宋"/>
          <w:b/>
          <w:color w:val="auto"/>
          <w:spacing w:val="8"/>
          <w:sz w:val="32"/>
          <w:szCs w:val="32"/>
        </w:rPr>
      </w:pPr>
    </w:p>
    <w:p>
      <w:pPr>
        <w:tabs>
          <w:tab w:val="left" w:pos="3159"/>
        </w:tabs>
        <w:adjustRightInd w:val="0"/>
        <w:spacing w:line="500" w:lineRule="exact"/>
        <w:ind w:firstLine="1012" w:firstLineChars="300"/>
        <w:jc w:val="both"/>
        <w:rPr>
          <w:rFonts w:hint="eastAsia" w:ascii="仿宋" w:hAnsi="仿宋" w:eastAsia="仿宋" w:cs="仿宋"/>
          <w:b/>
          <w:color w:val="auto"/>
          <w:spacing w:val="8"/>
          <w:sz w:val="32"/>
          <w:szCs w:val="32"/>
          <w:lang w:eastAsia="zh-CN"/>
        </w:rPr>
      </w:pPr>
      <w:r>
        <w:rPr>
          <w:rFonts w:hint="eastAsia" w:ascii="仿宋" w:hAnsi="仿宋" w:eastAsia="仿宋" w:cs="仿宋"/>
          <w:b/>
          <w:color w:val="auto"/>
          <w:spacing w:val="8"/>
          <w:sz w:val="32"/>
          <w:szCs w:val="32"/>
        </w:rPr>
        <w:t>采 购 人：</w:t>
      </w:r>
      <w:r>
        <w:rPr>
          <w:rFonts w:hint="eastAsia" w:ascii="仿宋" w:hAnsi="仿宋" w:eastAsia="仿宋" w:cs="仿宋"/>
          <w:b/>
          <w:color w:val="auto"/>
          <w:spacing w:val="8"/>
          <w:sz w:val="32"/>
          <w:szCs w:val="32"/>
          <w:lang w:eastAsia="zh-CN"/>
        </w:rPr>
        <w:t>定西市融媒体中心</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firstLine="1012" w:firstLineChars="300"/>
        <w:jc w:val="left"/>
        <w:textAlignment w:val="auto"/>
        <w:rPr>
          <w:rFonts w:hint="eastAsia" w:ascii="仿宋" w:hAnsi="仿宋" w:eastAsia="仿宋" w:cs="仿宋"/>
          <w:b/>
          <w:color w:val="auto"/>
          <w:spacing w:val="8"/>
          <w:sz w:val="32"/>
          <w:szCs w:val="32"/>
          <w:lang w:val="en-US" w:eastAsia="zh-CN"/>
        </w:rPr>
      </w:pPr>
      <w:r>
        <w:rPr>
          <w:rFonts w:hint="eastAsia" w:ascii="仿宋" w:hAnsi="仿宋" w:eastAsia="仿宋" w:cs="仿宋"/>
          <w:b/>
          <w:color w:val="auto"/>
          <w:spacing w:val="8"/>
          <w:sz w:val="32"/>
          <w:szCs w:val="32"/>
        </w:rPr>
        <w:t>采购代理机构：</w:t>
      </w:r>
      <w:r>
        <w:rPr>
          <w:rFonts w:hint="eastAsia" w:ascii="仿宋" w:hAnsi="仿宋" w:eastAsia="仿宋" w:cs="仿宋"/>
          <w:b/>
          <w:color w:val="auto"/>
          <w:spacing w:val="8"/>
          <w:sz w:val="32"/>
          <w:szCs w:val="32"/>
          <w:lang w:val="en-US" w:eastAsia="zh-CN"/>
        </w:rPr>
        <w:t>定西市公共资源交易中心</w:t>
      </w:r>
    </w:p>
    <w:p>
      <w:pPr>
        <w:tabs>
          <w:tab w:val="left" w:pos="3159"/>
        </w:tabs>
        <w:adjustRightInd w:val="0"/>
        <w:spacing w:line="500" w:lineRule="exact"/>
        <w:ind w:firstLine="1012" w:firstLineChars="300"/>
        <w:jc w:val="both"/>
        <w:rPr>
          <w:rFonts w:hint="eastAsia" w:ascii="仿宋" w:hAnsi="仿宋" w:eastAsia="仿宋" w:cs="仿宋"/>
          <w:b/>
          <w:color w:val="auto"/>
          <w:spacing w:val="8"/>
          <w:sz w:val="32"/>
          <w:szCs w:val="32"/>
          <w:lang w:val="en-US" w:eastAsia="zh-CN"/>
        </w:rPr>
      </w:pPr>
    </w:p>
    <w:p>
      <w:pPr>
        <w:spacing w:line="500" w:lineRule="exact"/>
        <w:jc w:val="center"/>
        <w:rPr>
          <w:rFonts w:hint="eastAsia" w:ascii="仿宋" w:hAnsi="仿宋" w:eastAsia="仿宋" w:cs="仿宋"/>
          <w:b/>
          <w:color w:val="auto"/>
          <w:spacing w:val="8"/>
          <w:sz w:val="32"/>
          <w:szCs w:val="32"/>
        </w:rPr>
      </w:pPr>
    </w:p>
    <w:p>
      <w:pPr>
        <w:spacing w:line="500" w:lineRule="exact"/>
        <w:jc w:val="center"/>
        <w:rPr>
          <w:rFonts w:hint="eastAsia" w:ascii="仿宋" w:hAnsi="仿宋" w:eastAsia="仿宋" w:cs="仿宋"/>
          <w:b/>
          <w:color w:val="auto"/>
          <w:spacing w:val="8"/>
          <w:sz w:val="32"/>
          <w:szCs w:val="32"/>
        </w:rPr>
      </w:pPr>
      <w:r>
        <w:rPr>
          <w:rFonts w:hint="eastAsia" w:ascii="仿宋" w:hAnsi="仿宋" w:eastAsia="仿宋" w:cs="仿宋"/>
          <w:b/>
          <w:color w:val="auto"/>
          <w:spacing w:val="8"/>
          <w:sz w:val="32"/>
          <w:szCs w:val="32"/>
        </w:rPr>
        <w:t>202</w:t>
      </w:r>
      <w:r>
        <w:rPr>
          <w:rFonts w:hint="eastAsia" w:ascii="仿宋" w:hAnsi="仿宋" w:eastAsia="仿宋" w:cs="仿宋"/>
          <w:b/>
          <w:color w:val="auto"/>
          <w:spacing w:val="8"/>
          <w:sz w:val="32"/>
          <w:szCs w:val="32"/>
          <w:lang w:val="en-US" w:eastAsia="zh-CN"/>
        </w:rPr>
        <w:t>3</w:t>
      </w:r>
      <w:r>
        <w:rPr>
          <w:rFonts w:hint="eastAsia" w:ascii="仿宋" w:hAnsi="仿宋" w:eastAsia="仿宋" w:cs="仿宋"/>
          <w:b/>
          <w:color w:val="auto"/>
          <w:spacing w:val="8"/>
          <w:sz w:val="32"/>
          <w:szCs w:val="32"/>
        </w:rPr>
        <w:t>年</w:t>
      </w:r>
      <w:r>
        <w:rPr>
          <w:rFonts w:hint="eastAsia" w:ascii="仿宋" w:hAnsi="仿宋" w:eastAsia="仿宋" w:cs="仿宋"/>
          <w:b/>
          <w:color w:val="auto"/>
          <w:spacing w:val="8"/>
          <w:sz w:val="32"/>
          <w:szCs w:val="32"/>
          <w:lang w:val="en-US" w:eastAsia="zh-CN"/>
        </w:rPr>
        <w:t>08</w:t>
      </w:r>
      <w:r>
        <w:rPr>
          <w:rFonts w:hint="eastAsia" w:ascii="仿宋" w:hAnsi="仿宋" w:eastAsia="仿宋" w:cs="仿宋"/>
          <w:b/>
          <w:color w:val="auto"/>
          <w:spacing w:val="8"/>
          <w:sz w:val="32"/>
          <w:szCs w:val="32"/>
        </w:rPr>
        <w:t>月</w:t>
      </w:r>
    </w:p>
    <w:p>
      <w:pPr>
        <w:pStyle w:val="26"/>
        <w:jc w:val="both"/>
        <w:rPr>
          <w:rFonts w:hint="eastAsia" w:ascii="仿宋" w:hAnsi="仿宋" w:eastAsia="仿宋" w:cs="仿宋"/>
          <w:color w:val="auto"/>
        </w:rPr>
        <w:sectPr>
          <w:headerReference r:id="rId5" w:type="first"/>
          <w:headerReference r:id="rId3" w:type="default"/>
          <w:footerReference r:id="rId6" w:type="default"/>
          <w:headerReference r:id="rId4" w:type="even"/>
          <w:footerReference r:id="rId7" w:type="even"/>
          <w:pgSz w:w="11907" w:h="16840"/>
          <w:pgMar w:top="1440" w:right="1800" w:bottom="1440" w:left="1800" w:header="851" w:footer="590" w:gutter="0"/>
          <w:pgNumType w:start="0"/>
          <w:cols w:space="720" w:num="1"/>
          <w:titlePg/>
          <w:docGrid w:linePitch="312" w:charSpace="0"/>
        </w:sectPr>
      </w:pPr>
      <w:bookmarkStart w:id="0" w:name="_Toc89058519"/>
      <w:bookmarkStart w:id="1" w:name="_Toc91477240"/>
      <w:bookmarkStart w:id="2" w:name="_Toc89586880"/>
      <w:bookmarkStart w:id="3" w:name="_Toc91029990"/>
    </w:p>
    <w:p>
      <w:pPr>
        <w:pStyle w:val="20"/>
        <w:tabs>
          <w:tab w:val="right" w:leader="dot" w:pos="8505"/>
        </w:tabs>
        <w:jc w:val="center"/>
        <w:rPr>
          <w:rFonts w:ascii="宋体" w:hAnsi="宋体" w:eastAsia="宋体" w:cs="宋体"/>
          <w:bCs w:val="0"/>
          <w:color w:val="auto"/>
          <w:sz w:val="32"/>
          <w:szCs w:val="32"/>
        </w:rPr>
      </w:pPr>
      <w:bookmarkStart w:id="4" w:name="_Toc17137"/>
      <w:r>
        <w:rPr>
          <w:rFonts w:hint="eastAsia" w:ascii="宋体" w:hAnsi="宋体" w:eastAsia="宋体" w:cs="宋体"/>
          <w:bCs w:val="0"/>
          <w:color w:val="auto"/>
          <w:sz w:val="32"/>
          <w:szCs w:val="32"/>
        </w:rPr>
        <w:t>目 录</w:t>
      </w:r>
    </w:p>
    <w:p>
      <w:pPr>
        <w:pStyle w:val="20"/>
        <w:tabs>
          <w:tab w:val="right" w:leader="dot" w:pos="8505"/>
        </w:tabs>
        <w:spacing w:line="360" w:lineRule="auto"/>
        <w:rPr>
          <w:color w:val="auto"/>
          <w:szCs w:val="28"/>
        </w:rPr>
      </w:pPr>
      <w:r>
        <w:rPr>
          <w:rFonts w:hint="eastAsia" w:ascii="宋体" w:hAnsi="宋体" w:eastAsia="宋体" w:cs="宋体"/>
          <w:b w:val="0"/>
          <w:color w:val="auto"/>
          <w:sz w:val="48"/>
          <w:szCs w:val="48"/>
        </w:rPr>
        <w:fldChar w:fldCharType="begin"/>
      </w:r>
      <w:r>
        <w:rPr>
          <w:rFonts w:hint="eastAsia" w:ascii="宋体" w:hAnsi="宋体" w:eastAsia="宋体" w:cs="宋体"/>
          <w:b w:val="0"/>
          <w:color w:val="auto"/>
          <w:sz w:val="48"/>
          <w:szCs w:val="48"/>
        </w:rPr>
        <w:instrText xml:space="preserve">TOC \o "1-2" \h \u </w:instrText>
      </w:r>
      <w:r>
        <w:rPr>
          <w:rFonts w:hint="eastAsia" w:ascii="宋体" w:hAnsi="宋体" w:eastAsia="宋体" w:cs="宋体"/>
          <w:b w:val="0"/>
          <w:color w:val="auto"/>
          <w:sz w:val="48"/>
          <w:szCs w:val="48"/>
        </w:rPr>
        <w:fldChar w:fldCharType="separate"/>
      </w:r>
      <w:r>
        <w:rPr>
          <w:color w:val="auto"/>
        </w:rPr>
        <w:fldChar w:fldCharType="begin"/>
      </w:r>
      <w:r>
        <w:rPr>
          <w:color w:val="auto"/>
        </w:rPr>
        <w:instrText xml:space="preserve"> HYPERLINK \l "_Toc13972" </w:instrText>
      </w:r>
      <w:r>
        <w:rPr>
          <w:color w:val="auto"/>
        </w:rPr>
        <w:fldChar w:fldCharType="separate"/>
      </w:r>
      <w:r>
        <w:rPr>
          <w:rFonts w:hint="eastAsia" w:ascii="宋体" w:hAnsi="宋体" w:eastAsia="宋体" w:cs="宋体"/>
          <w:color w:val="auto"/>
          <w:szCs w:val="28"/>
        </w:rPr>
        <w:t>第一章 招标公告</w:t>
      </w:r>
      <w:r>
        <w:rPr>
          <w:color w:val="auto"/>
          <w:szCs w:val="28"/>
        </w:rPr>
        <w:tab/>
      </w:r>
      <w:r>
        <w:rPr>
          <w:color w:val="auto"/>
          <w:szCs w:val="28"/>
        </w:rPr>
        <w:fldChar w:fldCharType="begin"/>
      </w:r>
      <w:r>
        <w:rPr>
          <w:color w:val="auto"/>
          <w:szCs w:val="28"/>
        </w:rPr>
        <w:instrText xml:space="preserve"> PAGEREF _Toc13972 </w:instrText>
      </w:r>
      <w:r>
        <w:rPr>
          <w:color w:val="auto"/>
          <w:szCs w:val="28"/>
        </w:rPr>
        <w:fldChar w:fldCharType="separate"/>
      </w:r>
      <w:r>
        <w:rPr>
          <w:color w:val="auto"/>
          <w:szCs w:val="28"/>
        </w:rPr>
        <w:t>2</w:t>
      </w:r>
      <w:r>
        <w:rPr>
          <w:color w:val="auto"/>
          <w:szCs w:val="28"/>
        </w:rPr>
        <w:fldChar w:fldCharType="end"/>
      </w:r>
      <w:r>
        <w:rPr>
          <w:color w:val="auto"/>
          <w:szCs w:val="28"/>
        </w:rPr>
        <w:fldChar w:fldCharType="end"/>
      </w:r>
    </w:p>
    <w:p>
      <w:pPr>
        <w:pStyle w:val="20"/>
        <w:tabs>
          <w:tab w:val="right" w:leader="dot" w:pos="8505"/>
        </w:tabs>
        <w:spacing w:line="360" w:lineRule="auto"/>
        <w:rPr>
          <w:color w:val="auto"/>
          <w:szCs w:val="28"/>
        </w:rPr>
      </w:pPr>
      <w:r>
        <w:rPr>
          <w:color w:val="auto"/>
        </w:rPr>
        <w:fldChar w:fldCharType="begin"/>
      </w:r>
      <w:r>
        <w:rPr>
          <w:color w:val="auto"/>
        </w:rPr>
        <w:instrText xml:space="preserve"> HYPERLINK \l "_Toc6300" </w:instrText>
      </w:r>
      <w:r>
        <w:rPr>
          <w:color w:val="auto"/>
        </w:rPr>
        <w:fldChar w:fldCharType="separate"/>
      </w:r>
      <w:r>
        <w:rPr>
          <w:rFonts w:hint="eastAsia" w:ascii="宋体" w:hAnsi="宋体" w:eastAsia="宋体" w:cs="宋体"/>
          <w:color w:val="auto"/>
          <w:szCs w:val="28"/>
        </w:rPr>
        <w:t>第二章 供应商须知</w:t>
      </w:r>
      <w:r>
        <w:rPr>
          <w:color w:val="auto"/>
          <w:szCs w:val="28"/>
        </w:rPr>
        <w:tab/>
      </w:r>
      <w:r>
        <w:rPr>
          <w:color w:val="auto"/>
          <w:szCs w:val="28"/>
        </w:rPr>
        <w:fldChar w:fldCharType="begin"/>
      </w:r>
      <w:r>
        <w:rPr>
          <w:color w:val="auto"/>
          <w:szCs w:val="28"/>
        </w:rPr>
        <w:instrText xml:space="preserve"> PAGEREF _Toc6300 </w:instrText>
      </w:r>
      <w:r>
        <w:rPr>
          <w:color w:val="auto"/>
          <w:szCs w:val="28"/>
        </w:rPr>
        <w:fldChar w:fldCharType="separate"/>
      </w:r>
      <w:r>
        <w:rPr>
          <w:color w:val="auto"/>
          <w:szCs w:val="28"/>
        </w:rPr>
        <w:t>3</w:t>
      </w:r>
      <w:r>
        <w:rPr>
          <w:color w:val="auto"/>
          <w:szCs w:val="28"/>
        </w:rPr>
        <w:fldChar w:fldCharType="end"/>
      </w:r>
      <w:r>
        <w:rPr>
          <w:color w:val="auto"/>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"_Toc28016" </w:instrText>
      </w:r>
      <w:r>
        <w:rPr>
          <w:color w:val="auto"/>
        </w:rPr>
        <w:fldChar w:fldCharType="separate"/>
      </w:r>
      <w:r>
        <w:rPr>
          <w:rFonts w:hint="eastAsia" w:ascii="宋体" w:hAnsi="宋体" w:eastAsia="宋体" w:cs="宋体"/>
          <w:color w:val="auto"/>
          <w:sz w:val="28"/>
          <w:szCs w:val="28"/>
        </w:rPr>
        <w:t>一、 说 明</w:t>
      </w:r>
      <w:r>
        <w:rPr>
          <w:color w:val="auto"/>
          <w:sz w:val="28"/>
          <w:szCs w:val="28"/>
        </w:rPr>
        <w:tab/>
      </w:r>
      <w:r>
        <w:rPr>
          <w:rFonts w:hint="eastAsia"/>
          <w:color w:val="auto"/>
          <w:sz w:val="28"/>
          <w:szCs w:val="28"/>
        </w:rPr>
        <w:t>1</w:t>
      </w:r>
      <w:r>
        <w:rPr>
          <w:rFonts w:hint="eastAsia"/>
          <w:color w:val="auto"/>
          <w:sz w:val="28"/>
          <w:szCs w:val="28"/>
        </w:rPr>
        <w:fldChar w:fldCharType="end"/>
      </w:r>
      <w:r>
        <w:rPr>
          <w:rFonts w:hint="eastAsia"/>
          <w:color w:val="auto"/>
          <w:sz w:val="28"/>
          <w:szCs w:val="28"/>
        </w:rPr>
        <w:t>1</w:t>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"_Toc13153" </w:instrText>
      </w:r>
      <w:r>
        <w:rPr>
          <w:color w:val="auto"/>
        </w:rPr>
        <w:fldChar w:fldCharType="separate"/>
      </w:r>
      <w:r>
        <w:rPr>
          <w:rFonts w:hint="eastAsia" w:ascii="宋体" w:hAnsi="宋体" w:eastAsia="宋体" w:cs="宋体"/>
          <w:color w:val="auto"/>
          <w:sz w:val="28"/>
          <w:szCs w:val="28"/>
        </w:rPr>
        <w:t>二、 招标文件</w:t>
      </w:r>
      <w:r>
        <w:rPr>
          <w:color w:val="auto"/>
          <w:sz w:val="28"/>
          <w:szCs w:val="28"/>
        </w:rPr>
        <w:tab/>
      </w:r>
      <w:r>
        <w:rPr>
          <w:color w:val="auto"/>
          <w:sz w:val="28"/>
          <w:szCs w:val="28"/>
        </w:rPr>
        <w:fldChar w:fldCharType="begin"/>
      </w:r>
      <w:r>
        <w:rPr>
          <w:color w:val="auto"/>
          <w:sz w:val="28"/>
          <w:szCs w:val="28"/>
        </w:rPr>
        <w:instrText xml:space="preserve"> PAGEREF _Toc13153 </w:instrText>
      </w:r>
      <w:r>
        <w:rPr>
          <w:color w:val="auto"/>
          <w:sz w:val="28"/>
          <w:szCs w:val="28"/>
        </w:rPr>
        <w:fldChar w:fldCharType="separate"/>
      </w:r>
      <w:r>
        <w:rPr>
          <w:color w:val="auto"/>
          <w:sz w:val="28"/>
          <w:szCs w:val="28"/>
        </w:rPr>
        <w:t>11</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"_Toc13494" </w:instrText>
      </w:r>
      <w:r>
        <w:rPr>
          <w:color w:val="auto"/>
        </w:rPr>
        <w:fldChar w:fldCharType="separate"/>
      </w:r>
      <w:r>
        <w:rPr>
          <w:rFonts w:hint="eastAsia" w:ascii="宋体" w:hAnsi="宋体" w:eastAsia="宋体" w:cs="宋体"/>
          <w:color w:val="auto"/>
          <w:sz w:val="28"/>
          <w:szCs w:val="28"/>
        </w:rPr>
        <w:t>三、 投标文件的编制</w:t>
      </w:r>
      <w:r>
        <w:rPr>
          <w:color w:val="auto"/>
          <w:sz w:val="28"/>
          <w:szCs w:val="28"/>
        </w:rPr>
        <w:tab/>
      </w:r>
      <w:r>
        <w:rPr>
          <w:color w:val="auto"/>
          <w:sz w:val="28"/>
          <w:szCs w:val="28"/>
        </w:rPr>
        <w:fldChar w:fldCharType="begin"/>
      </w:r>
      <w:r>
        <w:rPr>
          <w:color w:val="auto"/>
          <w:sz w:val="28"/>
          <w:szCs w:val="28"/>
        </w:rPr>
        <w:instrText xml:space="preserve"> PAGEREF _Toc13494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"_Toc26251" </w:instrText>
      </w:r>
      <w:r>
        <w:rPr>
          <w:color w:val="auto"/>
        </w:rPr>
        <w:fldChar w:fldCharType="separate"/>
      </w:r>
      <w:r>
        <w:rPr>
          <w:rFonts w:hint="eastAsia" w:ascii="宋体" w:hAnsi="宋体" w:eastAsia="宋体" w:cs="宋体"/>
          <w:color w:val="auto"/>
          <w:sz w:val="28"/>
          <w:szCs w:val="28"/>
        </w:rPr>
        <w:t>五、 开标、评标</w:t>
      </w:r>
      <w:r>
        <w:rPr>
          <w:color w:val="auto"/>
          <w:sz w:val="28"/>
          <w:szCs w:val="28"/>
        </w:rPr>
        <w:tab/>
      </w:r>
      <w:r>
        <w:rPr>
          <w:color w:val="auto"/>
          <w:sz w:val="28"/>
          <w:szCs w:val="28"/>
        </w:rPr>
        <w:fldChar w:fldCharType="begin"/>
      </w:r>
      <w:r>
        <w:rPr>
          <w:color w:val="auto"/>
          <w:sz w:val="28"/>
          <w:szCs w:val="28"/>
        </w:rPr>
        <w:instrText xml:space="preserve"> PAGEREF _Toc26251 </w:instrText>
      </w:r>
      <w:r>
        <w:rPr>
          <w:color w:val="auto"/>
          <w:sz w:val="28"/>
          <w:szCs w:val="28"/>
        </w:rPr>
        <w:fldChar w:fldCharType="separate"/>
      </w:r>
      <w:r>
        <w:rPr>
          <w:color w:val="auto"/>
          <w:sz w:val="28"/>
          <w:szCs w:val="28"/>
        </w:rPr>
        <w:t>19</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"_Toc27664" </w:instrText>
      </w:r>
      <w:r>
        <w:rPr>
          <w:color w:val="auto"/>
        </w:rPr>
        <w:fldChar w:fldCharType="separate"/>
      </w:r>
      <w:r>
        <w:rPr>
          <w:rFonts w:hint="eastAsia" w:ascii="宋体" w:hAnsi="宋体" w:eastAsia="宋体" w:cs="宋体"/>
          <w:color w:val="auto"/>
          <w:sz w:val="28"/>
          <w:szCs w:val="28"/>
        </w:rPr>
        <w:t>六、 授予合同</w:t>
      </w:r>
      <w:r>
        <w:rPr>
          <w:color w:val="auto"/>
          <w:sz w:val="28"/>
          <w:szCs w:val="28"/>
        </w:rPr>
        <w:tab/>
      </w:r>
      <w:r>
        <w:rPr>
          <w:color w:val="auto"/>
          <w:sz w:val="28"/>
          <w:szCs w:val="28"/>
        </w:rPr>
        <w:fldChar w:fldCharType="begin"/>
      </w:r>
      <w:r>
        <w:rPr>
          <w:color w:val="auto"/>
          <w:sz w:val="28"/>
          <w:szCs w:val="28"/>
        </w:rPr>
        <w:instrText xml:space="preserve"> PAGEREF _Toc27664 </w:instrText>
      </w:r>
      <w:r>
        <w:rPr>
          <w:color w:val="auto"/>
          <w:sz w:val="28"/>
          <w:szCs w:val="28"/>
        </w:rPr>
        <w:fldChar w:fldCharType="separate"/>
      </w:r>
      <w:r>
        <w:rPr>
          <w:color w:val="auto"/>
          <w:sz w:val="28"/>
          <w:szCs w:val="28"/>
        </w:rPr>
        <w:t>21</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"_Toc14563" </w:instrText>
      </w:r>
      <w:r>
        <w:rPr>
          <w:color w:val="auto"/>
        </w:rPr>
        <w:fldChar w:fldCharType="separate"/>
      </w:r>
      <w:r>
        <w:rPr>
          <w:rFonts w:hint="eastAsia" w:ascii="宋体" w:hAnsi="宋体" w:eastAsia="宋体" w:cs="宋体"/>
          <w:color w:val="auto"/>
          <w:sz w:val="28"/>
          <w:szCs w:val="28"/>
        </w:rPr>
        <w:t>七、询问、质疑</w:t>
      </w:r>
      <w:r>
        <w:rPr>
          <w:color w:val="auto"/>
          <w:sz w:val="28"/>
          <w:szCs w:val="28"/>
        </w:rPr>
        <w:tab/>
      </w:r>
      <w:r>
        <w:rPr>
          <w:color w:val="auto"/>
          <w:sz w:val="28"/>
          <w:szCs w:val="28"/>
        </w:rPr>
        <w:fldChar w:fldCharType="begin"/>
      </w:r>
      <w:r>
        <w:rPr>
          <w:color w:val="auto"/>
          <w:sz w:val="28"/>
          <w:szCs w:val="28"/>
        </w:rPr>
        <w:instrText xml:space="preserve"> PAGEREF _Toc14563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"_Toc12276" </w:instrText>
      </w:r>
      <w:r>
        <w:rPr>
          <w:color w:val="auto"/>
        </w:rPr>
        <w:fldChar w:fldCharType="separate"/>
      </w:r>
      <w:r>
        <w:rPr>
          <w:rFonts w:hint="eastAsia" w:ascii="宋体" w:hAnsi="宋体" w:eastAsia="宋体" w:cs="宋体"/>
          <w:color w:val="auto"/>
          <w:sz w:val="28"/>
          <w:szCs w:val="28"/>
        </w:rPr>
        <w:t>八、政府采购政策</w:t>
      </w:r>
      <w:r>
        <w:rPr>
          <w:color w:val="auto"/>
          <w:sz w:val="28"/>
          <w:szCs w:val="28"/>
        </w:rPr>
        <w:tab/>
      </w:r>
      <w:r>
        <w:rPr>
          <w:color w:val="auto"/>
          <w:sz w:val="28"/>
          <w:szCs w:val="28"/>
        </w:rPr>
        <w:fldChar w:fldCharType="begin"/>
      </w:r>
      <w:r>
        <w:rPr>
          <w:color w:val="auto"/>
          <w:sz w:val="28"/>
          <w:szCs w:val="28"/>
        </w:rPr>
        <w:instrText xml:space="preserve"> PAGEREF _Toc12276 </w:instrText>
      </w:r>
      <w:r>
        <w:rPr>
          <w:color w:val="auto"/>
          <w:sz w:val="28"/>
          <w:szCs w:val="28"/>
        </w:rPr>
        <w:fldChar w:fldCharType="separate"/>
      </w:r>
      <w:r>
        <w:rPr>
          <w:color w:val="auto"/>
          <w:sz w:val="28"/>
          <w:szCs w:val="28"/>
        </w:rPr>
        <w:t>26</w:t>
      </w:r>
      <w:r>
        <w:rPr>
          <w:color w:val="auto"/>
          <w:sz w:val="28"/>
          <w:szCs w:val="28"/>
        </w:rPr>
        <w:fldChar w:fldCharType="end"/>
      </w:r>
      <w:r>
        <w:rPr>
          <w:color w:val="auto"/>
          <w:sz w:val="28"/>
          <w:szCs w:val="28"/>
        </w:rPr>
        <w:fldChar w:fldCharType="end"/>
      </w:r>
    </w:p>
    <w:p>
      <w:pPr>
        <w:pStyle w:val="25"/>
        <w:tabs>
          <w:tab w:val="right" w:leader="dot" w:pos="8505"/>
        </w:tabs>
        <w:spacing w:line="360" w:lineRule="auto"/>
        <w:rPr>
          <w:color w:val="auto"/>
          <w:sz w:val="28"/>
          <w:szCs w:val="28"/>
        </w:rPr>
      </w:pPr>
      <w:r>
        <w:rPr>
          <w:color w:val="auto"/>
        </w:rPr>
        <w:fldChar w:fldCharType="begin"/>
      </w:r>
      <w:r>
        <w:rPr>
          <w:color w:val="auto"/>
        </w:rPr>
        <w:instrText xml:space="preserve"> HYPERLINK \l "_Toc4370" </w:instrText>
      </w:r>
      <w:r>
        <w:rPr>
          <w:color w:val="auto"/>
        </w:rPr>
        <w:fldChar w:fldCharType="separate"/>
      </w:r>
      <w:r>
        <w:rPr>
          <w:rFonts w:hint="eastAsia" w:ascii="宋体" w:hAnsi="宋体" w:eastAsia="宋体" w:cs="宋体"/>
          <w:color w:val="auto"/>
          <w:sz w:val="28"/>
          <w:szCs w:val="28"/>
        </w:rPr>
        <w:t>九、投标资料表</w:t>
      </w:r>
      <w:r>
        <w:rPr>
          <w:color w:val="auto"/>
          <w:sz w:val="28"/>
          <w:szCs w:val="28"/>
        </w:rPr>
        <w:tab/>
      </w:r>
      <w:r>
        <w:rPr>
          <w:color w:val="auto"/>
          <w:sz w:val="28"/>
          <w:szCs w:val="28"/>
        </w:rPr>
        <w:fldChar w:fldCharType="begin"/>
      </w:r>
      <w:r>
        <w:rPr>
          <w:color w:val="auto"/>
          <w:sz w:val="28"/>
          <w:szCs w:val="28"/>
        </w:rPr>
        <w:instrText xml:space="preserve"> PAGEREF _Toc4370 </w:instrText>
      </w:r>
      <w:r>
        <w:rPr>
          <w:color w:val="auto"/>
          <w:sz w:val="28"/>
          <w:szCs w:val="28"/>
        </w:rPr>
        <w:fldChar w:fldCharType="separate"/>
      </w:r>
      <w:r>
        <w:rPr>
          <w:color w:val="auto"/>
          <w:sz w:val="28"/>
          <w:szCs w:val="28"/>
        </w:rPr>
        <w:t>30</w:t>
      </w:r>
      <w:r>
        <w:rPr>
          <w:color w:val="auto"/>
          <w:sz w:val="28"/>
          <w:szCs w:val="28"/>
        </w:rPr>
        <w:fldChar w:fldCharType="end"/>
      </w:r>
      <w:r>
        <w:rPr>
          <w:color w:val="auto"/>
          <w:sz w:val="28"/>
          <w:szCs w:val="28"/>
        </w:rPr>
        <w:fldChar w:fldCharType="end"/>
      </w:r>
    </w:p>
    <w:p>
      <w:pPr>
        <w:pStyle w:val="20"/>
        <w:tabs>
          <w:tab w:val="right" w:leader="dot" w:pos="8505"/>
        </w:tabs>
        <w:spacing w:line="360" w:lineRule="auto"/>
        <w:rPr>
          <w:color w:val="auto"/>
          <w:szCs w:val="28"/>
        </w:rPr>
      </w:pPr>
      <w:r>
        <w:rPr>
          <w:color w:val="auto"/>
        </w:rPr>
        <w:fldChar w:fldCharType="begin"/>
      </w:r>
      <w:r>
        <w:rPr>
          <w:color w:val="auto"/>
        </w:rPr>
        <w:instrText xml:space="preserve"> HYPERLINK \l "_Toc15866" </w:instrText>
      </w:r>
      <w:r>
        <w:rPr>
          <w:color w:val="auto"/>
        </w:rPr>
        <w:fldChar w:fldCharType="separate"/>
      </w:r>
      <w:r>
        <w:rPr>
          <w:rFonts w:hint="eastAsia" w:ascii="宋体" w:hAnsi="宋体" w:eastAsia="宋体" w:cs="宋体"/>
          <w:color w:val="auto"/>
          <w:szCs w:val="28"/>
        </w:rPr>
        <w:t>第三章</w:t>
      </w:r>
      <w:r>
        <w:rPr>
          <w:rFonts w:hint="eastAsia" w:ascii="宋体" w:hAnsi="宋体" w:eastAsia="宋体" w:cs="宋体"/>
          <w:color w:val="auto"/>
          <w:szCs w:val="28"/>
          <w:highlight w:val="none"/>
        </w:rPr>
        <w:t xml:space="preserve">  技术要求</w:t>
      </w:r>
      <w:r>
        <w:rPr>
          <w:color w:val="auto"/>
          <w:szCs w:val="28"/>
        </w:rPr>
        <w:tab/>
      </w:r>
      <w:r>
        <w:rPr>
          <w:color w:val="auto"/>
          <w:szCs w:val="28"/>
        </w:rPr>
        <w:fldChar w:fldCharType="begin"/>
      </w:r>
      <w:r>
        <w:rPr>
          <w:color w:val="auto"/>
          <w:szCs w:val="28"/>
        </w:rPr>
        <w:instrText xml:space="preserve"> PAGEREF _Toc15866 </w:instrText>
      </w:r>
      <w:r>
        <w:rPr>
          <w:color w:val="auto"/>
          <w:szCs w:val="28"/>
        </w:rPr>
        <w:fldChar w:fldCharType="separate"/>
      </w:r>
      <w:r>
        <w:rPr>
          <w:color w:val="auto"/>
          <w:szCs w:val="28"/>
        </w:rPr>
        <w:t>41</w:t>
      </w:r>
      <w:r>
        <w:rPr>
          <w:color w:val="auto"/>
          <w:szCs w:val="28"/>
        </w:rPr>
        <w:fldChar w:fldCharType="end"/>
      </w:r>
      <w:r>
        <w:rPr>
          <w:color w:val="auto"/>
          <w:szCs w:val="28"/>
        </w:rPr>
        <w:fldChar w:fldCharType="end"/>
      </w:r>
    </w:p>
    <w:p>
      <w:pPr>
        <w:pStyle w:val="20"/>
        <w:tabs>
          <w:tab w:val="right" w:leader="dot" w:pos="8505"/>
        </w:tabs>
        <w:spacing w:line="360" w:lineRule="auto"/>
        <w:rPr>
          <w:color w:val="auto"/>
          <w:szCs w:val="28"/>
        </w:rPr>
      </w:pPr>
      <w:r>
        <w:rPr>
          <w:color w:val="auto"/>
        </w:rPr>
        <w:fldChar w:fldCharType="begin"/>
      </w:r>
      <w:r>
        <w:rPr>
          <w:color w:val="auto"/>
        </w:rPr>
        <w:instrText xml:space="preserve"> HYPERLINK \l "_Toc7400" </w:instrText>
      </w:r>
      <w:r>
        <w:rPr>
          <w:color w:val="auto"/>
        </w:rPr>
        <w:fldChar w:fldCharType="separate"/>
      </w:r>
      <w:r>
        <w:rPr>
          <w:rFonts w:hint="eastAsia" w:ascii="宋体" w:hAnsi="宋体" w:eastAsia="宋体" w:cs="宋体"/>
          <w:color w:val="auto"/>
          <w:szCs w:val="28"/>
        </w:rPr>
        <w:t>第四章  合同文本</w:t>
      </w:r>
      <w:r>
        <w:rPr>
          <w:color w:val="auto"/>
          <w:szCs w:val="28"/>
        </w:rPr>
        <w:tab/>
      </w:r>
      <w:r>
        <w:rPr>
          <w:color w:val="auto"/>
          <w:szCs w:val="28"/>
        </w:rPr>
        <w:fldChar w:fldCharType="begin"/>
      </w:r>
      <w:r>
        <w:rPr>
          <w:color w:val="auto"/>
          <w:szCs w:val="28"/>
        </w:rPr>
        <w:instrText xml:space="preserve"> PAGEREF _Toc7400 </w:instrText>
      </w:r>
      <w:r>
        <w:rPr>
          <w:color w:val="auto"/>
          <w:szCs w:val="28"/>
        </w:rPr>
        <w:fldChar w:fldCharType="separate"/>
      </w:r>
      <w:r>
        <w:rPr>
          <w:color w:val="auto"/>
          <w:szCs w:val="28"/>
        </w:rPr>
        <w:t>42</w:t>
      </w:r>
      <w:r>
        <w:rPr>
          <w:color w:val="auto"/>
          <w:szCs w:val="28"/>
        </w:rPr>
        <w:fldChar w:fldCharType="end"/>
      </w:r>
      <w:r>
        <w:rPr>
          <w:color w:val="auto"/>
          <w:szCs w:val="28"/>
        </w:rPr>
        <w:fldChar w:fldCharType="end"/>
      </w:r>
    </w:p>
    <w:p>
      <w:pPr>
        <w:pStyle w:val="20"/>
        <w:tabs>
          <w:tab w:val="right" w:leader="dot" w:pos="8505"/>
        </w:tabs>
        <w:spacing w:line="360" w:lineRule="auto"/>
        <w:rPr>
          <w:color w:val="auto"/>
          <w:szCs w:val="28"/>
        </w:rPr>
      </w:pPr>
      <w:r>
        <w:rPr>
          <w:color w:val="auto"/>
        </w:rPr>
        <w:fldChar w:fldCharType="begin"/>
      </w:r>
      <w:r>
        <w:rPr>
          <w:color w:val="auto"/>
        </w:rPr>
        <w:instrText xml:space="preserve"> HYPERLINK \l "_Toc3033" </w:instrText>
      </w:r>
      <w:r>
        <w:rPr>
          <w:color w:val="auto"/>
        </w:rPr>
        <w:fldChar w:fldCharType="separate"/>
      </w:r>
      <w:r>
        <w:rPr>
          <w:rFonts w:hint="eastAsia" w:ascii="宋体" w:hAnsi="宋体" w:eastAsia="宋体" w:cs="宋体"/>
          <w:color w:val="auto"/>
          <w:szCs w:val="28"/>
        </w:rPr>
        <w:t>第五章  附件</w:t>
      </w:r>
      <w:r>
        <w:rPr>
          <w:color w:val="auto"/>
          <w:szCs w:val="28"/>
        </w:rPr>
        <w:tab/>
      </w:r>
      <w:r>
        <w:rPr>
          <w:color w:val="auto"/>
          <w:szCs w:val="28"/>
        </w:rPr>
        <w:fldChar w:fldCharType="begin"/>
      </w:r>
      <w:r>
        <w:rPr>
          <w:color w:val="auto"/>
          <w:szCs w:val="28"/>
        </w:rPr>
        <w:instrText xml:space="preserve"> PAGEREF _Toc3033 </w:instrText>
      </w:r>
      <w:r>
        <w:rPr>
          <w:color w:val="auto"/>
          <w:szCs w:val="28"/>
        </w:rPr>
        <w:fldChar w:fldCharType="separate"/>
      </w:r>
      <w:r>
        <w:rPr>
          <w:color w:val="auto"/>
          <w:szCs w:val="28"/>
        </w:rPr>
        <w:t>55</w:t>
      </w:r>
      <w:r>
        <w:rPr>
          <w:color w:val="auto"/>
          <w:szCs w:val="28"/>
        </w:rPr>
        <w:fldChar w:fldCharType="end"/>
      </w:r>
      <w:r>
        <w:rPr>
          <w:color w:val="auto"/>
          <w:szCs w:val="28"/>
        </w:rPr>
        <w:fldChar w:fldCharType="end"/>
      </w:r>
    </w:p>
    <w:p>
      <w:pPr>
        <w:pStyle w:val="20"/>
        <w:tabs>
          <w:tab w:val="right" w:leader="dot" w:pos="8505"/>
        </w:tabs>
        <w:spacing w:line="360" w:lineRule="auto"/>
        <w:rPr>
          <w:color w:val="auto"/>
        </w:rPr>
      </w:pPr>
      <w:r>
        <w:rPr>
          <w:color w:val="auto"/>
        </w:rPr>
        <w:fldChar w:fldCharType="begin"/>
      </w:r>
      <w:r>
        <w:rPr>
          <w:color w:val="auto"/>
        </w:rPr>
        <w:instrText xml:space="preserve"> HYPERLINK \l "_Toc9674" </w:instrText>
      </w:r>
      <w:r>
        <w:rPr>
          <w:color w:val="auto"/>
        </w:rPr>
        <w:fldChar w:fldCharType="separate"/>
      </w:r>
      <w:r>
        <w:rPr>
          <w:rFonts w:hint="eastAsia" w:ascii="宋体" w:hAnsi="宋体" w:eastAsia="宋体" w:cs="宋体"/>
          <w:color w:val="auto"/>
          <w:szCs w:val="28"/>
        </w:rPr>
        <w:t xml:space="preserve">第六章 </w:t>
      </w:r>
      <w:r>
        <w:rPr>
          <w:rFonts w:hint="eastAsia" w:ascii="宋体" w:hAnsi="宋体" w:eastAsia="宋体" w:cs="宋体"/>
          <w:color w:val="auto"/>
          <w:szCs w:val="28"/>
          <w:highlight w:val="none"/>
        </w:rPr>
        <w:t>评标办法</w:t>
      </w:r>
      <w:r>
        <w:rPr>
          <w:color w:val="auto"/>
          <w:szCs w:val="28"/>
        </w:rPr>
        <w:tab/>
      </w:r>
      <w:r>
        <w:rPr>
          <w:color w:val="auto"/>
          <w:szCs w:val="28"/>
        </w:rPr>
        <w:fldChar w:fldCharType="begin"/>
      </w:r>
      <w:r>
        <w:rPr>
          <w:color w:val="auto"/>
          <w:szCs w:val="28"/>
        </w:rPr>
        <w:instrText xml:space="preserve"> PAGEREF _Toc9674 </w:instrText>
      </w:r>
      <w:r>
        <w:rPr>
          <w:color w:val="auto"/>
          <w:szCs w:val="28"/>
        </w:rPr>
        <w:fldChar w:fldCharType="separate"/>
      </w:r>
      <w:r>
        <w:rPr>
          <w:color w:val="auto"/>
          <w:szCs w:val="28"/>
        </w:rPr>
        <w:t>71</w:t>
      </w:r>
      <w:r>
        <w:rPr>
          <w:color w:val="auto"/>
          <w:szCs w:val="28"/>
        </w:rPr>
        <w:fldChar w:fldCharType="end"/>
      </w:r>
      <w:r>
        <w:rPr>
          <w:color w:val="auto"/>
          <w:szCs w:val="28"/>
        </w:rPr>
        <w:fldChar w:fldCharType="end"/>
      </w:r>
    </w:p>
    <w:p>
      <w:pPr>
        <w:spacing w:line="780" w:lineRule="exact"/>
        <w:ind w:left="5880" w:hanging="7840" w:hangingChars="2800"/>
        <w:jc w:val="center"/>
        <w:outlineLvl w:val="0"/>
        <w:rPr>
          <w:rFonts w:ascii="宋体" w:hAnsi="宋体" w:cs="宋体"/>
          <w:b/>
          <w:color w:val="auto"/>
          <w:sz w:val="48"/>
          <w:szCs w:val="48"/>
        </w:rPr>
      </w:pPr>
      <w:r>
        <w:rPr>
          <w:rFonts w:hint="eastAsia" w:ascii="宋体" w:hAnsi="宋体" w:cs="宋体"/>
          <w:color w:val="auto"/>
          <w:szCs w:val="48"/>
        </w:rPr>
        <w:fldChar w:fldCharType="end"/>
      </w: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pStyle w:val="26"/>
        <w:rPr>
          <w:color w:val="auto"/>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color w:val="auto"/>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bookmarkStart w:id="5" w:name="_Toc13972"/>
      <w:r>
        <w:rPr>
          <w:rFonts w:hint="eastAsia" w:ascii="宋体" w:hAnsi="宋体" w:cs="宋体"/>
          <w:b/>
          <w:color w:val="auto"/>
          <w:sz w:val="48"/>
          <w:szCs w:val="48"/>
        </w:rPr>
        <w:t>第一章 招标公告</w:t>
      </w:r>
      <w:bookmarkEnd w:id="4"/>
      <w:bookmarkEnd w:id="5"/>
    </w:p>
    <w:p>
      <w:pPr>
        <w:spacing w:line="600" w:lineRule="exact"/>
        <w:ind w:left="13493" w:hanging="13493" w:hangingChars="2800"/>
        <w:jc w:val="center"/>
        <w:outlineLvl w:val="0"/>
        <w:rPr>
          <w:rFonts w:ascii="宋体" w:hAnsi="宋体" w:cs="宋体"/>
          <w:b/>
          <w:color w:val="auto"/>
          <w:sz w:val="48"/>
          <w:szCs w:val="48"/>
        </w:rPr>
      </w:pPr>
    </w:p>
    <w:bookmarkEnd w:id="0"/>
    <w:bookmarkEnd w:id="1"/>
    <w:bookmarkEnd w:id="2"/>
    <w:bookmarkEnd w:id="3"/>
    <w:p>
      <w:pPr>
        <w:tabs>
          <w:tab w:val="left" w:pos="420"/>
        </w:tabs>
        <w:spacing w:line="560" w:lineRule="exact"/>
        <w:jc w:val="center"/>
        <w:rPr>
          <w:rFonts w:ascii="宋体" w:hAnsi="宋体" w:cs="宋体"/>
          <w:b/>
          <w:color w:val="auto"/>
          <w:sz w:val="32"/>
          <w:szCs w:val="32"/>
          <w:u w:val="single"/>
        </w:rPr>
        <w:sectPr>
          <w:footerReference r:id="rId9" w:type="first"/>
          <w:footerReference r:id="rId8" w:type="default"/>
          <w:pgSz w:w="11907" w:h="16840"/>
          <w:pgMar w:top="1440" w:right="1800" w:bottom="1440" w:left="1800" w:header="851" w:footer="964" w:gutter="0"/>
          <w:cols w:space="720" w:num="1"/>
          <w:titlePg/>
          <w:docGrid w:linePitch="312" w:charSpace="0"/>
        </w:sectPr>
      </w:pPr>
      <w:bookmarkStart w:id="6" w:name="OLE_LINK10"/>
      <w:bookmarkStart w:id="7" w:name="OLE_LINK9"/>
      <w:bookmarkStart w:id="8" w:name="_Toc139343526"/>
      <w:bookmarkStart w:id="9" w:name="_Toc89058521"/>
      <w:bookmarkStart w:id="10" w:name="_Toc91477242"/>
      <w:bookmarkStart w:id="11" w:name="_Toc89586882"/>
      <w:bookmarkStart w:id="12" w:name="_Toc91029992"/>
      <w:bookmarkStart w:id="13" w:name="_Toc149714138"/>
      <w:bookmarkStart w:id="14" w:name="_Toc469850041"/>
    </w:p>
    <w:bookmarkEnd w:id="6"/>
    <w:bookmarkEnd w:id="7"/>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hint="eastAsia" w:ascii="宋体" w:hAnsi="宋体" w:eastAsia="宋体" w:cs="宋体"/>
          <w:b/>
          <w:bCs/>
          <w:color w:val="auto"/>
          <w:kern w:val="0"/>
          <w:sz w:val="32"/>
          <w:szCs w:val="32"/>
          <w:u w:val="none"/>
          <w:lang w:val="en-US" w:eastAsia="zh-CN" w:bidi="ar"/>
        </w:rPr>
      </w:pPr>
      <w:bookmarkStart w:id="15" w:name="_Toc13078"/>
      <w:bookmarkStart w:id="16" w:name="_Toc6300"/>
      <w:r>
        <w:rPr>
          <w:rFonts w:hint="eastAsia" w:ascii="宋体" w:hAnsi="宋体" w:eastAsia="宋体" w:cs="宋体"/>
          <w:b/>
          <w:bCs/>
          <w:color w:val="auto"/>
          <w:kern w:val="0"/>
          <w:sz w:val="32"/>
          <w:szCs w:val="32"/>
          <w:u w:val="none"/>
          <w:lang w:val="en-US" w:eastAsia="zh-CN" w:bidi="ar"/>
        </w:rPr>
        <w:t>定西市融媒体中心《定西日报》印刷服务采购项目招标公告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bookmarkStart w:id="441" w:name="_GoBack"/>
      <w:r>
        <w:rPr>
          <w:rFonts w:hint="eastAsia" w:ascii="仿宋" w:hAnsi="仿宋" w:eastAsia="仿宋" w:cs="仿宋"/>
          <w:color w:val="auto"/>
          <w:kern w:val="0"/>
          <w:sz w:val="28"/>
          <w:szCs w:val="28"/>
          <w:u w:val="single"/>
          <w:lang w:val="en-US" w:eastAsia="zh-CN" w:bidi="ar"/>
        </w:rPr>
        <w:t>定西市融媒体中心</w:t>
      </w:r>
      <w:r>
        <w:rPr>
          <w:rFonts w:hint="eastAsia" w:ascii="仿宋" w:hAnsi="仿宋" w:eastAsia="仿宋" w:cs="仿宋"/>
          <w:color w:val="auto"/>
          <w:kern w:val="0"/>
          <w:sz w:val="28"/>
          <w:szCs w:val="28"/>
          <w:lang w:val="en-US" w:eastAsia="zh-CN" w:bidi="ar"/>
        </w:rPr>
        <w:t>招标项目的潜在投标人应在</w:t>
      </w:r>
      <w:r>
        <w:rPr>
          <w:rFonts w:hint="eastAsia" w:ascii="仿宋" w:hAnsi="仿宋" w:eastAsia="仿宋" w:cs="仿宋"/>
          <w:color w:val="auto"/>
          <w:kern w:val="0"/>
          <w:sz w:val="28"/>
          <w:szCs w:val="28"/>
          <w:u w:val="single"/>
          <w:lang w:val="en-US" w:eastAsia="zh-CN" w:bidi="ar"/>
        </w:rPr>
        <w:t>定西市公共资源交易中心网站</w:t>
      </w:r>
      <w:r>
        <w:rPr>
          <w:rFonts w:hint="eastAsia" w:ascii="仿宋" w:hAnsi="仿宋" w:eastAsia="仿宋" w:cs="仿宋"/>
          <w:color w:val="auto"/>
          <w:kern w:val="0"/>
          <w:sz w:val="28"/>
          <w:szCs w:val="28"/>
          <w:lang w:val="en-US" w:eastAsia="zh-CN" w:bidi="ar"/>
        </w:rPr>
        <w:t>获取招标文件，并于</w:t>
      </w:r>
      <w:r>
        <w:rPr>
          <w:rFonts w:hint="eastAsia" w:ascii="仿宋" w:hAnsi="仿宋" w:eastAsia="仿宋" w:cs="仿宋"/>
          <w:color w:val="auto"/>
          <w:kern w:val="0"/>
          <w:sz w:val="28"/>
          <w:szCs w:val="28"/>
          <w:u w:val="single"/>
          <w:lang w:val="en-US" w:eastAsia="zh-CN" w:bidi="ar"/>
        </w:rPr>
        <w:t>2023-08-29 11:00</w:t>
      </w:r>
      <w:r>
        <w:rPr>
          <w:rFonts w:hint="eastAsia" w:ascii="仿宋" w:hAnsi="仿宋" w:eastAsia="仿宋" w:cs="仿宋"/>
          <w:color w:val="auto"/>
          <w:kern w:val="0"/>
          <w:sz w:val="28"/>
          <w:szCs w:val="28"/>
          <w:lang w:val="en-US" w:eastAsia="zh-CN" w:bidi="ar"/>
        </w:rPr>
        <w:t xml:space="preserve">（北京时间）前递交投标文件。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一、项目基本情况 </w:t>
      </w:r>
    </w:p>
    <w:p>
      <w:pPr>
        <w:keepNext w:val="0"/>
        <w:keepLines w:val="0"/>
        <w:pageBreakBefore w:val="0"/>
        <w:tabs>
          <w:tab w:val="left" w:pos="420"/>
        </w:tabs>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项目编号：DXZC2023-12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u w:val="none"/>
        </w:rPr>
      </w:pPr>
      <w:r>
        <w:rPr>
          <w:rFonts w:hint="eastAsia" w:ascii="仿宋" w:hAnsi="仿宋" w:eastAsia="仿宋" w:cs="仿宋"/>
          <w:color w:val="auto"/>
          <w:kern w:val="0"/>
          <w:sz w:val="28"/>
          <w:szCs w:val="28"/>
          <w:lang w:val="en-US" w:eastAsia="zh-CN" w:bidi="ar"/>
        </w:rPr>
        <w:t>项目名称：</w:t>
      </w:r>
      <w:r>
        <w:rPr>
          <w:rFonts w:hint="eastAsia" w:ascii="仿宋" w:hAnsi="仿宋" w:eastAsia="仿宋" w:cs="仿宋"/>
          <w:color w:val="auto"/>
          <w:kern w:val="0"/>
          <w:sz w:val="28"/>
          <w:szCs w:val="28"/>
          <w:u w:val="none"/>
          <w:lang w:val="en-US" w:eastAsia="zh-CN" w:bidi="ar"/>
        </w:rPr>
        <w:t>定西市融媒体中心《定西日报》印刷服务采购项目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预算金额：560（万元)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最高限价：560(万元)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采购需求：（具体参数详见招标文件参数）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 w:val="0"/>
          <w:bCs w:val="0"/>
          <w:color w:val="auto"/>
          <w:sz w:val="32"/>
          <w:szCs w:val="32"/>
        </w:rPr>
      </w:pPr>
      <w:r>
        <w:rPr>
          <w:rFonts w:hint="eastAsia" w:ascii="仿宋" w:hAnsi="仿宋" w:eastAsia="仿宋" w:cs="仿宋"/>
          <w:color w:val="auto"/>
          <w:kern w:val="0"/>
          <w:sz w:val="28"/>
          <w:szCs w:val="28"/>
          <w:lang w:val="en-US" w:eastAsia="zh-CN" w:bidi="ar"/>
        </w:rPr>
        <w:t>合同履行期限：2年.(自采购合同签订后按期生效)。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本项目（是/否）接受联合体投标：否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二、申请人的资格要求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1.满足《中华人民共和国政府采购法》第二十二条规定并提供《中华人民共和国政府采购法实施条例》第十七条所要求的材料；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2.1 供应商须提供中国裁判文书网（wenshu.court.gov.cn）查询结果；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 供应商须未被列入“信用中国”网站（www.creditchina.gov.cn）记录失信被执行人或重大税收违法案件当事人名单或政府采购严重违法失信行为记录名单且不处于“中国政府采购网”（www.ccgp.gov.cn）政府采购严重违法失信行为信息记录中禁止参加政府采购活动期间的（以获取招 标 文 件 之 日 至 投 标 截 止 日 期 间 “ 信 用 中 国 ” 网 站（ www.creditchina.gov.cn ） 及 “ 中 国 政 府 采 购 网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（www.ccgp.gov.cn）查询截图为准，如相关失信记录失效，供应商需提供相关证明资料）。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 根据财政部、工业和信息化部发布的《政府采购促进中小企业发展管理办法》（财库〔2020〕46 号）和财政部《关于进一步加大政府采购支持中小企业力度的通知》（财库〔2022〕19 号）规定，对小型和微型企业产品的投标价格给予 10%的扣除，用扣除后的价格参与评审。本项目面向中小企业预留采购份额，预留比例100.0%，其中预留小微企业比例 100.0%。须提供《中小企业声明函》或者《残疾人福利性单位声明函》或者由省级以上监狱管理局、戒毒管理局（含新疆生产建设兵团）出具的属于监狱企业的证明文件。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color w:val="auto"/>
          <w:spacing w:val="-11"/>
          <w:sz w:val="28"/>
          <w:szCs w:val="28"/>
          <w:lang w:eastAsia="zh-CN"/>
        </w:rPr>
      </w:pPr>
      <w:r>
        <w:rPr>
          <w:rFonts w:hint="eastAsia" w:ascii="仿宋" w:hAnsi="仿宋" w:eastAsia="仿宋" w:cs="仿宋"/>
          <w:color w:val="auto"/>
          <w:sz w:val="28"/>
          <w:szCs w:val="28"/>
          <w:lang w:val="en-US" w:eastAsia="zh-CN"/>
        </w:rPr>
        <w:t>3.本项目的特定资格要求：本项目须提供《</w:t>
      </w:r>
      <w:r>
        <w:rPr>
          <w:rFonts w:hint="eastAsia" w:ascii="仿宋" w:hAnsi="仿宋" w:eastAsia="仿宋" w:cs="仿宋"/>
          <w:color w:val="auto"/>
          <w:spacing w:val="-11"/>
          <w:sz w:val="28"/>
          <w:szCs w:val="28"/>
        </w:rPr>
        <w:t>印刷经营许可证</w:t>
      </w:r>
      <w:r>
        <w:rPr>
          <w:rFonts w:hint="eastAsia" w:ascii="仿宋" w:hAnsi="仿宋" w:eastAsia="仿宋" w:cs="仿宋"/>
          <w:color w:val="auto"/>
          <w:sz w:val="28"/>
          <w:szCs w:val="28"/>
          <w:lang w:val="en-US" w:eastAsia="zh-CN"/>
        </w:rPr>
        <w:t>》</w:t>
      </w:r>
      <w:r>
        <w:rPr>
          <w:rFonts w:hint="eastAsia" w:ascii="仿宋" w:hAnsi="仿宋" w:eastAsia="仿宋" w:cs="仿宋"/>
          <w:color w:val="auto"/>
          <w:spacing w:val="-11"/>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三、获取招标文件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时间：</w:t>
      </w:r>
      <w:r>
        <w:rPr>
          <w:rFonts w:hint="eastAsia" w:ascii="仿宋" w:hAnsi="仿宋" w:eastAsia="仿宋" w:cs="仿宋"/>
          <w:color w:val="auto"/>
          <w:kern w:val="0"/>
          <w:sz w:val="28"/>
          <w:szCs w:val="28"/>
          <w:u w:val="single"/>
          <w:lang w:val="en-US" w:eastAsia="zh-CN" w:bidi="ar"/>
        </w:rPr>
        <w:t>2023-08-09</w:t>
      </w:r>
      <w:r>
        <w:rPr>
          <w:rFonts w:hint="eastAsia" w:ascii="仿宋" w:hAnsi="仿宋" w:eastAsia="仿宋" w:cs="仿宋"/>
          <w:color w:val="auto"/>
          <w:kern w:val="0"/>
          <w:sz w:val="28"/>
          <w:szCs w:val="28"/>
          <w:lang w:val="en-US" w:eastAsia="zh-CN" w:bidi="ar"/>
        </w:rPr>
        <w:t>至</w:t>
      </w:r>
      <w:r>
        <w:rPr>
          <w:rFonts w:hint="eastAsia" w:ascii="仿宋" w:hAnsi="仿宋" w:eastAsia="仿宋" w:cs="仿宋"/>
          <w:color w:val="auto"/>
          <w:kern w:val="0"/>
          <w:sz w:val="28"/>
          <w:szCs w:val="28"/>
          <w:u w:val="single"/>
          <w:lang w:val="en-US" w:eastAsia="zh-CN" w:bidi="ar"/>
        </w:rPr>
        <w:t>2023-08-15</w:t>
      </w:r>
      <w:r>
        <w:rPr>
          <w:rFonts w:hint="eastAsia" w:ascii="仿宋" w:hAnsi="仿宋" w:eastAsia="仿宋" w:cs="仿宋"/>
          <w:color w:val="auto"/>
          <w:kern w:val="0"/>
          <w:sz w:val="28"/>
          <w:szCs w:val="28"/>
          <w:lang w:val="en-US" w:eastAsia="zh-CN" w:bidi="ar"/>
        </w:rPr>
        <w:t>，每天上午</w:t>
      </w:r>
      <w:r>
        <w:rPr>
          <w:rFonts w:hint="eastAsia" w:ascii="仿宋" w:hAnsi="仿宋" w:eastAsia="仿宋" w:cs="仿宋"/>
          <w:color w:val="auto"/>
          <w:kern w:val="0"/>
          <w:sz w:val="28"/>
          <w:szCs w:val="28"/>
          <w:u w:val="single"/>
          <w:lang w:val="en-US" w:eastAsia="zh-CN" w:bidi="ar"/>
        </w:rPr>
        <w:t>0:00</w:t>
      </w:r>
      <w:r>
        <w:rPr>
          <w:rFonts w:hint="eastAsia" w:ascii="仿宋" w:hAnsi="仿宋" w:eastAsia="仿宋" w:cs="仿宋"/>
          <w:color w:val="auto"/>
          <w:kern w:val="0"/>
          <w:sz w:val="28"/>
          <w:szCs w:val="28"/>
          <w:lang w:val="en-US" w:eastAsia="zh-CN" w:bidi="ar"/>
        </w:rPr>
        <w:t>至</w:t>
      </w:r>
      <w:r>
        <w:rPr>
          <w:rFonts w:hint="eastAsia" w:ascii="仿宋" w:hAnsi="仿宋" w:eastAsia="仿宋" w:cs="仿宋"/>
          <w:color w:val="auto"/>
          <w:kern w:val="0"/>
          <w:sz w:val="28"/>
          <w:szCs w:val="28"/>
          <w:u w:val="single"/>
          <w:lang w:val="en-US" w:eastAsia="zh-CN" w:bidi="ar"/>
        </w:rPr>
        <w:t>12:00</w:t>
      </w:r>
      <w:r>
        <w:rPr>
          <w:rFonts w:hint="eastAsia" w:ascii="仿宋" w:hAnsi="仿宋" w:eastAsia="仿宋" w:cs="仿宋"/>
          <w:color w:val="auto"/>
          <w:kern w:val="0"/>
          <w:sz w:val="28"/>
          <w:szCs w:val="28"/>
          <w:lang w:val="en-US" w:eastAsia="zh-CN" w:bidi="ar"/>
        </w:rPr>
        <w:t>，下午</w:t>
      </w:r>
      <w:r>
        <w:rPr>
          <w:rFonts w:hint="eastAsia" w:ascii="仿宋" w:hAnsi="仿宋" w:eastAsia="仿宋" w:cs="仿宋"/>
          <w:color w:val="auto"/>
          <w:kern w:val="0"/>
          <w:sz w:val="28"/>
          <w:szCs w:val="28"/>
          <w:u w:val="single"/>
          <w:lang w:val="en-US" w:eastAsia="zh-CN" w:bidi="ar"/>
        </w:rPr>
        <w:t>12:01</w:t>
      </w:r>
      <w:r>
        <w:rPr>
          <w:rFonts w:hint="eastAsia" w:ascii="仿宋" w:hAnsi="仿宋" w:eastAsia="仿宋" w:cs="仿宋"/>
          <w:color w:val="auto"/>
          <w:kern w:val="0"/>
          <w:sz w:val="28"/>
          <w:szCs w:val="28"/>
          <w:lang w:val="en-US" w:eastAsia="zh-CN" w:bidi="ar"/>
        </w:rPr>
        <w:t>至</w:t>
      </w:r>
      <w:r>
        <w:rPr>
          <w:rFonts w:hint="eastAsia" w:ascii="仿宋" w:hAnsi="仿宋" w:eastAsia="仿宋" w:cs="仿宋"/>
          <w:color w:val="auto"/>
          <w:kern w:val="0"/>
          <w:sz w:val="28"/>
          <w:szCs w:val="28"/>
          <w:u w:val="single"/>
          <w:lang w:val="en-US" w:eastAsia="zh-CN" w:bidi="ar"/>
        </w:rPr>
        <w:t>23:59</w:t>
      </w:r>
      <w:r>
        <w:rPr>
          <w:rFonts w:hint="eastAsia" w:ascii="仿宋" w:hAnsi="仿宋" w:eastAsia="仿宋" w:cs="仿宋"/>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地点：定西市公共资源交易中心网站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1、供应商必须通过登录定西市公共资源交易服务系统，在规定的获取时间内下载招标文件，未下载招标文件造成废标等责任自负。（注：电子标招标文件格式为：DXZF）</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2、获取招标文件后，请供应商随时关注“甘肃政府采购网”及“定西市公共资源交易中心网”关于本项目相关书面变更及通知，否则由变更引起的相关责任自负。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本项目采用全流程电子招投标，各供应商在参与投标时相关操作详见定西市公共资源交易网网站首页“下载中心”→“操作手册”→“政府采购电子标操作手册”。供应商在开标时请务必使用该项目生成投标文件的数字证书（CA锁）登录不见面开标大厅并参加开标。 注：因供应商数字证书（CA锁）问题，在开标时造成投标文件无法解密的，供应商自行承担由此导致的全部责任。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售价：0.0(元)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四、提交投标文件截止时间、开标时间和地点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仿宋" w:hAnsi="仿宋" w:eastAsia="仿宋" w:cs="仿宋"/>
          <w:color w:val="auto"/>
          <w:sz w:val="28"/>
          <w:szCs w:val="28"/>
          <w:lang w:val="en-US"/>
        </w:rPr>
      </w:pPr>
      <w:r>
        <w:rPr>
          <w:rFonts w:hint="eastAsia" w:ascii="仿宋" w:hAnsi="仿宋" w:eastAsia="仿宋" w:cs="仿宋"/>
          <w:color w:val="auto"/>
          <w:kern w:val="0"/>
          <w:sz w:val="28"/>
          <w:szCs w:val="28"/>
          <w:lang w:val="en-US" w:eastAsia="zh-CN" w:bidi="ar"/>
        </w:rPr>
        <w:t>时间：2023-08-29 11:00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地点：定西市公共资源交易中心第一不见面开标厅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五、公告期限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自本公告发布之日起5个工作日。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六、其他补充事宜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黑体" w:hAnsi="黑体" w:eastAsia="黑体" w:cs="黑体"/>
          <w:b w:val="0"/>
          <w:bCs w:val="0"/>
          <w:color w:val="auto"/>
          <w:kern w:val="0"/>
          <w:sz w:val="28"/>
          <w:szCs w:val="28"/>
          <w:lang w:val="en-US" w:eastAsia="zh-CN" w:bidi="ar"/>
        </w:rPr>
      </w:pPr>
      <w:r>
        <w:rPr>
          <w:rFonts w:hint="eastAsia" w:ascii="黑体" w:hAnsi="黑体" w:eastAsia="黑体" w:cs="黑体"/>
          <w:b w:val="0"/>
          <w:bCs w:val="0"/>
          <w:color w:val="auto"/>
          <w:kern w:val="0"/>
          <w:sz w:val="28"/>
          <w:szCs w:val="28"/>
          <w:lang w:val="en-US" w:eastAsia="zh-CN" w:bidi="ar"/>
        </w:rPr>
        <w:t xml:space="preserve">七、对本次招标提出询问，请按以下方式联系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1.采购人信息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名 称：定西市融媒体中心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地 址：定西市安定区岷县街11号A区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联系方式：0932-8225622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2.采购代理机构信息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名 称：定西市公共资源交易中心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地 址：甘肃省定西市安定区新城建设大厦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联系方式：0932-8362536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3.项目联系方式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项目联系人：赵伟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电　话：0932-8362536</w:t>
      </w:r>
    </w:p>
    <w:bookmarkEnd w:id="441"/>
    <w:p>
      <w:pPr>
        <w:spacing w:line="560" w:lineRule="exact"/>
        <w:ind w:firstLine="964" w:firstLineChars="200"/>
        <w:outlineLvl w:val="0"/>
        <w:rPr>
          <w:rFonts w:ascii="宋体" w:hAnsi="宋体" w:cs="宋体"/>
          <w:b/>
          <w:color w:val="auto"/>
          <w:sz w:val="48"/>
          <w:szCs w:val="48"/>
        </w:rPr>
      </w:pPr>
    </w:p>
    <w:p>
      <w:pPr>
        <w:spacing w:line="600" w:lineRule="exact"/>
        <w:jc w:val="center"/>
        <w:outlineLvl w:val="0"/>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pStyle w:val="26"/>
        <w:rPr>
          <w:rFonts w:ascii="宋体" w:hAnsi="宋体" w:cs="宋体"/>
          <w:b/>
          <w:color w:val="auto"/>
          <w:sz w:val="48"/>
          <w:szCs w:val="48"/>
        </w:rPr>
      </w:pPr>
    </w:p>
    <w:p>
      <w:pPr>
        <w:rPr>
          <w:rFonts w:ascii="宋体" w:hAnsi="宋体" w:cs="宋体"/>
          <w:b/>
          <w:color w:val="auto"/>
          <w:sz w:val="48"/>
          <w:szCs w:val="48"/>
        </w:rPr>
      </w:pPr>
    </w:p>
    <w:p>
      <w:pPr>
        <w:rPr>
          <w:rFonts w:ascii="宋体" w:hAnsi="宋体" w:cs="宋体"/>
          <w:b/>
          <w:color w:val="auto"/>
          <w:sz w:val="48"/>
          <w:szCs w:val="48"/>
        </w:rPr>
      </w:pPr>
    </w:p>
    <w:p>
      <w:pPr>
        <w:rPr>
          <w:rFonts w:ascii="宋体" w:hAnsi="宋体" w:cs="宋体"/>
          <w:b/>
          <w:color w:val="auto"/>
          <w:sz w:val="48"/>
          <w:szCs w:val="48"/>
        </w:rPr>
      </w:pPr>
    </w:p>
    <w:p>
      <w:pPr>
        <w:rPr>
          <w:rFonts w:ascii="宋体" w:hAnsi="宋体" w:cs="宋体"/>
          <w:b/>
          <w:color w:val="auto"/>
          <w:sz w:val="48"/>
          <w:szCs w:val="48"/>
        </w:rPr>
      </w:pPr>
    </w:p>
    <w:p>
      <w:pPr>
        <w:jc w:val="both"/>
        <w:rPr>
          <w:rFonts w:hint="eastAsia" w:ascii="宋体" w:hAnsi="宋体" w:cs="宋体"/>
          <w:b/>
          <w:color w:val="auto"/>
          <w:sz w:val="48"/>
          <w:szCs w:val="48"/>
        </w:rPr>
      </w:pPr>
    </w:p>
    <w:p>
      <w:pPr>
        <w:jc w:val="both"/>
        <w:rPr>
          <w:rFonts w:hint="eastAsia" w:ascii="宋体" w:hAnsi="宋体" w:cs="宋体"/>
          <w:b/>
          <w:color w:val="auto"/>
          <w:sz w:val="48"/>
          <w:szCs w:val="48"/>
        </w:rPr>
      </w:pPr>
    </w:p>
    <w:p>
      <w:pPr>
        <w:jc w:val="both"/>
        <w:rPr>
          <w:rFonts w:hint="eastAsia" w:ascii="宋体" w:hAnsi="宋体" w:cs="宋体"/>
          <w:b/>
          <w:color w:val="auto"/>
          <w:sz w:val="48"/>
          <w:szCs w:val="48"/>
        </w:rPr>
      </w:pPr>
    </w:p>
    <w:p>
      <w:pPr>
        <w:jc w:val="both"/>
        <w:rPr>
          <w:rFonts w:hint="eastAsia" w:ascii="宋体" w:hAnsi="宋体" w:cs="宋体"/>
          <w:b/>
          <w:color w:val="auto"/>
          <w:sz w:val="48"/>
          <w:szCs w:val="48"/>
        </w:rPr>
      </w:pPr>
    </w:p>
    <w:p>
      <w:pPr>
        <w:jc w:val="both"/>
        <w:rPr>
          <w:rFonts w:hint="eastAsia" w:ascii="宋体" w:hAnsi="宋体" w:cs="宋体"/>
          <w:b/>
          <w:color w:val="auto"/>
          <w:sz w:val="48"/>
          <w:szCs w:val="48"/>
        </w:rPr>
      </w:pPr>
    </w:p>
    <w:p>
      <w:pPr>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hint="eastAsia" w:ascii="宋体" w:hAnsi="宋体" w:cs="宋体"/>
          <w:b/>
          <w:color w:val="auto"/>
          <w:sz w:val="48"/>
          <w:szCs w:val="48"/>
        </w:rPr>
      </w:pPr>
    </w:p>
    <w:p>
      <w:pPr>
        <w:ind w:firstLine="2409" w:firstLineChars="500"/>
        <w:jc w:val="both"/>
        <w:rPr>
          <w:rFonts w:ascii="宋体" w:hAnsi="宋体" w:cs="宋体"/>
          <w:b/>
          <w:color w:val="auto"/>
          <w:sz w:val="48"/>
          <w:szCs w:val="48"/>
        </w:rPr>
      </w:pPr>
      <w:r>
        <w:rPr>
          <w:rFonts w:hint="eastAsia" w:ascii="宋体" w:hAnsi="宋体" w:cs="宋体"/>
          <w:b/>
          <w:color w:val="auto"/>
          <w:sz w:val="48"/>
          <w:szCs w:val="48"/>
        </w:rPr>
        <w:t>第二章 供应商须知</w:t>
      </w:r>
      <w:bookmarkEnd w:id="15"/>
      <w:bookmarkEnd w:id="16"/>
    </w:p>
    <w:p>
      <w:pPr>
        <w:spacing w:line="600" w:lineRule="exact"/>
        <w:ind w:left="13493" w:hanging="13493" w:hangingChars="2800"/>
        <w:jc w:val="center"/>
        <w:outlineLvl w:val="0"/>
        <w:rPr>
          <w:rFonts w:ascii="宋体" w:hAnsi="宋体" w:cs="宋体"/>
          <w:b/>
          <w:color w:val="auto"/>
          <w:sz w:val="48"/>
          <w:szCs w:val="48"/>
        </w:rPr>
      </w:pPr>
    </w:p>
    <w:p>
      <w:pPr>
        <w:spacing w:line="600" w:lineRule="exact"/>
        <w:ind w:left="13493" w:hanging="13493" w:hangingChars="2800"/>
        <w:jc w:val="center"/>
        <w:outlineLvl w:val="0"/>
        <w:rPr>
          <w:rFonts w:ascii="宋体" w:hAnsi="宋体" w:cs="宋体"/>
          <w:b/>
          <w:color w:val="auto"/>
          <w:sz w:val="48"/>
          <w:szCs w:val="48"/>
        </w:rPr>
      </w:pPr>
    </w:p>
    <w:p>
      <w:pPr>
        <w:pStyle w:val="5"/>
        <w:spacing w:line="440" w:lineRule="exact"/>
        <w:jc w:val="center"/>
        <w:rPr>
          <w:rFonts w:hint="eastAsia" w:ascii="宋体" w:hAnsi="宋体" w:eastAsia="宋体" w:cs="宋体"/>
          <w:color w:val="auto"/>
        </w:rPr>
      </w:pPr>
      <w:r>
        <w:rPr>
          <w:color w:val="auto"/>
          <w:sz w:val="48"/>
          <w:szCs w:val="48"/>
        </w:rPr>
        <w:br w:type="page"/>
      </w:r>
      <w:r>
        <w:rPr>
          <w:rFonts w:hint="eastAsia" w:ascii="宋体" w:hAnsi="宋体" w:eastAsia="宋体" w:cs="宋体"/>
          <w:color w:val="auto"/>
          <w:lang w:eastAsia="zh-CN"/>
        </w:rPr>
        <w:t>一、</w:t>
      </w:r>
      <w:r>
        <w:rPr>
          <w:rFonts w:hint="eastAsia" w:ascii="宋体" w:hAnsi="宋体" w:eastAsia="宋体" w:cs="宋体"/>
          <w:color w:val="auto"/>
        </w:rPr>
        <w:t>说 明</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17" w:name="_Toc139343527"/>
      <w:bookmarkStart w:id="18" w:name="_Toc91029993"/>
      <w:bookmarkStart w:id="19" w:name="_Toc229198016"/>
      <w:bookmarkStart w:id="20" w:name="_Toc89058522"/>
      <w:bookmarkStart w:id="21" w:name="_Toc89586883"/>
      <w:bookmarkStart w:id="22" w:name="_Toc439687674"/>
      <w:bookmarkStart w:id="23" w:name="_Toc469850042"/>
      <w:bookmarkStart w:id="24" w:name="_Toc91477243"/>
      <w:r>
        <w:rPr>
          <w:rFonts w:hint="eastAsia" w:ascii="仿宋" w:hAnsi="仿宋" w:eastAsia="仿宋" w:cs="仿宋"/>
          <w:color w:val="auto"/>
          <w:sz w:val="28"/>
          <w:szCs w:val="28"/>
        </w:rPr>
        <w:t>资金来源</w:t>
      </w:r>
      <w:bookmarkEnd w:id="17"/>
      <w:bookmarkEnd w:id="18"/>
      <w:bookmarkEnd w:id="19"/>
      <w:bookmarkEnd w:id="20"/>
      <w:bookmarkEnd w:id="21"/>
      <w:bookmarkEnd w:id="22"/>
      <w:bookmarkEnd w:id="23"/>
      <w:bookmarkEnd w:id="24"/>
    </w:p>
    <w:p>
      <w:pPr>
        <w:numPr>
          <w:ilvl w:val="1"/>
          <w:numId w:val="2"/>
        </w:numPr>
        <w:tabs>
          <w:tab w:val="left" w:pos="525"/>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“投标资料表”中所述采购人已获得一笔“投标资料表”中所述资金，计划用于支付本次招标后所签订的合同项下的款项</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25" w:name="_Toc439687675"/>
      <w:bookmarkStart w:id="26" w:name="_Toc89586884"/>
      <w:bookmarkStart w:id="27" w:name="_Toc229198017"/>
      <w:bookmarkStart w:id="28" w:name="_Toc89058523"/>
      <w:bookmarkStart w:id="29" w:name="_Toc91477244"/>
      <w:bookmarkStart w:id="30" w:name="_Toc469850043"/>
      <w:bookmarkStart w:id="31" w:name="_Toc139343528"/>
      <w:bookmarkStart w:id="32" w:name="_Toc91029994"/>
      <w:r>
        <w:rPr>
          <w:rFonts w:hint="eastAsia" w:ascii="仿宋" w:hAnsi="仿宋" w:eastAsia="仿宋" w:cs="仿宋"/>
          <w:color w:val="auto"/>
          <w:sz w:val="28"/>
          <w:szCs w:val="28"/>
        </w:rPr>
        <w:t>采购人、采购代理机构及合格的供应商</w:t>
      </w:r>
      <w:bookmarkEnd w:id="25"/>
      <w:bookmarkEnd w:id="26"/>
      <w:bookmarkEnd w:id="27"/>
      <w:bookmarkEnd w:id="28"/>
      <w:bookmarkEnd w:id="29"/>
      <w:bookmarkEnd w:id="30"/>
      <w:bookmarkEnd w:id="31"/>
      <w:bookmarkEnd w:id="32"/>
    </w:p>
    <w:p>
      <w:pPr>
        <w:numPr>
          <w:ilvl w:val="1"/>
          <w:numId w:val="3"/>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a.采购人：是指依法提出招标项目进行招标的法人或其它组织。</w:t>
      </w:r>
    </w:p>
    <w:p>
      <w:pPr>
        <w:spacing w:line="500" w:lineRule="exact"/>
        <w:ind w:left="980" w:leftChars="250"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b.采购代理机构（以下简称“采购代理机构”）是指依法设立、从事招标代理业务并提供相关服务的社会中介组织。</w:t>
      </w:r>
    </w:p>
    <w:p>
      <w:pPr>
        <w:numPr>
          <w:ilvl w:val="1"/>
          <w:numId w:val="3"/>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合格的供应商 </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a.除非“投标资料表”中另有规定，凡是来自中华人民共和国境内（即“供应商的合格来源国”），有能力提供招标货物、工程、和服务的法人、其他组织或自然人均可投标。</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b.已按照招标公告要求购买（或下载）了招标文件。</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c.供应商在过去和现在都不应直接或间接地与采购人为采购本次招标的货物和服务进行设计，编制规范和其他文件所委托的咨询公司或其附属机构有任何关联。</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d.只有独立于采购代理机构和采购人的供应商才能参加投标。</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e.符合本章第九节“投标资料表”及第三章“技术要求”规定的其它资格要求的供应商。</w:t>
      </w:r>
    </w:p>
    <w:p>
      <w:pPr>
        <w:tabs>
          <w:tab w:val="left" w:pos="525"/>
        </w:tabs>
        <w:spacing w:line="500" w:lineRule="exact"/>
        <w:ind w:left="918" w:leftChars="228" w:hanging="280" w:hangingChars="100"/>
        <w:rPr>
          <w:rFonts w:hint="eastAsia" w:ascii="仿宋" w:hAnsi="仿宋" w:eastAsia="仿宋" w:cs="仿宋"/>
          <w:color w:val="auto"/>
          <w:sz w:val="28"/>
          <w:szCs w:val="28"/>
        </w:rPr>
      </w:pPr>
      <w:r>
        <w:rPr>
          <w:rFonts w:hint="eastAsia" w:ascii="仿宋" w:hAnsi="仿宋" w:eastAsia="仿宋" w:cs="仿宋"/>
          <w:color w:val="auto"/>
          <w:sz w:val="28"/>
          <w:szCs w:val="28"/>
        </w:rPr>
        <w:t>f. “投标资料表”中允许联合体投标的，联合体还应符合以下条件：</w:t>
      </w:r>
    </w:p>
    <w:p>
      <w:pPr>
        <w:tabs>
          <w:tab w:val="left" w:pos="525"/>
        </w:tabs>
        <w:spacing w:line="500" w:lineRule="exact"/>
        <w:ind w:left="938" w:leftChars="285"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（1）两个或者两个以上供应商可以组成一个投标联合体，以一个供应商的身份共同参加投标。</w:t>
      </w:r>
    </w:p>
    <w:p>
      <w:pPr>
        <w:tabs>
          <w:tab w:val="left" w:pos="525"/>
        </w:tabs>
        <w:spacing w:line="500" w:lineRule="exact"/>
        <w:ind w:left="938" w:leftChars="285"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（2）以联合体形式参加投标的，联合体各方均应当符合政府采购法第二十二条第一款规定的条件。联合体各方中至少应当有一方符合采购单位根据采购项目的要求规定的特定条件。</w:t>
      </w:r>
    </w:p>
    <w:p>
      <w:pPr>
        <w:tabs>
          <w:tab w:val="left" w:pos="525"/>
        </w:tabs>
        <w:spacing w:line="500" w:lineRule="exact"/>
        <w:ind w:left="938" w:leftChars="285"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3）联合体各方之间应当签订联合体协议，明确约定联合体各方承担的工作和相应的责任，并将共同投标协议连同投标文件一并提交。联合体各方签订联合体协议后，不得再以自己名义单独在同一项目中投标，也不得组成新的联合体参加同一项目投标。联合体中标的，联合体各方应共同与采购人签订采购合同，就采购合同约定的事项对采购人承担连带责任。</w:t>
      </w:r>
    </w:p>
    <w:p>
      <w:pPr>
        <w:tabs>
          <w:tab w:val="left" w:pos="525"/>
        </w:tabs>
        <w:spacing w:line="500" w:lineRule="exact"/>
        <w:ind w:left="938" w:leftChars="285"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（4）联合体中有同类资质的供应商按照联合体分工承担相同工作的，应当按照资质等级较低的供应商确定资质等级。</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33" w:name="_Toc89058524"/>
      <w:bookmarkStart w:id="34" w:name="_Toc229198018"/>
      <w:bookmarkStart w:id="35" w:name="_Toc469850044"/>
      <w:bookmarkStart w:id="36" w:name="_Toc439687676"/>
      <w:bookmarkStart w:id="37" w:name="_Toc139343529"/>
      <w:bookmarkStart w:id="38" w:name="_Toc89586885"/>
      <w:bookmarkStart w:id="39" w:name="_Toc91029995"/>
      <w:bookmarkStart w:id="40" w:name="_Toc91477245"/>
      <w:r>
        <w:rPr>
          <w:rFonts w:hint="eastAsia" w:ascii="仿宋" w:hAnsi="仿宋" w:eastAsia="仿宋" w:cs="仿宋"/>
          <w:color w:val="auto"/>
          <w:sz w:val="28"/>
          <w:szCs w:val="28"/>
        </w:rPr>
        <w:t>合格的货物和服务</w:t>
      </w:r>
      <w:bookmarkEnd w:id="33"/>
      <w:bookmarkEnd w:id="34"/>
      <w:bookmarkEnd w:id="35"/>
      <w:bookmarkEnd w:id="36"/>
      <w:bookmarkEnd w:id="37"/>
      <w:bookmarkEnd w:id="38"/>
      <w:bookmarkEnd w:id="39"/>
      <w:bookmarkEnd w:id="40"/>
    </w:p>
    <w:p>
      <w:pPr>
        <w:numPr>
          <w:ilvl w:val="1"/>
          <w:numId w:val="4"/>
        </w:numPr>
        <w:tabs>
          <w:tab w:val="left" w:pos="525"/>
        </w:tabs>
        <w:spacing w:line="500" w:lineRule="exact"/>
        <w:ind w:left="525" w:hanging="525"/>
        <w:jc w:val="left"/>
        <w:rPr>
          <w:rFonts w:hint="eastAsia" w:ascii="仿宋" w:hAnsi="仿宋" w:eastAsia="仿宋" w:cs="仿宋"/>
          <w:color w:val="auto"/>
          <w:sz w:val="28"/>
          <w:szCs w:val="28"/>
        </w:rPr>
      </w:pPr>
      <w:r>
        <w:rPr>
          <w:rFonts w:hint="eastAsia" w:ascii="仿宋" w:hAnsi="仿宋" w:eastAsia="仿宋" w:cs="仿宋"/>
          <w:color w:val="auto"/>
          <w:sz w:val="28"/>
          <w:szCs w:val="28"/>
        </w:rPr>
        <w:t xml:space="preserve"> 合同中提供的所有货物及其有关服务的原产地，均应来自“投标资料表”规 定的货物和服务的合格来源国，本合同的支付也仅限于这些货物和服务。</w:t>
      </w:r>
    </w:p>
    <w:p>
      <w:pPr>
        <w:numPr>
          <w:ilvl w:val="1"/>
          <w:numId w:val="4"/>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本款所述的“原产地”是指货物设计、生产和提供有关服务的来源地。所述的“货物”是指生产、加工或实质上装配了主要部件而形成的货物，商业上公认的产品是指在基本特征、性能或功能上与部件有着实质性区别的产品。</w:t>
      </w:r>
    </w:p>
    <w:p>
      <w:pPr>
        <w:numPr>
          <w:ilvl w:val="1"/>
          <w:numId w:val="4"/>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就本招标文件而言，供应商在合同项下需要提供安装、集成、包括与信息处理和交流有关的硬件、软件，以及所有有关的文件，统称“货物”；由供应商提供的有关运输、保险、安装、集成、调试、培训、技术支持、维护和维修以及其它使货物正常运转所必需的服务，统称“服务”。</w:t>
      </w:r>
    </w:p>
    <w:p>
      <w:pPr>
        <w:numPr>
          <w:ilvl w:val="1"/>
          <w:numId w:val="4"/>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“节能产品”是指财政部发布的《节能产品政府采购清单》中列明的产品；</w:t>
      </w:r>
    </w:p>
    <w:p>
      <w:pPr>
        <w:tabs>
          <w:tab w:val="left" w:pos="525"/>
        </w:tabs>
        <w:spacing w:line="500" w:lineRule="exact"/>
        <w:ind w:left="619" w:leftChars="171"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“环保标志产品”是指财政部发布的《环境标志产品政府采购清单》中列明的产品；</w:t>
      </w:r>
    </w:p>
    <w:p>
      <w:pPr>
        <w:numPr>
          <w:ilvl w:val="1"/>
          <w:numId w:val="4"/>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“进口产品”是指通过中国海关报关验放进入中国境内且产自关境外的产品，详见《关于政府采购进口产品管理有关问题的通知》（财库【2007】119号）。</w:t>
      </w:r>
    </w:p>
    <w:p>
      <w:pPr>
        <w:numPr>
          <w:ilvl w:val="1"/>
          <w:numId w:val="4"/>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通过签署投标函，供应商应确认其为所供硬件和软件的知识产权的合法所有人，或已经从其所有人那里得到了适当的授权。在此方面恶意地提供错误事实，将导致采购代理机构和采购人拒绝有关投标。</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41" w:name="_Toc89058525"/>
      <w:bookmarkStart w:id="42" w:name="_Toc91477246"/>
      <w:bookmarkStart w:id="43" w:name="_Toc469850045"/>
      <w:bookmarkStart w:id="44" w:name="_Toc229198019"/>
      <w:bookmarkStart w:id="45" w:name="_Toc439687677"/>
      <w:bookmarkStart w:id="46" w:name="_Toc89586886"/>
      <w:bookmarkStart w:id="47" w:name="_Toc91029996"/>
      <w:bookmarkStart w:id="48" w:name="_Toc139343530"/>
      <w:r>
        <w:rPr>
          <w:rFonts w:hint="eastAsia" w:ascii="仿宋" w:hAnsi="仿宋" w:eastAsia="仿宋" w:cs="仿宋"/>
          <w:color w:val="auto"/>
          <w:sz w:val="28"/>
          <w:szCs w:val="28"/>
        </w:rPr>
        <w:t>投标费用</w:t>
      </w:r>
      <w:bookmarkEnd w:id="41"/>
      <w:bookmarkEnd w:id="42"/>
      <w:bookmarkEnd w:id="43"/>
      <w:bookmarkEnd w:id="44"/>
      <w:bookmarkEnd w:id="45"/>
      <w:bookmarkEnd w:id="46"/>
      <w:bookmarkEnd w:id="47"/>
      <w:bookmarkEnd w:id="48"/>
    </w:p>
    <w:p>
      <w:pPr>
        <w:numPr>
          <w:ilvl w:val="1"/>
          <w:numId w:val="5"/>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供应商应承担所有与准备和参加投标有关的费用。不论投标的结果如何，“投标资料表”中所述的采购代理机构和采购人在任何情况下均无义务和责任承担这些费用。</w:t>
      </w:r>
    </w:p>
    <w:p>
      <w:pPr>
        <w:numPr>
          <w:ilvl w:val="1"/>
          <w:numId w:val="5"/>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供应商应承担本章第九节 “投标资料表”所要求的其他费用。</w:t>
      </w:r>
      <w:bookmarkStart w:id="49" w:name="_Toc229198020"/>
      <w:bookmarkStart w:id="50" w:name="_Toc469850046"/>
      <w:bookmarkStart w:id="51" w:name="_Toc139343531"/>
      <w:bookmarkStart w:id="52" w:name="_Toc89586887"/>
      <w:bookmarkStart w:id="53" w:name="_Toc89058526"/>
      <w:bookmarkStart w:id="54" w:name="_Toc91477247"/>
      <w:bookmarkStart w:id="55" w:name="_Toc439687678"/>
      <w:bookmarkStart w:id="56" w:name="_Toc91029997"/>
    </w:p>
    <w:p>
      <w:pPr>
        <w:pStyle w:val="5"/>
        <w:spacing w:line="440" w:lineRule="exact"/>
        <w:rPr>
          <w:rFonts w:hint="eastAsia" w:ascii="仿宋" w:hAnsi="仿宋" w:eastAsia="仿宋" w:cs="仿宋"/>
          <w:color w:val="auto"/>
          <w:sz w:val="28"/>
          <w:szCs w:val="28"/>
        </w:rPr>
      </w:pPr>
    </w:p>
    <w:p>
      <w:pPr>
        <w:pStyle w:val="5"/>
        <w:spacing w:line="440" w:lineRule="exact"/>
        <w:jc w:val="center"/>
        <w:rPr>
          <w:rFonts w:hint="eastAsia" w:ascii="仿宋" w:hAnsi="仿宋" w:eastAsia="仿宋" w:cs="仿宋"/>
          <w:color w:val="auto"/>
          <w:sz w:val="28"/>
          <w:szCs w:val="28"/>
        </w:rPr>
      </w:pPr>
      <w:bookmarkStart w:id="57" w:name="_Toc13153"/>
      <w:r>
        <w:rPr>
          <w:rFonts w:hint="eastAsia" w:ascii="仿宋" w:hAnsi="仿宋" w:eastAsia="仿宋" w:cs="仿宋"/>
          <w:color w:val="auto"/>
          <w:sz w:val="28"/>
          <w:szCs w:val="28"/>
        </w:rPr>
        <w:t>二、 招标文件</w:t>
      </w:r>
      <w:bookmarkEnd w:id="49"/>
      <w:bookmarkEnd w:id="50"/>
      <w:bookmarkEnd w:id="51"/>
      <w:bookmarkEnd w:id="52"/>
      <w:bookmarkEnd w:id="53"/>
      <w:bookmarkEnd w:id="54"/>
      <w:bookmarkEnd w:id="55"/>
      <w:bookmarkEnd w:id="56"/>
      <w:bookmarkEnd w:id="57"/>
    </w:p>
    <w:p>
      <w:pPr>
        <w:pStyle w:val="6"/>
        <w:numPr>
          <w:ilvl w:val="0"/>
          <w:numId w:val="1"/>
        </w:numPr>
        <w:tabs>
          <w:tab w:val="left" w:pos="720"/>
        </w:tabs>
        <w:spacing w:line="500" w:lineRule="exact"/>
        <w:rPr>
          <w:rFonts w:hint="eastAsia" w:ascii="仿宋" w:hAnsi="仿宋" w:eastAsia="仿宋" w:cs="仿宋"/>
          <w:color w:val="auto"/>
          <w:sz w:val="28"/>
          <w:szCs w:val="28"/>
        </w:rPr>
      </w:pPr>
      <w:bookmarkStart w:id="58" w:name="_Toc91477248"/>
      <w:bookmarkStart w:id="59" w:name="_Toc89058527"/>
      <w:bookmarkStart w:id="60" w:name="_Toc91029998"/>
      <w:bookmarkStart w:id="61" w:name="_Toc229198021"/>
      <w:bookmarkStart w:id="62" w:name="_Toc439687679"/>
      <w:bookmarkStart w:id="63" w:name="_Toc469850047"/>
      <w:bookmarkStart w:id="64" w:name="_Toc89586888"/>
      <w:bookmarkStart w:id="65" w:name="_Toc139343532"/>
      <w:r>
        <w:rPr>
          <w:rFonts w:hint="eastAsia" w:ascii="仿宋" w:hAnsi="仿宋" w:eastAsia="仿宋" w:cs="仿宋"/>
          <w:color w:val="auto"/>
          <w:sz w:val="28"/>
          <w:szCs w:val="28"/>
        </w:rPr>
        <w:t>招标文件构成</w:t>
      </w:r>
      <w:bookmarkEnd w:id="58"/>
      <w:bookmarkEnd w:id="59"/>
      <w:bookmarkEnd w:id="60"/>
      <w:bookmarkEnd w:id="61"/>
      <w:bookmarkEnd w:id="62"/>
      <w:bookmarkEnd w:id="63"/>
      <w:bookmarkEnd w:id="64"/>
      <w:bookmarkEnd w:id="65"/>
    </w:p>
    <w:p>
      <w:pPr>
        <w:numPr>
          <w:ilvl w:val="1"/>
          <w:numId w:val="6"/>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招标文件用以阐明所需货物及服务、招标、投标程序和合同条款。招标文件由招标文件总目录所列内容组成。</w:t>
      </w:r>
    </w:p>
    <w:p>
      <w:pPr>
        <w:numPr>
          <w:ilvl w:val="1"/>
          <w:numId w:val="6"/>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供应商应认真阅读招标文件中所有的事项、格式、条款和技术规范等。供应商没有按照招标文件要求提交全部资料，或者投标没有对招标文件在各方面都做出实质性响应是供应商的风险，并可能导致其投标被视为无效投标。</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66" w:name="_Toc439687680"/>
      <w:bookmarkStart w:id="67" w:name="_Toc89058528"/>
      <w:bookmarkStart w:id="68" w:name="_Toc91029999"/>
      <w:bookmarkStart w:id="69" w:name="_Toc91477249"/>
      <w:bookmarkStart w:id="70" w:name="_Toc89586889"/>
      <w:bookmarkStart w:id="71" w:name="_Toc469850048"/>
      <w:bookmarkStart w:id="72" w:name="_Toc229198022"/>
      <w:bookmarkStart w:id="73" w:name="_Toc139343533"/>
      <w:r>
        <w:rPr>
          <w:rFonts w:hint="eastAsia" w:ascii="仿宋" w:hAnsi="仿宋" w:eastAsia="仿宋" w:cs="仿宋"/>
          <w:color w:val="auto"/>
          <w:sz w:val="28"/>
          <w:szCs w:val="28"/>
        </w:rPr>
        <w:t>招标文件的澄清</w:t>
      </w:r>
      <w:bookmarkEnd w:id="66"/>
      <w:bookmarkEnd w:id="67"/>
      <w:bookmarkEnd w:id="68"/>
      <w:bookmarkEnd w:id="69"/>
      <w:bookmarkEnd w:id="70"/>
      <w:bookmarkEnd w:id="71"/>
      <w:bookmarkEnd w:id="72"/>
      <w:bookmarkEnd w:id="73"/>
    </w:p>
    <w:p>
      <w:pPr>
        <w:numPr>
          <w:ilvl w:val="1"/>
          <w:numId w:val="7"/>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任何要求对招标文件进行澄清的供应商，均应以书面形式通知采购代理机构。采购代理机构联系方式见“投标资料表”。采购代理机构对其在“投标资料表”中所述投标截止期十五(15)天以前收到的对招标文件的澄清要求，如认为有必要，将以书面形式予以答复，同时将书面答复发给每个获取招标文件的供应商(答复中不包括问题的来源、不涉及商业秘密)。</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74" w:name="_Toc139343534"/>
      <w:bookmarkStart w:id="75" w:name="_Toc229198023"/>
      <w:bookmarkStart w:id="76" w:name="_Toc439687681"/>
      <w:bookmarkStart w:id="77" w:name="_Toc91030000"/>
      <w:bookmarkStart w:id="78" w:name="_Toc469850049"/>
      <w:bookmarkStart w:id="79" w:name="_Toc89058529"/>
      <w:bookmarkStart w:id="80" w:name="_Toc91477250"/>
      <w:bookmarkStart w:id="81" w:name="_Toc89586890"/>
      <w:r>
        <w:rPr>
          <w:rFonts w:hint="eastAsia" w:ascii="仿宋" w:hAnsi="仿宋" w:eastAsia="仿宋" w:cs="仿宋"/>
          <w:color w:val="auto"/>
          <w:sz w:val="28"/>
          <w:szCs w:val="28"/>
        </w:rPr>
        <w:t>招标文件的修改</w:t>
      </w:r>
      <w:bookmarkEnd w:id="74"/>
      <w:bookmarkEnd w:id="75"/>
      <w:bookmarkEnd w:id="76"/>
      <w:bookmarkEnd w:id="77"/>
      <w:bookmarkEnd w:id="78"/>
      <w:bookmarkEnd w:id="79"/>
      <w:bookmarkEnd w:id="80"/>
      <w:bookmarkEnd w:id="81"/>
    </w:p>
    <w:p>
      <w:pPr>
        <w:numPr>
          <w:ilvl w:val="1"/>
          <w:numId w:val="8"/>
        </w:numPr>
        <w:tabs>
          <w:tab w:val="left" w:pos="525"/>
        </w:tabs>
        <w:spacing w:line="500" w:lineRule="exact"/>
        <w:ind w:left="527" w:hanging="527"/>
        <w:contextualSpacing/>
        <w:rPr>
          <w:rFonts w:hint="eastAsia" w:ascii="仿宋" w:hAnsi="仿宋" w:eastAsia="仿宋" w:cs="仿宋"/>
          <w:color w:val="auto"/>
          <w:sz w:val="28"/>
          <w:szCs w:val="28"/>
        </w:rPr>
      </w:pPr>
      <w:r>
        <w:rPr>
          <w:rFonts w:hint="eastAsia" w:ascii="仿宋" w:hAnsi="仿宋" w:eastAsia="仿宋" w:cs="仿宋"/>
          <w:color w:val="auto"/>
          <w:sz w:val="28"/>
          <w:szCs w:val="28"/>
        </w:rPr>
        <w:t xml:space="preserve"> 投标截止时间15（十五）天前，无论出于何种原因，采购代理机构可主动地或在解答供应商提出的澄清问题时对招标文件进行修改，招标文件的修改书将构成招标文件的一部分。</w:t>
      </w:r>
    </w:p>
    <w:p>
      <w:pPr>
        <w:numPr>
          <w:ilvl w:val="1"/>
          <w:numId w:val="8"/>
        </w:numPr>
        <w:tabs>
          <w:tab w:val="left" w:pos="525"/>
        </w:tabs>
        <w:spacing w:line="500" w:lineRule="exact"/>
        <w:ind w:left="527" w:hanging="527"/>
        <w:contextualSpacing/>
        <w:rPr>
          <w:rFonts w:hint="eastAsia" w:ascii="仿宋" w:hAnsi="仿宋" w:eastAsia="仿宋" w:cs="仿宋"/>
          <w:color w:val="auto"/>
          <w:sz w:val="28"/>
          <w:szCs w:val="28"/>
        </w:rPr>
      </w:pPr>
      <w:r>
        <w:rPr>
          <w:rFonts w:hint="eastAsia" w:ascii="仿宋" w:hAnsi="仿宋" w:eastAsia="仿宋" w:cs="仿宋"/>
          <w:color w:val="auto"/>
          <w:sz w:val="28"/>
          <w:szCs w:val="28"/>
        </w:rPr>
        <w:t xml:space="preserve"> 招标文件的修改将以书面形式通知所有获取招标文件的供应商，并对其具有约束力。供应商在收到上述通知后，应立即以书面形式向采购代理机构予以确认；在规定时间内未收到回复确认的，将视为默认接受。</w:t>
      </w:r>
    </w:p>
    <w:p>
      <w:pPr>
        <w:numPr>
          <w:ilvl w:val="1"/>
          <w:numId w:val="8"/>
        </w:numPr>
        <w:tabs>
          <w:tab w:val="left" w:pos="525"/>
        </w:tabs>
        <w:spacing w:line="500" w:lineRule="exact"/>
        <w:ind w:left="527" w:hanging="527"/>
        <w:contextualSpacing/>
        <w:rPr>
          <w:rFonts w:hint="eastAsia" w:ascii="仿宋" w:hAnsi="仿宋" w:eastAsia="仿宋" w:cs="仿宋"/>
          <w:color w:val="auto"/>
          <w:sz w:val="28"/>
          <w:szCs w:val="28"/>
        </w:rPr>
      </w:pPr>
      <w:r>
        <w:rPr>
          <w:rFonts w:hint="eastAsia" w:ascii="仿宋" w:hAnsi="仿宋" w:eastAsia="仿宋" w:cs="仿宋"/>
          <w:color w:val="auto"/>
          <w:sz w:val="28"/>
          <w:szCs w:val="28"/>
        </w:rPr>
        <w:t xml:space="preserve"> 为使供应商准备投标时有充分时间对招标文件的修改部分进行研究，采购代理机构可自行决定是否延长投标截止日期和推迟开标时间。</w:t>
      </w:r>
    </w:p>
    <w:p>
      <w:pPr>
        <w:pStyle w:val="5"/>
        <w:spacing w:line="440" w:lineRule="exact"/>
        <w:contextualSpacing/>
        <w:jc w:val="center"/>
        <w:rPr>
          <w:rFonts w:hint="eastAsia" w:ascii="仿宋" w:hAnsi="仿宋" w:eastAsia="仿宋" w:cs="仿宋"/>
          <w:color w:val="auto"/>
          <w:sz w:val="28"/>
          <w:szCs w:val="28"/>
        </w:rPr>
      </w:pPr>
      <w:bookmarkStart w:id="82" w:name="_Toc229198024"/>
      <w:bookmarkStart w:id="83" w:name="_Toc89058530"/>
      <w:bookmarkStart w:id="84" w:name="_Toc13494"/>
      <w:bookmarkStart w:id="85" w:name="_Toc89586891"/>
      <w:bookmarkStart w:id="86" w:name="_Toc91477251"/>
      <w:bookmarkStart w:id="87" w:name="_Toc139343535"/>
      <w:bookmarkStart w:id="88" w:name="_Toc469850050"/>
      <w:bookmarkStart w:id="89" w:name="_Toc91030001"/>
      <w:bookmarkStart w:id="90" w:name="_Toc439687682"/>
    </w:p>
    <w:p>
      <w:pPr>
        <w:pStyle w:val="5"/>
        <w:spacing w:line="440" w:lineRule="exact"/>
        <w:contextualSpacing/>
        <w:jc w:val="center"/>
        <w:rPr>
          <w:rFonts w:hint="eastAsia" w:ascii="仿宋" w:hAnsi="仿宋" w:eastAsia="仿宋" w:cs="仿宋"/>
          <w:color w:val="auto"/>
          <w:sz w:val="28"/>
          <w:szCs w:val="28"/>
        </w:rPr>
      </w:pPr>
      <w:r>
        <w:rPr>
          <w:rFonts w:hint="eastAsia" w:ascii="仿宋" w:hAnsi="仿宋" w:eastAsia="仿宋" w:cs="仿宋"/>
          <w:color w:val="auto"/>
          <w:sz w:val="28"/>
          <w:szCs w:val="28"/>
        </w:rPr>
        <w:t>三、 投标文件的编制</w:t>
      </w:r>
      <w:bookmarkEnd w:id="82"/>
      <w:bookmarkEnd w:id="83"/>
      <w:bookmarkEnd w:id="84"/>
      <w:bookmarkEnd w:id="85"/>
      <w:bookmarkEnd w:id="86"/>
      <w:bookmarkEnd w:id="87"/>
      <w:bookmarkEnd w:id="88"/>
      <w:bookmarkEnd w:id="89"/>
      <w:bookmarkEnd w:id="90"/>
    </w:p>
    <w:p>
      <w:pPr>
        <w:pStyle w:val="6"/>
        <w:numPr>
          <w:ilvl w:val="0"/>
          <w:numId w:val="1"/>
        </w:numPr>
        <w:tabs>
          <w:tab w:val="left" w:pos="720"/>
        </w:tabs>
        <w:spacing w:line="500" w:lineRule="exact"/>
        <w:contextualSpacing/>
        <w:rPr>
          <w:rFonts w:hint="eastAsia" w:ascii="仿宋" w:hAnsi="仿宋" w:eastAsia="仿宋" w:cs="仿宋"/>
          <w:color w:val="auto"/>
          <w:sz w:val="28"/>
          <w:szCs w:val="28"/>
        </w:rPr>
      </w:pPr>
      <w:bookmarkStart w:id="91" w:name="_Toc439687683"/>
      <w:bookmarkStart w:id="92" w:name="_Toc91477252"/>
      <w:bookmarkStart w:id="93" w:name="_Toc229198025"/>
      <w:bookmarkStart w:id="94" w:name="_Toc89058531"/>
      <w:bookmarkStart w:id="95" w:name="_Toc139343536"/>
      <w:bookmarkStart w:id="96" w:name="_Toc91030002"/>
      <w:bookmarkStart w:id="97" w:name="_Toc89586892"/>
      <w:bookmarkStart w:id="98" w:name="_Toc469850051"/>
      <w:r>
        <w:rPr>
          <w:rFonts w:hint="eastAsia" w:ascii="仿宋" w:hAnsi="仿宋" w:eastAsia="仿宋" w:cs="仿宋"/>
          <w:color w:val="auto"/>
          <w:sz w:val="28"/>
          <w:szCs w:val="28"/>
        </w:rPr>
        <w:t>投标文件编制的原则</w:t>
      </w:r>
      <w:bookmarkEnd w:id="91"/>
      <w:bookmarkEnd w:id="92"/>
      <w:bookmarkEnd w:id="93"/>
      <w:bookmarkEnd w:id="94"/>
      <w:bookmarkEnd w:id="95"/>
      <w:bookmarkEnd w:id="96"/>
      <w:bookmarkEnd w:id="97"/>
    </w:p>
    <w:p>
      <w:pPr>
        <w:numPr>
          <w:ilvl w:val="1"/>
          <w:numId w:val="9"/>
        </w:numPr>
        <w:tabs>
          <w:tab w:val="left" w:pos="525"/>
        </w:tabs>
        <w:snapToGrid w:val="0"/>
        <w:spacing w:line="500" w:lineRule="exact"/>
        <w:ind w:left="525" w:hanging="525"/>
        <w:contextualSpacing/>
        <w:rPr>
          <w:rFonts w:hint="eastAsia" w:ascii="仿宋" w:hAnsi="仿宋" w:eastAsia="仿宋" w:cs="仿宋"/>
          <w:b/>
          <w:color w:val="auto"/>
          <w:sz w:val="28"/>
          <w:szCs w:val="28"/>
        </w:rPr>
      </w:pPr>
      <w:r>
        <w:rPr>
          <w:rFonts w:hint="eastAsia" w:ascii="仿宋" w:hAnsi="仿宋" w:eastAsia="仿宋" w:cs="仿宋"/>
          <w:b/>
          <w:color w:val="auto"/>
          <w:sz w:val="28"/>
          <w:szCs w:val="28"/>
        </w:rPr>
        <w:t>供应商应在认真阅读招标文件所有内容的基础上，按照招标文件的要求编制完整的投标文件。招标文件中对投标文件格式有要求的，应按格式逐项填写内容。</w:t>
      </w:r>
    </w:p>
    <w:p>
      <w:pPr>
        <w:numPr>
          <w:ilvl w:val="1"/>
          <w:numId w:val="9"/>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供应商必须保证投标文件所提供的全部资料真实可靠，并接受采购人和采购代理机构对其中任何资料进一步审查的要求。</w:t>
      </w:r>
    </w:p>
    <w:p>
      <w:pPr>
        <w:numPr>
          <w:ilvl w:val="1"/>
          <w:numId w:val="9"/>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投标文件须对招标文件中的内容做出实质性和完整的响应，否则其投标将被视为无效投标。</w:t>
      </w:r>
    </w:p>
    <w:p>
      <w:pPr>
        <w:numPr>
          <w:ilvl w:val="1"/>
          <w:numId w:val="9"/>
        </w:numPr>
        <w:tabs>
          <w:tab w:val="left" w:pos="525"/>
        </w:tabs>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投标文件编制格式其它特殊要求详见“投标资料表”。</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99" w:name="_Toc89586893"/>
      <w:bookmarkStart w:id="100" w:name="_Toc229198026"/>
      <w:bookmarkStart w:id="101" w:name="_Toc91477253"/>
      <w:bookmarkStart w:id="102" w:name="_Toc89058532"/>
      <w:bookmarkStart w:id="103" w:name="_Toc139343537"/>
      <w:bookmarkStart w:id="104" w:name="_Toc439687684"/>
      <w:bookmarkStart w:id="105" w:name="_Toc91030003"/>
      <w:r>
        <w:rPr>
          <w:rFonts w:hint="eastAsia" w:ascii="仿宋" w:hAnsi="仿宋" w:eastAsia="仿宋" w:cs="仿宋"/>
          <w:color w:val="auto"/>
          <w:sz w:val="28"/>
          <w:szCs w:val="28"/>
        </w:rPr>
        <w:t>投标的语言</w:t>
      </w:r>
      <w:bookmarkEnd w:id="98"/>
      <w:r>
        <w:rPr>
          <w:rFonts w:hint="eastAsia" w:ascii="仿宋" w:hAnsi="仿宋" w:eastAsia="仿宋" w:cs="仿宋"/>
          <w:color w:val="auto"/>
          <w:sz w:val="28"/>
          <w:szCs w:val="28"/>
        </w:rPr>
        <w:t>和计量单位</w:t>
      </w:r>
      <w:bookmarkEnd w:id="99"/>
      <w:bookmarkEnd w:id="100"/>
      <w:bookmarkEnd w:id="101"/>
      <w:bookmarkEnd w:id="102"/>
      <w:bookmarkEnd w:id="103"/>
      <w:bookmarkEnd w:id="104"/>
      <w:bookmarkEnd w:id="105"/>
    </w:p>
    <w:p>
      <w:pPr>
        <w:numPr>
          <w:ilvl w:val="1"/>
          <w:numId w:val="10"/>
        </w:numPr>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供应商提交的投标文件以及供应商与采购代理机构或采购人就有关投标的所有来往函电均应使用中文（汉语）书写。供应商提交的支持文件和印制的文献可以用另一种语言，但相应内容应附有中文（汉语）的翻译本，在解释投标文件时以中文（汉语）为准。</w:t>
      </w:r>
    </w:p>
    <w:p>
      <w:pPr>
        <w:numPr>
          <w:ilvl w:val="1"/>
          <w:numId w:val="10"/>
        </w:numPr>
        <w:spacing w:line="500" w:lineRule="exact"/>
        <w:ind w:left="525" w:hanging="525"/>
        <w:rPr>
          <w:rFonts w:hint="eastAsia" w:ascii="仿宋" w:hAnsi="仿宋" w:eastAsia="仿宋" w:cs="仿宋"/>
          <w:color w:val="auto"/>
          <w:sz w:val="28"/>
          <w:szCs w:val="28"/>
        </w:rPr>
      </w:pPr>
      <w:r>
        <w:rPr>
          <w:rFonts w:hint="eastAsia" w:ascii="仿宋" w:hAnsi="仿宋" w:eastAsia="仿宋" w:cs="仿宋"/>
          <w:color w:val="auto"/>
          <w:sz w:val="28"/>
          <w:szCs w:val="28"/>
        </w:rPr>
        <w:t xml:space="preserve"> 投标文件中所有的计量单位，除招标文件中有特殊要求外，应采用国家法定计量单位。</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106" w:name="_Toc469850052"/>
      <w:bookmarkStart w:id="107" w:name="_Toc91477254"/>
      <w:bookmarkStart w:id="108" w:name="_Toc139343538"/>
      <w:bookmarkStart w:id="109" w:name="_Toc439687685"/>
      <w:bookmarkStart w:id="110" w:name="_Toc91030004"/>
      <w:bookmarkStart w:id="111" w:name="_Toc89586894"/>
      <w:bookmarkStart w:id="112" w:name="_Toc229198027"/>
      <w:bookmarkStart w:id="113" w:name="_Toc89058533"/>
      <w:r>
        <w:rPr>
          <w:rFonts w:hint="eastAsia" w:ascii="仿宋" w:hAnsi="仿宋" w:eastAsia="仿宋" w:cs="仿宋"/>
          <w:color w:val="auto"/>
          <w:sz w:val="28"/>
          <w:szCs w:val="28"/>
        </w:rPr>
        <w:t>投标文件构成</w:t>
      </w:r>
      <w:bookmarkEnd w:id="106"/>
      <w:bookmarkEnd w:id="107"/>
      <w:bookmarkEnd w:id="108"/>
      <w:bookmarkEnd w:id="109"/>
      <w:bookmarkEnd w:id="110"/>
      <w:bookmarkEnd w:id="111"/>
      <w:bookmarkEnd w:id="112"/>
      <w:bookmarkEnd w:id="113"/>
    </w:p>
    <w:p>
      <w:pPr>
        <w:numPr>
          <w:ilvl w:val="0"/>
          <w:numId w:val="11"/>
        </w:numPr>
        <w:tabs>
          <w:tab w:val="left" w:pos="525"/>
        </w:tabs>
        <w:spacing w:line="500" w:lineRule="exact"/>
        <w:ind w:left="525" w:hanging="525"/>
        <w:jc w:val="left"/>
        <w:rPr>
          <w:rFonts w:hint="eastAsia" w:ascii="仿宋" w:hAnsi="仿宋" w:eastAsia="仿宋" w:cs="仿宋"/>
          <w:color w:val="auto"/>
          <w:sz w:val="28"/>
          <w:szCs w:val="28"/>
        </w:rPr>
      </w:pPr>
      <w:r>
        <w:rPr>
          <w:rFonts w:hint="eastAsia" w:ascii="仿宋" w:hAnsi="仿宋" w:eastAsia="仿宋" w:cs="仿宋"/>
          <w:color w:val="auto"/>
          <w:sz w:val="28"/>
          <w:szCs w:val="28"/>
        </w:rPr>
        <w:t>不管是供应商单独投标或是作为投标联合体的成员参与投标，每个供应商只能提交一份投标文件。提交或参与了一份以上投标文件的供应商（作为分包人或允许或要求提交备选标的情况除外）将使其参与的全部投标无效。</w:t>
      </w:r>
    </w:p>
    <w:p>
      <w:pPr>
        <w:spacing w:line="500" w:lineRule="exact"/>
        <w:ind w:left="523" w:hanging="610" w:hangingChars="218"/>
        <w:rPr>
          <w:rFonts w:hint="eastAsia" w:ascii="仿宋" w:hAnsi="仿宋" w:eastAsia="仿宋" w:cs="仿宋"/>
          <w:b/>
          <w:color w:val="auto"/>
          <w:sz w:val="28"/>
          <w:szCs w:val="28"/>
        </w:rPr>
      </w:pPr>
      <w:r>
        <w:rPr>
          <w:rFonts w:hint="eastAsia" w:ascii="仿宋" w:hAnsi="仿宋" w:eastAsia="仿宋" w:cs="仿宋"/>
          <w:color w:val="auto"/>
          <w:sz w:val="28"/>
          <w:szCs w:val="28"/>
        </w:rPr>
        <w:t>10.2供应商编写的投标文件应由资格证明文件、商务和技术文件（包括技术响应、技术方案、样本资料等）组成。须按如下顺序编制，</w:t>
      </w:r>
      <w:r>
        <w:rPr>
          <w:rFonts w:hint="eastAsia" w:ascii="仿宋" w:hAnsi="仿宋" w:eastAsia="仿宋" w:cs="仿宋"/>
          <w:b/>
          <w:color w:val="auto"/>
          <w:sz w:val="28"/>
          <w:szCs w:val="28"/>
        </w:rPr>
        <w:t>建立清晰目录</w:t>
      </w:r>
    </w:p>
    <w:p>
      <w:pPr>
        <w:pStyle w:val="16"/>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10.2.1资格证明文件应包括的内容见本须知第九节“投标资料表”。</w:t>
      </w:r>
    </w:p>
    <w:p>
      <w:pPr>
        <w:pStyle w:val="16"/>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 xml:space="preserve">    10.2.2</w:t>
      </w:r>
      <w:r>
        <w:rPr>
          <w:rFonts w:hint="eastAsia" w:ascii="仿宋" w:hAnsi="仿宋" w:eastAsia="仿宋" w:cs="仿宋"/>
          <w:color w:val="auto"/>
          <w:sz w:val="28"/>
          <w:szCs w:val="28"/>
        </w:rPr>
        <w:t>商务文件</w:t>
      </w:r>
      <w:r>
        <w:rPr>
          <w:rFonts w:hint="eastAsia" w:ascii="仿宋" w:hAnsi="仿宋" w:eastAsia="仿宋" w:cs="仿宋"/>
          <w:color w:val="auto"/>
          <w:sz w:val="28"/>
          <w:szCs w:val="28"/>
          <w:shd w:val="clear" w:color="auto" w:fill="FFFFFF"/>
        </w:rPr>
        <w:t>部分应包括</w:t>
      </w:r>
      <w:r>
        <w:rPr>
          <w:rFonts w:hint="eastAsia" w:ascii="仿宋" w:hAnsi="仿宋" w:eastAsia="仿宋" w:cs="仿宋"/>
          <w:color w:val="auto"/>
          <w:sz w:val="28"/>
          <w:szCs w:val="28"/>
        </w:rPr>
        <w:t>的内容见本须知第九节“投标资料表”。</w:t>
      </w:r>
    </w:p>
    <w:p>
      <w:pPr>
        <w:pStyle w:val="16"/>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10.2.3</w:t>
      </w:r>
      <w:r>
        <w:rPr>
          <w:rFonts w:hint="eastAsia" w:ascii="仿宋" w:hAnsi="仿宋" w:eastAsia="仿宋" w:cs="仿宋"/>
          <w:color w:val="auto"/>
          <w:sz w:val="28"/>
          <w:szCs w:val="28"/>
          <w:shd w:val="clear" w:color="auto" w:fill="FFFFFF"/>
        </w:rPr>
        <w:t>技术文件部分应包括</w:t>
      </w:r>
      <w:r>
        <w:rPr>
          <w:rFonts w:hint="eastAsia" w:ascii="仿宋" w:hAnsi="仿宋" w:eastAsia="仿宋" w:cs="仿宋"/>
          <w:color w:val="auto"/>
          <w:sz w:val="28"/>
          <w:szCs w:val="28"/>
        </w:rPr>
        <w:t>的内容见本须知第九节“投标资料表”。</w:t>
      </w:r>
    </w:p>
    <w:p>
      <w:pPr>
        <w:pStyle w:val="16"/>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10.3除非第九节“投标资料表”中另有规定，本项目只允许供应商有一个投标方案，不接受任何有选择的方案和报价（包括有条件的折扣）。供应商未按要求，提供了选择方案和/或报价的，其投标将被视为无效投标。</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114" w:name="_Toc439687686"/>
      <w:bookmarkStart w:id="115" w:name="_Toc469850054"/>
      <w:bookmarkStart w:id="116" w:name="_Toc91477255"/>
      <w:bookmarkStart w:id="117" w:name="_Toc229198028"/>
      <w:bookmarkStart w:id="118" w:name="_Toc89058534"/>
      <w:bookmarkStart w:id="119" w:name="_Toc89586895"/>
      <w:bookmarkStart w:id="120" w:name="_Toc139343539"/>
      <w:bookmarkStart w:id="121" w:name="_Toc91030005"/>
      <w:r>
        <w:rPr>
          <w:rFonts w:hint="eastAsia" w:ascii="仿宋" w:hAnsi="仿宋" w:eastAsia="仿宋" w:cs="仿宋"/>
          <w:color w:val="auto"/>
          <w:sz w:val="28"/>
          <w:szCs w:val="28"/>
        </w:rPr>
        <w:t>投标报价</w:t>
      </w:r>
      <w:bookmarkEnd w:id="114"/>
      <w:bookmarkEnd w:id="115"/>
      <w:bookmarkEnd w:id="116"/>
      <w:bookmarkEnd w:id="117"/>
      <w:bookmarkEnd w:id="118"/>
      <w:bookmarkEnd w:id="119"/>
      <w:bookmarkEnd w:id="120"/>
      <w:bookmarkEnd w:id="121"/>
    </w:p>
    <w:p>
      <w:pPr>
        <w:numPr>
          <w:ilvl w:val="1"/>
          <w:numId w:val="12"/>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报价应以货到“投标资料表”中标明的项目现场为基础，包括招标文件规定的完成通过合同验收并正常运转所必需的有关设计、生产、运输、安装、集成、调试、培训、维修和技术支持和服务等所有卖方的全部责任和义务，以及可合理推断的责任和义务。除非另有规定，任何有选择的报价将不予接受，每种货物和服务只允许有一个报价。投标报价的其它要求详见本章第九节“投标资料表”及第三章“技术要求”的有关规定。</w:t>
      </w:r>
    </w:p>
    <w:p>
      <w:pPr>
        <w:numPr>
          <w:ilvl w:val="1"/>
          <w:numId w:val="12"/>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应按照招标文件附件提供的格式填写“开标一览表”和“投标分项报价表”。如果“开标一览表”中的报价与投标文件中的报价不符，以“开标一览表”中的价格为准。供应商应在投标分项报价表上标明对本次招标拟提供的货物和服务的价格，包括单价(如适用)和总价。如果单价与总价不符，以单价金额计算结果为准。</w:t>
      </w:r>
    </w:p>
    <w:p>
      <w:pPr>
        <w:numPr>
          <w:ilvl w:val="1"/>
          <w:numId w:val="12"/>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供应商应在投标分项报价表中对每个品目内的各个组成（模块）给予详细分项报价。</w:t>
      </w:r>
    </w:p>
    <w:p>
      <w:pPr>
        <w:numPr>
          <w:ilvl w:val="1"/>
          <w:numId w:val="12"/>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供应商根据上述供应商须知第11.3条的规定将投标价分成几部分，其目的是为了方便对投标文件进行比较，并不限制买方以任何条款签订合同的权利。</w:t>
      </w:r>
    </w:p>
    <w:p>
      <w:pPr>
        <w:numPr>
          <w:ilvl w:val="1"/>
          <w:numId w:val="12"/>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供应商所报的投标价在合同执行过程中是固定不变的，不得以任何理由予以变更。以可调整的价格提交的投标文件将作为非响应性投标而予以拒绝。</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122" w:name="_Toc91030006"/>
      <w:bookmarkStart w:id="123" w:name="_Toc139343540"/>
      <w:bookmarkStart w:id="124" w:name="_Toc89586896"/>
      <w:bookmarkStart w:id="125" w:name="_Toc229198029"/>
      <w:bookmarkStart w:id="126" w:name="_Toc89058535"/>
      <w:bookmarkStart w:id="127" w:name="_Toc91477256"/>
      <w:bookmarkStart w:id="128" w:name="_Toc439687687"/>
      <w:bookmarkStart w:id="129" w:name="_Toc469850055"/>
      <w:r>
        <w:rPr>
          <w:rFonts w:hint="eastAsia" w:ascii="仿宋" w:hAnsi="仿宋" w:eastAsia="仿宋" w:cs="仿宋"/>
          <w:color w:val="auto"/>
          <w:sz w:val="28"/>
          <w:szCs w:val="28"/>
        </w:rPr>
        <w:t>投标货币</w:t>
      </w:r>
      <w:bookmarkEnd w:id="122"/>
      <w:bookmarkEnd w:id="123"/>
      <w:bookmarkEnd w:id="124"/>
      <w:bookmarkEnd w:id="125"/>
      <w:bookmarkEnd w:id="126"/>
      <w:bookmarkEnd w:id="127"/>
      <w:bookmarkEnd w:id="128"/>
      <w:bookmarkEnd w:id="129"/>
    </w:p>
    <w:p>
      <w:pPr>
        <w:numPr>
          <w:ilvl w:val="1"/>
          <w:numId w:val="13"/>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投标应以人民币报价。</w:t>
      </w:r>
    </w:p>
    <w:p>
      <w:pPr>
        <w:pStyle w:val="6"/>
        <w:numPr>
          <w:ilvl w:val="0"/>
          <w:numId w:val="1"/>
        </w:numPr>
        <w:tabs>
          <w:tab w:val="left" w:pos="720"/>
        </w:tabs>
        <w:spacing w:line="500" w:lineRule="exact"/>
        <w:rPr>
          <w:rFonts w:hint="eastAsia" w:ascii="仿宋" w:hAnsi="仿宋" w:eastAsia="仿宋" w:cs="仿宋"/>
          <w:color w:val="auto"/>
          <w:sz w:val="28"/>
          <w:szCs w:val="28"/>
        </w:rPr>
      </w:pPr>
      <w:bookmarkStart w:id="130" w:name="_Toc89586897"/>
      <w:bookmarkStart w:id="131" w:name="_Toc439687688"/>
      <w:bookmarkStart w:id="132" w:name="_Toc139343541"/>
      <w:bookmarkStart w:id="133" w:name="_Toc91030007"/>
      <w:bookmarkStart w:id="134" w:name="_Toc229198030"/>
      <w:bookmarkStart w:id="135" w:name="_Toc469850056"/>
      <w:bookmarkStart w:id="136" w:name="_Toc91477257"/>
      <w:bookmarkStart w:id="137" w:name="_Toc89058536"/>
      <w:r>
        <w:rPr>
          <w:rFonts w:hint="eastAsia" w:ascii="仿宋" w:hAnsi="仿宋" w:eastAsia="仿宋" w:cs="仿宋"/>
          <w:color w:val="auto"/>
          <w:sz w:val="28"/>
          <w:szCs w:val="28"/>
        </w:rPr>
        <w:t>证明供应商合格和资格的文件</w:t>
      </w:r>
      <w:bookmarkEnd w:id="130"/>
      <w:bookmarkEnd w:id="131"/>
      <w:bookmarkEnd w:id="132"/>
      <w:bookmarkEnd w:id="133"/>
      <w:bookmarkEnd w:id="134"/>
      <w:bookmarkEnd w:id="135"/>
      <w:bookmarkEnd w:id="136"/>
      <w:bookmarkEnd w:id="137"/>
    </w:p>
    <w:p>
      <w:pPr>
        <w:numPr>
          <w:ilvl w:val="1"/>
          <w:numId w:val="14"/>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供应商应提交证明其有资格参加投标和中标后有能力履行合同的文件，并作为其投标的一部分。</w:t>
      </w:r>
    </w:p>
    <w:p>
      <w:pPr>
        <w:numPr>
          <w:ilvl w:val="1"/>
          <w:numId w:val="14"/>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供应商提交的合格性的证明文件应符合招标文件的要求，供应商在投标时应是来自供应商须知第2条定义的合格来源国。</w:t>
      </w:r>
    </w:p>
    <w:p>
      <w:pPr>
        <w:numPr>
          <w:ilvl w:val="1"/>
          <w:numId w:val="14"/>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供应商提交的中标后履行合同的资格证明文件应满足以下要求：</w:t>
      </w:r>
    </w:p>
    <w:p>
      <w:pPr>
        <w:numPr>
          <w:ilvl w:val="0"/>
          <w:numId w:val="15"/>
        </w:numPr>
        <w:tabs>
          <w:tab w:val="left" w:pos="8640"/>
        </w:tabs>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对于进口产品，如果供应商按照合同提供的货物不是供应商自己生产的，供应商应得到货物生产厂家同意其在中华人民共和国境内提供该货物的直接正式授权，第九节“投标资料表”中另有规定的从其规定；</w:t>
      </w:r>
    </w:p>
    <w:p>
      <w:pPr>
        <w:numPr>
          <w:ilvl w:val="0"/>
          <w:numId w:val="15"/>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供应商已具备履行合同所需的财务、技术和生产能力或提供服务的能力；</w:t>
      </w:r>
    </w:p>
    <w:p>
      <w:pPr>
        <w:numPr>
          <w:ilvl w:val="0"/>
          <w:numId w:val="15"/>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供应商应有能力履行“合同条款”和“技术要求”所规定的由卖方在项目现场提供保修、维修、供应备件的技术支持和服务；</w:t>
      </w:r>
    </w:p>
    <w:p>
      <w:pPr>
        <w:numPr>
          <w:ilvl w:val="0"/>
          <w:numId w:val="15"/>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除非第九节“投标资料表”中另有规定，本次招标不允许以任何方式将本项目任何部分转包给其它单位或个人；</w:t>
      </w:r>
    </w:p>
    <w:p>
      <w:pPr>
        <w:numPr>
          <w:ilvl w:val="0"/>
          <w:numId w:val="15"/>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供应商满足“投标资料表”中列出的资格要求。</w:t>
      </w:r>
    </w:p>
    <w:p>
      <w:pPr>
        <w:pStyle w:val="6"/>
        <w:tabs>
          <w:tab w:val="left" w:pos="720"/>
        </w:tabs>
        <w:spacing w:line="500" w:lineRule="exact"/>
        <w:rPr>
          <w:rFonts w:hint="eastAsia" w:ascii="仿宋" w:hAnsi="仿宋" w:eastAsia="仿宋" w:cs="仿宋"/>
          <w:color w:val="auto"/>
          <w:sz w:val="28"/>
          <w:szCs w:val="28"/>
        </w:rPr>
      </w:pPr>
      <w:bookmarkStart w:id="138" w:name="_Toc139343542"/>
      <w:bookmarkStart w:id="139" w:name="_Toc439687689"/>
      <w:bookmarkStart w:id="140" w:name="_Toc469850057"/>
      <w:bookmarkStart w:id="141" w:name="_Toc89586898"/>
      <w:bookmarkStart w:id="142" w:name="_Toc91477258"/>
      <w:bookmarkStart w:id="143" w:name="_Toc89058537"/>
      <w:bookmarkStart w:id="144" w:name="_Toc91030008"/>
      <w:bookmarkStart w:id="145" w:name="_Toc229198031"/>
      <w:bookmarkStart w:id="146" w:name="_Toc91030009"/>
      <w:bookmarkStart w:id="147" w:name="_Toc229198032"/>
      <w:bookmarkStart w:id="148" w:name="_Toc89586899"/>
      <w:bookmarkStart w:id="149" w:name="_Toc469850058"/>
      <w:bookmarkStart w:id="150" w:name="_Toc89058538"/>
      <w:bookmarkStart w:id="151" w:name="_Toc139343543"/>
      <w:bookmarkStart w:id="152" w:name="_Toc91477259"/>
      <w:bookmarkStart w:id="153" w:name="_Toc439687690"/>
      <w:r>
        <w:rPr>
          <w:rFonts w:hint="eastAsia" w:ascii="仿宋" w:hAnsi="仿宋" w:eastAsia="仿宋" w:cs="仿宋"/>
          <w:color w:val="auto"/>
          <w:sz w:val="28"/>
          <w:szCs w:val="28"/>
        </w:rPr>
        <w:t>14、证明货物和服务的合格性和符合招标文件规定的文件</w:t>
      </w:r>
      <w:bookmarkEnd w:id="138"/>
      <w:bookmarkEnd w:id="139"/>
      <w:bookmarkEnd w:id="140"/>
      <w:bookmarkEnd w:id="141"/>
      <w:bookmarkEnd w:id="142"/>
      <w:bookmarkEnd w:id="143"/>
      <w:bookmarkEnd w:id="144"/>
      <w:bookmarkEnd w:id="145"/>
    </w:p>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14.1 投标文件的制作应满足以下规定：</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 xml:space="preserve">（1）投标文件由投标人使用“电子交易平台”自带的“投标文件制作工具”制作生成。下载地址：定西市公共资源交易网网站首页“下载中心”→“工具软件”→“新点投标文件制作软件（定西版）” </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（2）投标人在编制投标文件时应建立分级目录，并按照标签提示导入相关内容。</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（3）招标文件要求盖单位章和（或）签字的地方，投标人均应使用数字证书(CA锁)加盖投标人的单位（法人、委托人）电子印章。</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（4）投标文件制作完成后，投标人应该使用投标人单位数字证书(CA锁)对投标文件进行文件加密，形成加密的投标文件。</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（5）投标人制作的具体方法详见“投标文件制作工具”中的帮助文档。</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14.2  因投标人自身原因而导致投标文件无法导入“电子交易平台”电子开标、评标系统，该投标视为无效投标，投标人自行承担由此导致的全部责任。</w:t>
      </w:r>
    </w:p>
    <w:p>
      <w:pPr>
        <w:pStyle w:val="6"/>
        <w:tabs>
          <w:tab w:val="left" w:pos="72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15投标保证金</w:t>
      </w:r>
      <w:bookmarkEnd w:id="146"/>
      <w:bookmarkEnd w:id="147"/>
      <w:bookmarkEnd w:id="148"/>
      <w:bookmarkEnd w:id="149"/>
      <w:bookmarkEnd w:id="150"/>
      <w:bookmarkEnd w:id="151"/>
      <w:bookmarkEnd w:id="152"/>
      <w:bookmarkEnd w:id="153"/>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供应商应提交符合“投标资料表”规定金额、形式及有效期的投标保证金，并作为其投标的一部分。</w:t>
      </w:r>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投标保证金是为了保护采购代理机构和采购人免遭因供应商的行为而蒙受损失。采购代理机构和采购人在因供应商的行为受到损害时可根据供应商须知第15.6条的规定不予退还供应商的投标保证金。</w:t>
      </w:r>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凡没有根据供应商须知第15.1和15.2条的规定，随附投标保证金的投标，应按第六章《评标办法》第2.5条的规定视为非响应性投标予以拒绝。</w:t>
      </w:r>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未中标人的投标保证金，将在中标通知书发出后五个工作日内退还。</w:t>
      </w:r>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中标人的投标保证金，在采购合同签订后五个工作日内退还。</w:t>
      </w:r>
    </w:p>
    <w:p>
      <w:pPr>
        <w:numPr>
          <w:ilvl w:val="1"/>
          <w:numId w:val="16"/>
        </w:num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下列任何情况发生时，投标保证金将不予退还：</w:t>
      </w:r>
    </w:p>
    <w:p>
      <w:pPr>
        <w:numPr>
          <w:ilvl w:val="0"/>
          <w:numId w:val="17"/>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供应商在招标文件中规定的投标有效期内撤回其投标；</w:t>
      </w:r>
    </w:p>
    <w:p>
      <w:pPr>
        <w:numPr>
          <w:ilvl w:val="0"/>
          <w:numId w:val="17"/>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供应商不接受按照招标文件规定的方法对其投标价格算术错误更正的；</w:t>
      </w:r>
    </w:p>
    <w:p>
      <w:pPr>
        <w:numPr>
          <w:ilvl w:val="0"/>
          <w:numId w:val="17"/>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供应商有违法违规行为给采购人造成损失的；</w:t>
      </w:r>
    </w:p>
    <w:p>
      <w:pPr>
        <w:numPr>
          <w:ilvl w:val="0"/>
          <w:numId w:val="17"/>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提供虚假材料谋取中标的</w:t>
      </w:r>
      <w:r>
        <w:rPr>
          <w:rFonts w:hint="eastAsia" w:ascii="仿宋" w:hAnsi="仿宋" w:eastAsia="仿宋" w:cs="仿宋"/>
          <w:color w:val="auto"/>
          <w:sz w:val="28"/>
          <w:szCs w:val="28"/>
          <w:lang w:val="en-US" w:eastAsia="zh-CN"/>
        </w:rPr>
        <w:t>;</w:t>
      </w:r>
    </w:p>
    <w:p>
      <w:pPr>
        <w:numPr>
          <w:ilvl w:val="0"/>
          <w:numId w:val="17"/>
        </w:num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中标人在规定期限内未能</w:t>
      </w:r>
      <w:r>
        <w:rPr>
          <w:rFonts w:hint="eastAsia" w:ascii="仿宋" w:hAnsi="仿宋" w:eastAsia="仿宋" w:cs="仿宋"/>
          <w:color w:val="auto"/>
          <w:sz w:val="28"/>
          <w:szCs w:val="28"/>
          <w:lang w:val="en-US" w:eastAsia="zh-CN"/>
        </w:rPr>
        <w:t>;</w:t>
      </w:r>
    </w:p>
    <w:p>
      <w:pPr>
        <w:spacing w:line="5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按供应商须知第4.2条规定交纳招标代理服务费；</w:t>
      </w:r>
    </w:p>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f. 法律法规规定的其他情形。</w:t>
      </w:r>
    </w:p>
    <w:p>
      <w:pPr>
        <w:pStyle w:val="6"/>
        <w:tabs>
          <w:tab w:val="left" w:pos="720"/>
        </w:tabs>
        <w:spacing w:line="500" w:lineRule="exact"/>
        <w:rPr>
          <w:rFonts w:hint="eastAsia" w:ascii="仿宋" w:hAnsi="仿宋" w:eastAsia="仿宋" w:cs="仿宋"/>
          <w:color w:val="auto"/>
          <w:sz w:val="28"/>
          <w:szCs w:val="28"/>
        </w:rPr>
      </w:pPr>
      <w:bookmarkStart w:id="154" w:name="_Toc89586900"/>
      <w:bookmarkStart w:id="155" w:name="_Toc439687691"/>
      <w:bookmarkStart w:id="156" w:name="_Toc139343544"/>
      <w:bookmarkStart w:id="157" w:name="_Toc91477260"/>
      <w:bookmarkStart w:id="158" w:name="_Toc91030010"/>
      <w:bookmarkStart w:id="159" w:name="_Toc469850059"/>
      <w:bookmarkStart w:id="160" w:name="_Toc89058539"/>
      <w:bookmarkStart w:id="161" w:name="_Toc229198033"/>
      <w:r>
        <w:rPr>
          <w:rFonts w:hint="eastAsia" w:ascii="仿宋" w:hAnsi="仿宋" w:eastAsia="仿宋" w:cs="仿宋"/>
          <w:color w:val="auto"/>
          <w:sz w:val="28"/>
          <w:szCs w:val="28"/>
        </w:rPr>
        <w:t>16 投标有效期</w:t>
      </w:r>
      <w:bookmarkEnd w:id="154"/>
      <w:bookmarkEnd w:id="155"/>
      <w:bookmarkEnd w:id="156"/>
      <w:bookmarkEnd w:id="157"/>
      <w:bookmarkEnd w:id="158"/>
      <w:bookmarkEnd w:id="159"/>
      <w:bookmarkEnd w:id="160"/>
      <w:bookmarkEnd w:id="161"/>
    </w:p>
    <w:p>
      <w:pPr>
        <w:numPr>
          <w:ilvl w:val="0"/>
          <w:numId w:val="18"/>
        </w:numPr>
        <w:spacing w:line="520" w:lineRule="exact"/>
        <w:rPr>
          <w:rFonts w:hint="eastAsia" w:ascii="仿宋" w:hAnsi="仿宋" w:eastAsia="仿宋" w:cs="仿宋"/>
          <w:b/>
          <w:color w:val="auto"/>
          <w:sz w:val="28"/>
          <w:szCs w:val="28"/>
        </w:rPr>
      </w:pPr>
      <w:r>
        <w:rPr>
          <w:rFonts w:hint="eastAsia" w:ascii="仿宋" w:hAnsi="仿宋" w:eastAsia="仿宋" w:cs="仿宋"/>
          <w:color w:val="auto"/>
          <w:sz w:val="28"/>
          <w:szCs w:val="28"/>
        </w:rPr>
        <w:t>投标文件应在本供应商须知第19条规定的投标截止时间之后开始生效，在“投标资料表”所规定的日历日内保持有效。</w:t>
      </w:r>
      <w:r>
        <w:rPr>
          <w:rFonts w:hint="eastAsia" w:ascii="仿宋" w:hAnsi="仿宋" w:eastAsia="仿宋" w:cs="仿宋"/>
          <w:b/>
          <w:color w:val="auto"/>
          <w:sz w:val="28"/>
          <w:szCs w:val="28"/>
        </w:rPr>
        <w:t>投标有效期不满足要求的投标将被视为非响应性投标而予以拒绝。</w:t>
      </w:r>
    </w:p>
    <w:p>
      <w:pPr>
        <w:numPr>
          <w:ilvl w:val="0"/>
          <w:numId w:val="18"/>
        </w:num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特殊情况下，在原投标有效期截止之前，采购代理机构可要求供应商同意延长投标有效期。这种要求与答复均应以书面形式提交。供应商可拒绝采购代理机构的这种要求，其投标保证金将不会不予退还。接受投标有效期延长的供应商将不会被要求和允许修正其投标，而只会要求其相应地延长其投标保证金的有效期。在这种情况下，本须知第15条有关投标保证金的退还和不予退还的规定将在延长了的有效期内继续有效。</w:t>
      </w:r>
    </w:p>
    <w:p>
      <w:pPr>
        <w:pStyle w:val="5"/>
        <w:spacing w:line="440" w:lineRule="exact"/>
        <w:jc w:val="center"/>
        <w:rPr>
          <w:rFonts w:hint="eastAsia" w:ascii="仿宋" w:hAnsi="仿宋" w:eastAsia="仿宋" w:cs="仿宋"/>
          <w:color w:val="auto"/>
          <w:sz w:val="28"/>
          <w:szCs w:val="28"/>
        </w:rPr>
      </w:pPr>
      <w:bookmarkStart w:id="162" w:name="_Toc439687693"/>
      <w:bookmarkStart w:id="163" w:name="_Toc5615"/>
      <w:bookmarkStart w:id="164" w:name="_Toc91030012"/>
      <w:bookmarkStart w:id="165" w:name="_Toc91477262"/>
      <w:bookmarkStart w:id="166" w:name="_Toc89586902"/>
      <w:bookmarkStart w:id="167" w:name="_Toc139343546"/>
      <w:bookmarkStart w:id="168" w:name="_Toc89058541"/>
      <w:bookmarkStart w:id="169" w:name="_Toc229198035"/>
      <w:bookmarkStart w:id="170" w:name="_Toc469850061"/>
    </w:p>
    <w:p>
      <w:pPr>
        <w:pStyle w:val="5"/>
        <w:spacing w:line="44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四、 投标文件的递交</w:t>
      </w:r>
      <w:bookmarkEnd w:id="162"/>
      <w:bookmarkEnd w:id="163"/>
      <w:bookmarkEnd w:id="164"/>
      <w:bookmarkEnd w:id="165"/>
      <w:bookmarkEnd w:id="166"/>
      <w:bookmarkEnd w:id="167"/>
      <w:bookmarkEnd w:id="168"/>
      <w:bookmarkEnd w:id="169"/>
      <w:bookmarkEnd w:id="170"/>
    </w:p>
    <w:p>
      <w:pPr>
        <w:tabs>
          <w:tab w:val="left" w:pos="8640"/>
        </w:tabs>
        <w:spacing w:line="500" w:lineRule="exact"/>
        <w:ind w:firstLine="281" w:firstLineChars="100"/>
        <w:rPr>
          <w:rFonts w:hint="eastAsia" w:ascii="仿宋" w:hAnsi="仿宋" w:eastAsia="仿宋" w:cs="仿宋"/>
          <w:b/>
          <w:bCs/>
          <w:color w:val="auto"/>
          <w:sz w:val="28"/>
          <w:szCs w:val="28"/>
        </w:rPr>
      </w:pPr>
      <w:bookmarkStart w:id="171" w:name="_Toc504563670"/>
      <w:bookmarkStart w:id="172" w:name="_Toc469850063"/>
      <w:bookmarkStart w:id="173" w:name="_Toc91477264"/>
      <w:bookmarkStart w:id="174" w:name="_Toc91030014"/>
      <w:bookmarkStart w:id="175" w:name="_Toc439687695"/>
      <w:bookmarkStart w:id="176" w:name="_Toc89586904"/>
      <w:bookmarkStart w:id="177" w:name="_Toc139343548"/>
      <w:bookmarkStart w:id="178" w:name="_Toc89058543"/>
      <w:bookmarkStart w:id="179" w:name="_Toc229198037"/>
      <w:r>
        <w:rPr>
          <w:rFonts w:hint="eastAsia" w:ascii="仿宋" w:hAnsi="仿宋" w:eastAsia="仿宋" w:cs="仿宋"/>
          <w:b/>
          <w:bCs/>
          <w:color w:val="auto"/>
          <w:sz w:val="28"/>
          <w:szCs w:val="28"/>
        </w:rPr>
        <w:t>1</w:t>
      </w:r>
      <w:r>
        <w:rPr>
          <w:rFonts w:hint="eastAsia" w:ascii="仿宋" w:hAnsi="仿宋" w:eastAsia="仿宋" w:cs="仿宋"/>
          <w:b/>
          <w:bCs/>
          <w:color w:val="auto"/>
          <w:sz w:val="28"/>
          <w:szCs w:val="28"/>
          <w:lang w:val="en-US" w:eastAsia="zh-CN"/>
        </w:rPr>
        <w:t>7</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1</w:t>
      </w:r>
      <w:r>
        <w:rPr>
          <w:rFonts w:hint="eastAsia" w:ascii="仿宋" w:hAnsi="仿宋" w:eastAsia="仿宋" w:cs="仿宋"/>
          <w:b/>
          <w:bCs/>
          <w:color w:val="auto"/>
          <w:sz w:val="28"/>
          <w:szCs w:val="28"/>
        </w:rPr>
        <w:t>投标</w:t>
      </w:r>
      <w:bookmarkEnd w:id="171"/>
      <w:r>
        <w:rPr>
          <w:rFonts w:hint="eastAsia" w:ascii="仿宋" w:hAnsi="仿宋" w:eastAsia="仿宋" w:cs="仿宋"/>
          <w:b/>
          <w:bCs/>
          <w:color w:val="auto"/>
          <w:sz w:val="28"/>
          <w:szCs w:val="28"/>
        </w:rPr>
        <w:t>（电子标书）</w:t>
      </w:r>
    </w:p>
    <w:p>
      <w:pPr>
        <w:tabs>
          <w:tab w:val="left" w:pos="8640"/>
        </w:tabs>
        <w:spacing w:line="500" w:lineRule="exact"/>
        <w:ind w:firstLine="560" w:firstLineChars="200"/>
        <w:rPr>
          <w:rFonts w:hint="eastAsia" w:ascii="仿宋" w:hAnsi="仿宋" w:eastAsia="仿宋" w:cs="仿宋"/>
          <w:color w:val="auto"/>
          <w:sz w:val="28"/>
          <w:szCs w:val="28"/>
        </w:rPr>
      </w:pPr>
      <w:bookmarkStart w:id="180" w:name="_Toc504563671"/>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.1 投标文件的加密和标识</w:t>
      </w:r>
      <w:bookmarkEnd w:id="180"/>
    </w:p>
    <w:p>
      <w:pPr>
        <w:tabs>
          <w:tab w:val="left" w:pos="8640"/>
        </w:tabs>
        <w:spacing w:line="500" w:lineRule="exact"/>
        <w:ind w:left="840"/>
        <w:rPr>
          <w:rFonts w:hint="eastAsia" w:ascii="仿宋" w:hAnsi="仿宋" w:eastAsia="仿宋" w:cs="仿宋"/>
          <w:color w:val="auto"/>
          <w:sz w:val="28"/>
          <w:szCs w:val="28"/>
        </w:rPr>
      </w:pPr>
      <w:r>
        <w:rPr>
          <w:rFonts w:hint="eastAsia" w:ascii="仿宋" w:hAnsi="仿宋" w:eastAsia="仿宋" w:cs="仿宋"/>
          <w:color w:val="auto"/>
          <w:sz w:val="28"/>
          <w:szCs w:val="28"/>
        </w:rPr>
        <w:t>投标文件的加密：</w:t>
      </w:r>
    </w:p>
    <w:p>
      <w:pPr>
        <w:tabs>
          <w:tab w:val="left" w:pos="8640"/>
        </w:tabs>
        <w:spacing w:line="500" w:lineRule="exact"/>
        <w:ind w:left="319" w:leftChars="114"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加密的投标文件应该按照本章第14.1项要求制作并加密，未按要求加密的投标文件，招标人（“电子交易平台”）将拒绝接收并提示。加密后的投标文件后缀为.DXTF。</w:t>
      </w:r>
    </w:p>
    <w:p>
      <w:pPr>
        <w:tabs>
          <w:tab w:val="left" w:pos="8640"/>
        </w:tabs>
        <w:spacing w:line="500" w:lineRule="exact"/>
        <w:ind w:firstLine="560" w:firstLineChars="200"/>
        <w:rPr>
          <w:rFonts w:hint="eastAsia" w:ascii="仿宋" w:hAnsi="仿宋" w:eastAsia="仿宋" w:cs="仿宋"/>
          <w:color w:val="auto"/>
          <w:sz w:val="28"/>
          <w:szCs w:val="28"/>
        </w:rPr>
      </w:pPr>
      <w:bookmarkStart w:id="181" w:name="_Toc504563672"/>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.2投标文件的递交</w:t>
      </w:r>
      <w:bookmarkEnd w:id="181"/>
      <w:r>
        <w:rPr>
          <w:rFonts w:hint="eastAsia" w:ascii="仿宋" w:hAnsi="仿宋" w:eastAsia="仿宋" w:cs="仿宋"/>
          <w:color w:val="auto"/>
          <w:sz w:val="28"/>
          <w:szCs w:val="28"/>
        </w:rPr>
        <w:t>：</w:t>
      </w:r>
    </w:p>
    <w:p>
      <w:pPr>
        <w:spacing w:line="500" w:lineRule="exact"/>
        <w:ind w:left="319" w:leftChars="114" w:firstLine="560" w:firstLineChars="200"/>
        <w:rPr>
          <w:rFonts w:hint="eastAsia" w:ascii="仿宋" w:hAnsi="仿宋" w:eastAsia="仿宋" w:cs="仿宋"/>
          <w:color w:val="auto"/>
          <w:sz w:val="28"/>
          <w:szCs w:val="28"/>
        </w:rPr>
      </w:pPr>
      <w:bookmarkStart w:id="182" w:name="_Toc504563673"/>
      <w:r>
        <w:rPr>
          <w:rFonts w:hint="eastAsia" w:ascii="仿宋" w:hAnsi="仿宋" w:eastAsia="仿宋" w:cs="仿宋"/>
          <w:color w:val="auto"/>
          <w:sz w:val="28"/>
          <w:szCs w:val="28"/>
        </w:rPr>
        <w:t>投标人应在第一章“招标公告”规定的投标截止时间前，通过互联网使用数字证书(CA锁)</w:t>
      </w:r>
      <w:r>
        <w:rPr>
          <w:rFonts w:hint="eastAsia" w:ascii="仿宋" w:hAnsi="仿宋" w:eastAsia="仿宋" w:cs="仿宋"/>
          <w:color w:val="auto"/>
          <w:sz w:val="28"/>
          <w:szCs w:val="28"/>
          <w:lang w:eastAsia="zh-CN"/>
        </w:rPr>
        <w:t>登录</w:t>
      </w:r>
      <w:r>
        <w:rPr>
          <w:rFonts w:hint="eastAsia" w:ascii="仿宋" w:hAnsi="仿宋" w:eastAsia="仿宋" w:cs="仿宋"/>
          <w:color w:val="auto"/>
          <w:sz w:val="28"/>
          <w:szCs w:val="28"/>
        </w:rPr>
        <w:t>“电子交易平台”，将加密的投标文件上传，并保存上传成功后系统自动生成的电子签收凭证，递交时间即为电子签收凭证时间。投标人应充分考虑上传文件时的不可预见因素，未在投标截止时间前完成上传的，视为逾期送达。</w:t>
      </w:r>
    </w:p>
    <w:p>
      <w:pPr>
        <w:tabs>
          <w:tab w:val="left" w:pos="864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.3投标文件的修改与撤回</w:t>
      </w:r>
      <w:bookmarkEnd w:id="182"/>
    </w:p>
    <w:p>
      <w:pPr>
        <w:spacing w:line="500" w:lineRule="exact"/>
        <w:ind w:left="319" w:leftChars="114"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在规定的投标截止时间前，投标人可以修改或者撤回已递交的投标文件。投标人对加密的投标文件进行撤回的，应在“电子交易平台”直接进行撤回操作；投标人对加密的投标文件进行修改的，应在投标文件截止时间前完成上传。</w:t>
      </w:r>
    </w:p>
    <w:p>
      <w:pPr>
        <w:spacing w:line="500" w:lineRule="exact"/>
        <w:ind w:left="319" w:leftChars="114"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投标人修改投标文件的，应使用“投标文件制作工具”制作成完整的投标文件，网上递交加密的投标文件，以投标截止时间前最后完成上传的文件为准。</w:t>
      </w:r>
    </w:p>
    <w:p>
      <w:pPr>
        <w:pStyle w:val="6"/>
        <w:tabs>
          <w:tab w:val="left" w:pos="720"/>
        </w:tabs>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 xml:space="preserve"> 投标截止</w:t>
      </w:r>
      <w:bookmarkEnd w:id="172"/>
      <w:r>
        <w:rPr>
          <w:rFonts w:hint="eastAsia" w:ascii="仿宋" w:hAnsi="仿宋" w:eastAsia="仿宋" w:cs="仿宋"/>
          <w:color w:val="auto"/>
          <w:sz w:val="28"/>
          <w:szCs w:val="28"/>
        </w:rPr>
        <w:t>时间</w:t>
      </w:r>
      <w:bookmarkEnd w:id="173"/>
      <w:bookmarkEnd w:id="174"/>
      <w:bookmarkEnd w:id="175"/>
      <w:bookmarkEnd w:id="176"/>
      <w:bookmarkEnd w:id="177"/>
      <w:bookmarkEnd w:id="178"/>
      <w:bookmarkEnd w:id="179"/>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18.1</w:t>
      </w:r>
      <w:r>
        <w:rPr>
          <w:rFonts w:hint="eastAsia" w:ascii="仿宋" w:hAnsi="仿宋" w:eastAsia="仿宋" w:cs="仿宋"/>
          <w:color w:val="auto"/>
          <w:sz w:val="28"/>
          <w:szCs w:val="28"/>
        </w:rPr>
        <w:t>采购代理机构在供应商须知第18.2条规定的地址收到投标的时间不迟于“投标资料表”中规定的截止日期和时间。</w:t>
      </w:r>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18.2</w:t>
      </w:r>
      <w:r>
        <w:rPr>
          <w:rFonts w:hint="eastAsia" w:ascii="仿宋" w:hAnsi="仿宋" w:eastAsia="仿宋" w:cs="仿宋"/>
          <w:color w:val="auto"/>
          <w:sz w:val="28"/>
          <w:szCs w:val="28"/>
        </w:rPr>
        <w:t>采购代理机构可以按供应商须知第7条规定，通过修改招标文件自行决定酌情延长投标截止期。在此情况下，采购代理机构、采购人和供应商受投标截止期制约的所有权利和义务均应延长至新的截止日期和时间。供应商按采购代理机构修改通知规定的时间递交投标文件。</w:t>
      </w:r>
    </w:p>
    <w:p>
      <w:pPr>
        <w:pStyle w:val="6"/>
        <w:tabs>
          <w:tab w:val="left" w:pos="720"/>
        </w:tabs>
        <w:spacing w:line="500" w:lineRule="exact"/>
        <w:rPr>
          <w:rFonts w:hint="eastAsia" w:ascii="仿宋" w:hAnsi="仿宋" w:eastAsia="仿宋" w:cs="仿宋"/>
          <w:color w:val="auto"/>
          <w:sz w:val="28"/>
          <w:szCs w:val="28"/>
        </w:rPr>
      </w:pPr>
      <w:bookmarkStart w:id="183" w:name="_Toc469850064"/>
      <w:bookmarkStart w:id="184" w:name="_Toc89586905"/>
      <w:bookmarkStart w:id="185" w:name="_Toc91477265"/>
      <w:bookmarkStart w:id="186" w:name="_Toc229198038"/>
      <w:bookmarkStart w:id="187" w:name="_Toc139343549"/>
      <w:bookmarkStart w:id="188" w:name="_Toc89058544"/>
      <w:bookmarkStart w:id="189" w:name="_Toc91030015"/>
      <w:bookmarkStart w:id="190" w:name="_Toc439687696"/>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 xml:space="preserve"> 迟交的投标文件</w:t>
      </w:r>
      <w:bookmarkEnd w:id="183"/>
      <w:bookmarkEnd w:id="184"/>
      <w:bookmarkEnd w:id="185"/>
      <w:bookmarkEnd w:id="186"/>
      <w:bookmarkEnd w:id="187"/>
      <w:bookmarkEnd w:id="188"/>
      <w:bookmarkEnd w:id="189"/>
      <w:bookmarkEnd w:id="190"/>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19.1</w:t>
      </w:r>
      <w:r>
        <w:rPr>
          <w:rFonts w:hint="eastAsia" w:ascii="仿宋" w:hAnsi="仿宋" w:eastAsia="仿宋" w:cs="仿宋"/>
          <w:color w:val="auto"/>
          <w:sz w:val="28"/>
          <w:szCs w:val="28"/>
        </w:rPr>
        <w:t>按照供应商须知第19条规定，采购代理机构将拒绝并退回在其规定的投标截止时间后收到的任何投标文件。</w:t>
      </w:r>
    </w:p>
    <w:p>
      <w:pPr>
        <w:pStyle w:val="6"/>
        <w:tabs>
          <w:tab w:val="left" w:pos="720"/>
        </w:tabs>
        <w:spacing w:line="500" w:lineRule="exact"/>
        <w:rPr>
          <w:rFonts w:hint="eastAsia" w:ascii="仿宋" w:hAnsi="仿宋" w:eastAsia="仿宋" w:cs="仿宋"/>
          <w:color w:val="auto"/>
          <w:sz w:val="28"/>
          <w:szCs w:val="28"/>
        </w:rPr>
      </w:pPr>
      <w:bookmarkStart w:id="191" w:name="_Toc89586906"/>
      <w:bookmarkStart w:id="192" w:name="_Toc439687697"/>
      <w:bookmarkStart w:id="193" w:name="_Toc89058545"/>
      <w:bookmarkStart w:id="194" w:name="_Toc91030016"/>
      <w:bookmarkStart w:id="195" w:name="_Toc229198039"/>
      <w:bookmarkStart w:id="196" w:name="_Toc469850065"/>
      <w:bookmarkStart w:id="197" w:name="_Toc139343550"/>
      <w:bookmarkStart w:id="198" w:name="_Toc91477266"/>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 xml:space="preserve"> 投标文件的修改、撤回</w:t>
      </w:r>
      <w:bookmarkEnd w:id="191"/>
      <w:bookmarkEnd w:id="192"/>
      <w:bookmarkEnd w:id="193"/>
      <w:bookmarkEnd w:id="194"/>
      <w:bookmarkEnd w:id="195"/>
      <w:bookmarkEnd w:id="196"/>
      <w:bookmarkEnd w:id="197"/>
      <w:bookmarkEnd w:id="198"/>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20.1</w:t>
      </w:r>
      <w:r>
        <w:rPr>
          <w:rFonts w:hint="eastAsia" w:ascii="仿宋" w:hAnsi="仿宋" w:eastAsia="仿宋" w:cs="仿宋"/>
          <w:color w:val="auto"/>
          <w:sz w:val="28"/>
          <w:szCs w:val="28"/>
        </w:rPr>
        <w:t>供应商在递交投标文件后，可以修改或撤回其投标，但采购代理机构必须在规定的投标截止时间之前，收到修改或撤回的书面通知。</w:t>
      </w:r>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20.2</w:t>
      </w:r>
      <w:r>
        <w:rPr>
          <w:rFonts w:hint="eastAsia" w:ascii="仿宋" w:hAnsi="仿宋" w:eastAsia="仿宋" w:cs="仿宋"/>
          <w:color w:val="auto"/>
          <w:sz w:val="28"/>
          <w:szCs w:val="28"/>
        </w:rPr>
        <w:t>撤回通知书可以用传真/电子邮件传递，但随后要用经过签字的信件确认，其送达时间不得迟于投标截止时间。</w:t>
      </w:r>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20.3</w:t>
      </w:r>
      <w:r>
        <w:rPr>
          <w:rFonts w:hint="eastAsia" w:ascii="仿宋" w:hAnsi="仿宋" w:eastAsia="仿宋" w:cs="仿宋"/>
          <w:color w:val="auto"/>
          <w:sz w:val="28"/>
          <w:szCs w:val="28"/>
        </w:rPr>
        <w:t>在投标截止期之后，供应商不得对其投标做任何修改。</w:t>
      </w:r>
    </w:p>
    <w:p>
      <w:pPr>
        <w:numPr>
          <w:ilvl w:val="0"/>
          <w:numId w:val="0"/>
        </w:numPr>
        <w:spacing w:line="500" w:lineRule="exact"/>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20.4</w:t>
      </w:r>
      <w:r>
        <w:rPr>
          <w:rFonts w:hint="eastAsia" w:ascii="仿宋" w:hAnsi="仿宋" w:eastAsia="仿宋" w:cs="仿宋"/>
          <w:color w:val="auto"/>
          <w:sz w:val="28"/>
          <w:szCs w:val="28"/>
        </w:rPr>
        <w:t>从投标截止期至供应商在投标函格式中确定的投标有效期之间的这段时间内，供应商不得撤回其投标，否则其投标保证金将按照供应商须知第15.6条的规定不予退还。</w:t>
      </w:r>
    </w:p>
    <w:p>
      <w:pPr>
        <w:pStyle w:val="5"/>
        <w:spacing w:line="440" w:lineRule="exact"/>
        <w:jc w:val="center"/>
        <w:rPr>
          <w:rFonts w:hint="eastAsia" w:ascii="仿宋" w:hAnsi="仿宋" w:eastAsia="仿宋" w:cs="仿宋"/>
          <w:color w:val="auto"/>
          <w:sz w:val="28"/>
          <w:szCs w:val="28"/>
        </w:rPr>
      </w:pPr>
      <w:bookmarkStart w:id="199" w:name="_Toc89058546"/>
      <w:bookmarkStart w:id="200" w:name="_Toc229198040"/>
      <w:bookmarkStart w:id="201" w:name="_Toc469850066"/>
      <w:bookmarkStart w:id="202" w:name="_Toc91030017"/>
      <w:bookmarkStart w:id="203" w:name="_Toc91477267"/>
      <w:bookmarkStart w:id="204" w:name="_Toc139343551"/>
      <w:bookmarkStart w:id="205" w:name="_Toc89586907"/>
      <w:bookmarkStart w:id="206" w:name="_Toc439687698"/>
      <w:bookmarkStart w:id="207" w:name="_Toc26251"/>
    </w:p>
    <w:p>
      <w:pPr>
        <w:pStyle w:val="5"/>
        <w:spacing w:line="44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五、 开标</w:t>
      </w:r>
      <w:bookmarkEnd w:id="199"/>
      <w:bookmarkEnd w:id="200"/>
      <w:bookmarkEnd w:id="201"/>
      <w:bookmarkEnd w:id="202"/>
      <w:bookmarkEnd w:id="203"/>
      <w:bookmarkEnd w:id="204"/>
      <w:bookmarkEnd w:id="205"/>
      <w:r>
        <w:rPr>
          <w:rFonts w:hint="eastAsia" w:ascii="仿宋" w:hAnsi="仿宋" w:eastAsia="仿宋" w:cs="仿宋"/>
          <w:color w:val="auto"/>
          <w:sz w:val="28"/>
          <w:szCs w:val="28"/>
        </w:rPr>
        <w:t>、评标</w:t>
      </w:r>
      <w:bookmarkEnd w:id="206"/>
      <w:bookmarkEnd w:id="207"/>
    </w:p>
    <w:p>
      <w:pPr>
        <w:pStyle w:val="6"/>
        <w:tabs>
          <w:tab w:val="left" w:pos="720"/>
        </w:tabs>
        <w:spacing w:line="360" w:lineRule="auto"/>
        <w:rPr>
          <w:rFonts w:hint="eastAsia" w:ascii="仿宋" w:hAnsi="仿宋" w:eastAsia="仿宋" w:cs="仿宋"/>
          <w:color w:val="auto"/>
          <w:sz w:val="28"/>
          <w:szCs w:val="28"/>
        </w:rPr>
      </w:pPr>
      <w:bookmarkStart w:id="208" w:name="_Toc229198041"/>
      <w:bookmarkStart w:id="209" w:name="_Toc91030018"/>
      <w:bookmarkStart w:id="210" w:name="_Toc91477268"/>
      <w:bookmarkStart w:id="211" w:name="_Toc439687699"/>
      <w:bookmarkStart w:id="212" w:name="_Toc89058547"/>
      <w:bookmarkStart w:id="213" w:name="_Toc139343552"/>
      <w:bookmarkStart w:id="214" w:name="_Toc469850067"/>
      <w:bookmarkStart w:id="215" w:name="_Toc89586908"/>
      <w:bookmarkStart w:id="216" w:name="_Toc91030019"/>
      <w:bookmarkStart w:id="217" w:name="_Toc89058548"/>
      <w:bookmarkStart w:id="218" w:name="_Toc139343553"/>
      <w:bookmarkStart w:id="219" w:name="_Toc89586909"/>
      <w:bookmarkStart w:id="220" w:name="_Toc229198042"/>
      <w:bookmarkStart w:id="221" w:name="_Toc439687700"/>
      <w:bookmarkStart w:id="222" w:name="_Toc91477269"/>
      <w:bookmarkStart w:id="223" w:name="_Toc469850068"/>
      <w:r>
        <w:rPr>
          <w:rFonts w:hint="eastAsia" w:ascii="仿宋" w:hAnsi="仿宋" w:eastAsia="仿宋" w:cs="仿宋"/>
          <w:color w:val="auto"/>
          <w:sz w:val="28"/>
          <w:szCs w:val="28"/>
        </w:rPr>
        <w:t>21 开标</w:t>
      </w:r>
      <w:bookmarkEnd w:id="208"/>
      <w:bookmarkEnd w:id="209"/>
      <w:bookmarkEnd w:id="210"/>
      <w:bookmarkEnd w:id="211"/>
      <w:bookmarkEnd w:id="212"/>
      <w:bookmarkEnd w:id="213"/>
      <w:bookmarkEnd w:id="214"/>
      <w:bookmarkEnd w:id="215"/>
      <w:r>
        <w:rPr>
          <w:rFonts w:hint="eastAsia" w:ascii="仿宋" w:hAnsi="仿宋" w:eastAsia="仿宋" w:cs="仿宋"/>
          <w:color w:val="auto"/>
          <w:sz w:val="28"/>
          <w:szCs w:val="28"/>
        </w:rPr>
        <w:t>和资格审查</w:t>
      </w:r>
    </w:p>
    <w:p>
      <w:pPr>
        <w:spacing w:line="360" w:lineRule="auto"/>
        <w:rPr>
          <w:rFonts w:hint="eastAsia" w:ascii="仿宋" w:hAnsi="仿宋" w:eastAsia="仿宋" w:cs="仿宋"/>
          <w:b/>
          <w:color w:val="auto"/>
          <w:sz w:val="28"/>
          <w:szCs w:val="28"/>
        </w:rPr>
      </w:pPr>
      <w:r>
        <w:rPr>
          <w:rFonts w:hint="eastAsia" w:ascii="仿宋" w:hAnsi="仿宋" w:eastAsia="仿宋" w:cs="仿宋"/>
          <w:color w:val="auto"/>
          <w:sz w:val="28"/>
          <w:szCs w:val="28"/>
        </w:rPr>
        <w:t>21.1 采购人或采购代理机构在“投标资料表”中规定的日期、时间和地点组织公开开标。</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21.2 开标时未宣读和记录的投标价格和折扣声明在评标时将不予考虑。</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21.3 在开标时没有读出的投标文件（包括按照供应商须知第21.2条递交的修改书），在评标时将不予考虑。提交了可接受的“撤回”的投标文件将不予退回给供应商。</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21.</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 公开招标采购项目开标结束后，采购人依法对供应商的资格进行审查，没通过资格审查的供应商不得进入评标程序；合格供应商不足3家的，不得评标。</w:t>
      </w:r>
    </w:p>
    <w:p>
      <w:pPr>
        <w:pStyle w:val="6"/>
        <w:tabs>
          <w:tab w:val="left" w:pos="720"/>
        </w:tabs>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 xml:space="preserve"> 评标委员会</w:t>
      </w:r>
      <w:bookmarkEnd w:id="216"/>
      <w:bookmarkEnd w:id="217"/>
      <w:bookmarkEnd w:id="218"/>
      <w:bookmarkEnd w:id="219"/>
      <w:bookmarkEnd w:id="220"/>
      <w:bookmarkEnd w:id="221"/>
      <w:bookmarkEnd w:id="222"/>
    </w:p>
    <w:p>
      <w:pPr>
        <w:numPr>
          <w:ilvl w:val="0"/>
          <w:numId w:val="0"/>
        </w:numPr>
        <w:spacing w:line="360" w:lineRule="auto"/>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22.1</w:t>
      </w:r>
      <w:r>
        <w:rPr>
          <w:rFonts w:hint="eastAsia" w:ascii="仿宋" w:hAnsi="仿宋" w:eastAsia="仿宋" w:cs="仿宋"/>
          <w:color w:val="auto"/>
          <w:sz w:val="28"/>
          <w:szCs w:val="28"/>
        </w:rPr>
        <w:t>评标委员会的组建见第六章《评标办法》</w:t>
      </w:r>
    </w:p>
    <w:p>
      <w:pPr>
        <w:pStyle w:val="6"/>
        <w:tabs>
          <w:tab w:val="left" w:pos="720"/>
        </w:tabs>
        <w:spacing w:line="360" w:lineRule="auto"/>
        <w:rPr>
          <w:rFonts w:hint="eastAsia" w:ascii="仿宋" w:hAnsi="仿宋" w:eastAsia="仿宋" w:cs="仿宋"/>
          <w:color w:val="auto"/>
          <w:sz w:val="28"/>
          <w:szCs w:val="28"/>
        </w:rPr>
      </w:pPr>
      <w:bookmarkStart w:id="224" w:name="_Toc439687701"/>
      <w:bookmarkStart w:id="225" w:name="_Toc89586910"/>
      <w:bookmarkStart w:id="226" w:name="_Toc89058549"/>
      <w:bookmarkStart w:id="227" w:name="_Toc229198043"/>
      <w:bookmarkStart w:id="228" w:name="_Toc91477270"/>
      <w:bookmarkStart w:id="229" w:name="_Toc91030020"/>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 投标文件的澄清</w:t>
      </w:r>
      <w:bookmarkEnd w:id="223"/>
      <w:bookmarkEnd w:id="224"/>
      <w:bookmarkEnd w:id="225"/>
      <w:bookmarkEnd w:id="226"/>
      <w:bookmarkEnd w:id="227"/>
      <w:bookmarkEnd w:id="228"/>
      <w:bookmarkEnd w:id="229"/>
    </w:p>
    <w:p>
      <w:pPr>
        <w:numPr>
          <w:ilvl w:val="0"/>
          <w:numId w:val="0"/>
        </w:numPr>
        <w:spacing w:line="360" w:lineRule="auto"/>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23.1</w:t>
      </w:r>
      <w:r>
        <w:rPr>
          <w:rFonts w:hint="eastAsia" w:ascii="仿宋" w:hAnsi="仿宋" w:eastAsia="仿宋" w:cs="仿宋"/>
          <w:color w:val="auto"/>
          <w:sz w:val="28"/>
          <w:szCs w:val="28"/>
        </w:rPr>
        <w:t>在评标期间,投标文件的澄清要求见第六章《评标办法》</w:t>
      </w:r>
    </w:p>
    <w:p>
      <w:pPr>
        <w:pStyle w:val="6"/>
        <w:tabs>
          <w:tab w:val="left" w:pos="720"/>
        </w:tabs>
        <w:spacing w:line="360" w:lineRule="auto"/>
        <w:rPr>
          <w:rFonts w:hint="eastAsia" w:ascii="仿宋" w:hAnsi="仿宋" w:eastAsia="仿宋" w:cs="仿宋"/>
          <w:color w:val="auto"/>
          <w:sz w:val="28"/>
          <w:szCs w:val="28"/>
        </w:rPr>
      </w:pPr>
      <w:bookmarkStart w:id="230" w:name="_Toc139343555"/>
      <w:bookmarkStart w:id="231" w:name="_Toc469850069"/>
      <w:bookmarkStart w:id="232" w:name="_Toc91477271"/>
      <w:bookmarkStart w:id="233" w:name="_Toc229198044"/>
      <w:bookmarkStart w:id="234" w:name="_Toc89586911"/>
      <w:bookmarkStart w:id="235" w:name="_Toc91030021"/>
      <w:bookmarkStart w:id="236" w:name="_Toc439687702"/>
      <w:bookmarkStart w:id="237" w:name="_Toc89058550"/>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投标文件的初审</w:t>
      </w:r>
      <w:bookmarkEnd w:id="230"/>
      <w:bookmarkEnd w:id="231"/>
      <w:bookmarkEnd w:id="232"/>
      <w:bookmarkEnd w:id="233"/>
      <w:bookmarkEnd w:id="234"/>
      <w:bookmarkEnd w:id="235"/>
      <w:bookmarkEnd w:id="236"/>
      <w:bookmarkEnd w:id="237"/>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24.1</w:t>
      </w:r>
      <w:r>
        <w:rPr>
          <w:rFonts w:hint="eastAsia" w:ascii="仿宋" w:hAnsi="仿宋" w:eastAsia="仿宋" w:cs="仿宋"/>
          <w:color w:val="auto"/>
          <w:sz w:val="28"/>
          <w:szCs w:val="28"/>
        </w:rPr>
        <w:t>投标文件的初审要求见第六章《评标办法》</w:t>
      </w:r>
    </w:p>
    <w:p>
      <w:pPr>
        <w:pStyle w:val="6"/>
        <w:tabs>
          <w:tab w:val="left" w:pos="720"/>
        </w:tabs>
        <w:spacing w:line="360" w:lineRule="auto"/>
        <w:rPr>
          <w:rFonts w:hint="eastAsia" w:ascii="仿宋" w:hAnsi="仿宋" w:eastAsia="仿宋" w:cs="仿宋"/>
          <w:color w:val="auto"/>
          <w:sz w:val="28"/>
          <w:szCs w:val="28"/>
        </w:rPr>
      </w:pPr>
      <w:bookmarkStart w:id="238" w:name="_Toc89586912"/>
      <w:bookmarkStart w:id="239" w:name="_Toc89058551"/>
      <w:bookmarkStart w:id="240" w:name="_Toc91477272"/>
      <w:bookmarkStart w:id="241" w:name="_Toc91030022"/>
      <w:bookmarkStart w:id="242" w:name="_Toc469850070"/>
      <w:bookmarkStart w:id="243" w:name="_Toc139343556"/>
      <w:bookmarkStart w:id="244" w:name="_Toc229198045"/>
      <w:bookmarkStart w:id="245" w:name="_Toc439687703"/>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评标货币</w:t>
      </w:r>
      <w:bookmarkEnd w:id="238"/>
      <w:bookmarkEnd w:id="239"/>
      <w:bookmarkEnd w:id="240"/>
      <w:bookmarkEnd w:id="241"/>
      <w:bookmarkEnd w:id="242"/>
      <w:bookmarkEnd w:id="243"/>
      <w:bookmarkEnd w:id="244"/>
      <w:bookmarkEnd w:id="245"/>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25.1 </w:t>
      </w:r>
      <w:r>
        <w:rPr>
          <w:rFonts w:hint="eastAsia" w:ascii="仿宋" w:hAnsi="仿宋" w:eastAsia="仿宋" w:cs="仿宋"/>
          <w:color w:val="auto"/>
          <w:sz w:val="28"/>
          <w:szCs w:val="28"/>
        </w:rPr>
        <w:t>评标货币为人民币。</w:t>
      </w:r>
    </w:p>
    <w:p>
      <w:pPr>
        <w:pStyle w:val="6"/>
        <w:tabs>
          <w:tab w:val="left" w:pos="720"/>
        </w:tabs>
        <w:spacing w:line="360" w:lineRule="auto"/>
        <w:rPr>
          <w:rFonts w:hint="eastAsia" w:ascii="仿宋" w:hAnsi="仿宋" w:eastAsia="仿宋" w:cs="仿宋"/>
          <w:color w:val="auto"/>
          <w:sz w:val="28"/>
          <w:szCs w:val="28"/>
        </w:rPr>
      </w:pPr>
      <w:bookmarkStart w:id="246" w:name="_Toc91477273"/>
      <w:bookmarkStart w:id="247" w:name="_Toc439687704"/>
      <w:bookmarkStart w:id="248" w:name="_Toc229198046"/>
      <w:bookmarkStart w:id="249" w:name="_Toc89058552"/>
      <w:bookmarkStart w:id="250" w:name="_Toc89586913"/>
      <w:bookmarkStart w:id="251" w:name="_Toc91030023"/>
      <w:bookmarkStart w:id="252" w:name="_Toc139343557"/>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 xml:space="preserve">6 </w:t>
      </w:r>
      <w:r>
        <w:rPr>
          <w:rFonts w:hint="eastAsia" w:ascii="仿宋" w:hAnsi="仿宋" w:eastAsia="仿宋" w:cs="仿宋"/>
          <w:color w:val="auto"/>
          <w:sz w:val="28"/>
          <w:szCs w:val="28"/>
        </w:rPr>
        <w:t>投标的评价和</w:t>
      </w:r>
      <w:bookmarkStart w:id="253" w:name="_Toc469850071"/>
      <w:r>
        <w:rPr>
          <w:rFonts w:hint="eastAsia" w:ascii="仿宋" w:hAnsi="仿宋" w:eastAsia="仿宋" w:cs="仿宋"/>
          <w:color w:val="auto"/>
          <w:sz w:val="28"/>
          <w:szCs w:val="28"/>
        </w:rPr>
        <w:t>最终评标价的确定</w:t>
      </w:r>
      <w:bookmarkEnd w:id="246"/>
      <w:bookmarkEnd w:id="247"/>
      <w:bookmarkEnd w:id="248"/>
      <w:bookmarkEnd w:id="249"/>
      <w:bookmarkEnd w:id="250"/>
      <w:bookmarkEnd w:id="251"/>
      <w:bookmarkEnd w:id="252"/>
      <w:bookmarkEnd w:id="253"/>
    </w:p>
    <w:p>
      <w:pPr>
        <w:spacing w:line="360" w:lineRule="auto"/>
        <w:ind w:left="425"/>
        <w:rPr>
          <w:rFonts w:hint="eastAsia" w:ascii="仿宋" w:hAnsi="仿宋" w:eastAsia="仿宋" w:cs="仿宋"/>
          <w:color w:val="auto"/>
          <w:sz w:val="28"/>
          <w:szCs w:val="28"/>
        </w:rPr>
      </w:pPr>
      <w:r>
        <w:rPr>
          <w:rFonts w:hint="eastAsia" w:ascii="仿宋" w:hAnsi="仿宋" w:eastAsia="仿宋" w:cs="仿宋"/>
          <w:color w:val="auto"/>
          <w:sz w:val="28"/>
          <w:szCs w:val="28"/>
        </w:rPr>
        <w:t>投标的评价和最终评标价的确定见第六章《评标办法》</w:t>
      </w:r>
      <w:bookmarkStart w:id="254" w:name="_Toc139343558"/>
      <w:bookmarkStart w:id="255" w:name="_Toc91477274"/>
      <w:bookmarkStart w:id="256" w:name="_Toc91030024"/>
      <w:bookmarkStart w:id="257" w:name="_Toc439687705"/>
      <w:bookmarkStart w:id="258" w:name="_Toc89058553"/>
      <w:bookmarkStart w:id="259" w:name="_Toc89586914"/>
      <w:bookmarkStart w:id="260" w:name="_Toc229198047"/>
    </w:p>
    <w:p>
      <w:pPr>
        <w:spacing w:line="360" w:lineRule="auto"/>
        <w:ind w:left="425"/>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 xml:space="preserve"> 评标原则及主要方法</w:t>
      </w:r>
      <w:bookmarkEnd w:id="254"/>
      <w:bookmarkEnd w:id="255"/>
      <w:bookmarkEnd w:id="256"/>
      <w:bookmarkEnd w:id="257"/>
      <w:bookmarkEnd w:id="258"/>
      <w:bookmarkEnd w:id="259"/>
      <w:bookmarkEnd w:id="260"/>
    </w:p>
    <w:p>
      <w:pPr>
        <w:pStyle w:val="6"/>
        <w:tabs>
          <w:tab w:val="left" w:pos="720"/>
        </w:tabs>
        <w:spacing w:line="360" w:lineRule="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27.1评标原则及方法详见第六章《评标办法》</w:t>
      </w:r>
    </w:p>
    <w:p>
      <w:pPr>
        <w:pStyle w:val="6"/>
        <w:tabs>
          <w:tab w:val="left" w:pos="720"/>
        </w:tabs>
        <w:spacing w:line="360" w:lineRule="auto"/>
        <w:rPr>
          <w:rFonts w:hint="eastAsia" w:ascii="仿宋" w:hAnsi="仿宋" w:eastAsia="仿宋" w:cs="仿宋"/>
          <w:color w:val="auto"/>
          <w:sz w:val="28"/>
          <w:szCs w:val="28"/>
        </w:rPr>
      </w:pPr>
      <w:bookmarkStart w:id="261" w:name="_Toc91477275"/>
      <w:bookmarkStart w:id="262" w:name="_Toc229198048"/>
      <w:bookmarkStart w:id="263" w:name="_Toc89586915"/>
      <w:bookmarkStart w:id="264" w:name="_Toc469850072"/>
      <w:bookmarkStart w:id="265" w:name="_Toc91030025"/>
      <w:bookmarkStart w:id="266" w:name="_Toc89058554"/>
      <w:bookmarkStart w:id="267" w:name="_Toc139343559"/>
      <w:bookmarkStart w:id="268" w:name="_Toc439687706"/>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 xml:space="preserve">8 </w:t>
      </w:r>
      <w:r>
        <w:rPr>
          <w:rFonts w:hint="eastAsia" w:ascii="仿宋" w:hAnsi="仿宋" w:eastAsia="仿宋" w:cs="仿宋"/>
          <w:color w:val="auto"/>
          <w:sz w:val="28"/>
          <w:szCs w:val="28"/>
        </w:rPr>
        <w:t>与采购人、采购代理机构和评标委员会接触</w:t>
      </w:r>
      <w:bookmarkEnd w:id="261"/>
      <w:bookmarkEnd w:id="262"/>
      <w:bookmarkEnd w:id="263"/>
      <w:bookmarkEnd w:id="264"/>
      <w:bookmarkEnd w:id="265"/>
      <w:bookmarkEnd w:id="266"/>
      <w:bookmarkEnd w:id="267"/>
      <w:bookmarkEnd w:id="268"/>
    </w:p>
    <w:p>
      <w:pPr>
        <w:numPr>
          <w:ilvl w:val="0"/>
          <w:numId w:val="0"/>
        </w:numPr>
        <w:spacing w:line="360" w:lineRule="auto"/>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28.1</w:t>
      </w:r>
      <w:r>
        <w:rPr>
          <w:rFonts w:hint="eastAsia" w:ascii="仿宋" w:hAnsi="仿宋" w:eastAsia="仿宋" w:cs="仿宋"/>
          <w:color w:val="auto"/>
          <w:sz w:val="28"/>
          <w:szCs w:val="28"/>
        </w:rPr>
        <w:t xml:space="preserve">除供应商须知第24条的规定外，从开标之日起至授予合同期间，供应商不得就与其投标有关的任何事项与采购人、采购代理机构和评标委员会联系。 </w:t>
      </w:r>
    </w:p>
    <w:p>
      <w:pPr>
        <w:numPr>
          <w:ilvl w:val="0"/>
          <w:numId w:val="0"/>
        </w:numPr>
        <w:spacing w:line="360" w:lineRule="auto"/>
        <w:ind w:leftChars="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28.2</w:t>
      </w:r>
      <w:r>
        <w:rPr>
          <w:rFonts w:hint="eastAsia" w:ascii="仿宋" w:hAnsi="仿宋" w:eastAsia="仿宋" w:cs="仿宋"/>
          <w:color w:val="auto"/>
          <w:sz w:val="28"/>
          <w:szCs w:val="28"/>
        </w:rPr>
        <w:t>供应商试图对采购人、采购代理机构和评标委员会的评标、比较或授予合同的决定进行影响，都可能导致其投标被视为无效投标。</w:t>
      </w:r>
      <w:bookmarkStart w:id="269" w:name="_Toc89586917"/>
      <w:bookmarkStart w:id="270" w:name="_Toc91477277"/>
      <w:bookmarkStart w:id="271" w:name="_Toc139343561"/>
      <w:bookmarkStart w:id="272" w:name="_Toc469850073"/>
      <w:bookmarkStart w:id="273" w:name="_Toc229198050"/>
      <w:bookmarkStart w:id="274" w:name="_Toc439687707"/>
      <w:bookmarkStart w:id="275" w:name="_Toc91030027"/>
      <w:bookmarkStart w:id="276" w:name="_Toc89058556"/>
    </w:p>
    <w:p>
      <w:pPr>
        <w:pStyle w:val="5"/>
        <w:spacing w:line="440" w:lineRule="exact"/>
        <w:jc w:val="center"/>
        <w:rPr>
          <w:rFonts w:hint="eastAsia" w:ascii="仿宋" w:hAnsi="仿宋" w:eastAsia="仿宋" w:cs="仿宋"/>
          <w:color w:val="auto"/>
          <w:sz w:val="28"/>
          <w:szCs w:val="28"/>
        </w:rPr>
      </w:pPr>
      <w:bookmarkStart w:id="277" w:name="_Toc27664"/>
      <w:r>
        <w:rPr>
          <w:rFonts w:hint="eastAsia" w:ascii="仿宋" w:hAnsi="仿宋" w:eastAsia="仿宋" w:cs="仿宋"/>
          <w:color w:val="auto"/>
          <w:sz w:val="28"/>
          <w:szCs w:val="28"/>
        </w:rPr>
        <w:t>六、 授予合同</w:t>
      </w:r>
      <w:bookmarkEnd w:id="269"/>
      <w:bookmarkEnd w:id="270"/>
      <w:bookmarkEnd w:id="271"/>
      <w:bookmarkEnd w:id="272"/>
      <w:bookmarkEnd w:id="273"/>
      <w:bookmarkEnd w:id="274"/>
      <w:bookmarkEnd w:id="275"/>
      <w:bookmarkEnd w:id="276"/>
      <w:bookmarkEnd w:id="277"/>
    </w:p>
    <w:p>
      <w:pPr>
        <w:pStyle w:val="6"/>
        <w:tabs>
          <w:tab w:val="left" w:pos="720"/>
        </w:tabs>
        <w:spacing w:line="500" w:lineRule="exact"/>
        <w:rPr>
          <w:rFonts w:hint="eastAsia" w:ascii="仿宋" w:hAnsi="仿宋" w:eastAsia="仿宋" w:cs="仿宋"/>
          <w:color w:val="auto"/>
          <w:sz w:val="28"/>
          <w:szCs w:val="28"/>
        </w:rPr>
      </w:pPr>
      <w:bookmarkStart w:id="278" w:name="_Toc91477278"/>
      <w:bookmarkStart w:id="279" w:name="_Toc91030028"/>
      <w:bookmarkStart w:id="280" w:name="_Toc229198051"/>
      <w:bookmarkStart w:id="281" w:name="_Toc89586918"/>
      <w:bookmarkStart w:id="282" w:name="_Toc139343562"/>
      <w:bookmarkStart w:id="283" w:name="_Toc89058557"/>
      <w:bookmarkStart w:id="284" w:name="_Toc469850075"/>
      <w:bookmarkStart w:id="285" w:name="_Toc439687708"/>
      <w:r>
        <w:rPr>
          <w:rFonts w:hint="eastAsia" w:ascii="仿宋" w:hAnsi="仿宋" w:eastAsia="仿宋" w:cs="仿宋"/>
          <w:color w:val="auto"/>
          <w:sz w:val="28"/>
          <w:szCs w:val="28"/>
          <w:lang w:val="en-US" w:eastAsia="zh-CN"/>
        </w:rPr>
        <w:t>29</w:t>
      </w:r>
      <w:r>
        <w:rPr>
          <w:rFonts w:hint="eastAsia" w:ascii="仿宋" w:hAnsi="仿宋" w:eastAsia="仿宋" w:cs="仿宋"/>
          <w:color w:val="auto"/>
          <w:sz w:val="28"/>
          <w:szCs w:val="28"/>
        </w:rPr>
        <w:t xml:space="preserve"> 确定中标人及合同授予标准</w:t>
      </w:r>
      <w:bookmarkEnd w:id="278"/>
      <w:bookmarkEnd w:id="279"/>
      <w:bookmarkEnd w:id="280"/>
      <w:bookmarkEnd w:id="281"/>
      <w:bookmarkEnd w:id="282"/>
      <w:bookmarkEnd w:id="283"/>
      <w:bookmarkEnd w:id="284"/>
      <w:bookmarkEnd w:id="285"/>
    </w:p>
    <w:p>
      <w:pPr>
        <w:tabs>
          <w:tab w:val="left" w:pos="720"/>
        </w:tabs>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29.1</w:t>
      </w:r>
      <w:r>
        <w:rPr>
          <w:rFonts w:hint="eastAsia" w:ascii="仿宋" w:hAnsi="仿宋" w:eastAsia="仿宋" w:cs="仿宋"/>
          <w:color w:val="auto"/>
          <w:sz w:val="28"/>
          <w:szCs w:val="28"/>
        </w:rPr>
        <w:t xml:space="preserve"> 采购人根据评标委员会推荐的中标候选人，按照有关法律法规规定的程序确定中标人，具体见“投标资料表”。</w:t>
      </w:r>
    </w:p>
    <w:p>
      <w:pPr>
        <w:tabs>
          <w:tab w:val="left" w:pos="720"/>
        </w:tabs>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29.</w:t>
      </w:r>
      <w:r>
        <w:rPr>
          <w:rFonts w:hint="eastAsia" w:ascii="仿宋" w:hAnsi="仿宋" w:eastAsia="仿宋" w:cs="仿宋"/>
          <w:color w:val="auto"/>
          <w:sz w:val="28"/>
          <w:szCs w:val="28"/>
        </w:rPr>
        <w:t>2 除第31条的规定之外，将把合同授予被确定为实质上响应招标文件的要求，能够最大限度地满足招标文件中规定的各项综合评价标准的供应商。</w:t>
      </w:r>
    </w:p>
    <w:p>
      <w:pPr>
        <w:pStyle w:val="6"/>
        <w:tabs>
          <w:tab w:val="left" w:pos="720"/>
        </w:tabs>
        <w:spacing w:line="500" w:lineRule="exact"/>
        <w:rPr>
          <w:rFonts w:hint="eastAsia" w:ascii="仿宋" w:hAnsi="仿宋" w:eastAsia="仿宋" w:cs="仿宋"/>
          <w:color w:val="auto"/>
          <w:sz w:val="28"/>
          <w:szCs w:val="28"/>
        </w:rPr>
      </w:pPr>
      <w:bookmarkStart w:id="286" w:name="_Toc89586920"/>
      <w:bookmarkStart w:id="287" w:name="_Toc91030030"/>
      <w:bookmarkStart w:id="288" w:name="_Toc229198053"/>
      <w:bookmarkStart w:id="289" w:name="_Toc89058559"/>
      <w:bookmarkStart w:id="290" w:name="_Toc91477280"/>
      <w:bookmarkStart w:id="291" w:name="_Toc139343564"/>
      <w:bookmarkStart w:id="292" w:name="_Toc469850077"/>
      <w:bookmarkStart w:id="293" w:name="_Toc439687709"/>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 xml:space="preserve"> 接受和拒绝任何或所有投标的权</w:t>
      </w:r>
      <w:bookmarkEnd w:id="286"/>
      <w:bookmarkEnd w:id="287"/>
      <w:bookmarkEnd w:id="288"/>
      <w:bookmarkEnd w:id="289"/>
      <w:bookmarkEnd w:id="290"/>
      <w:bookmarkEnd w:id="291"/>
      <w:bookmarkEnd w:id="292"/>
      <w:r>
        <w:rPr>
          <w:rFonts w:hint="eastAsia" w:ascii="仿宋" w:hAnsi="仿宋" w:eastAsia="仿宋" w:cs="仿宋"/>
          <w:color w:val="auto"/>
          <w:sz w:val="28"/>
          <w:szCs w:val="28"/>
        </w:rPr>
        <w:t>利</w:t>
      </w:r>
      <w:bookmarkEnd w:id="293"/>
    </w:p>
    <w:p>
      <w:pPr>
        <w:tabs>
          <w:tab w:val="left" w:pos="720"/>
        </w:tabs>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rPr>
        <w:t>.1采购代理机构和采购人保留在投标之前任何时候接受或拒绝任何投标，以及宣布招标程序无效或拒绝所有投标的权利，对受影响的供应商不承担任何责任，也无义务向受影响的供应商解释采取这一行动的理由。</w:t>
      </w:r>
    </w:p>
    <w:p>
      <w:pPr>
        <w:pStyle w:val="6"/>
        <w:tabs>
          <w:tab w:val="left" w:pos="720"/>
        </w:tabs>
        <w:spacing w:line="500" w:lineRule="exact"/>
        <w:rPr>
          <w:rFonts w:hint="eastAsia" w:ascii="仿宋" w:hAnsi="仿宋" w:eastAsia="仿宋" w:cs="仿宋"/>
          <w:color w:val="auto"/>
          <w:sz w:val="28"/>
          <w:szCs w:val="28"/>
        </w:rPr>
      </w:pPr>
      <w:bookmarkStart w:id="294" w:name="_Toc89058560"/>
      <w:bookmarkStart w:id="295" w:name="_Toc91477281"/>
      <w:bookmarkStart w:id="296" w:name="_Toc439687710"/>
      <w:bookmarkStart w:id="297" w:name="_Toc229198054"/>
      <w:bookmarkStart w:id="298" w:name="_Toc469850078"/>
      <w:bookmarkStart w:id="299" w:name="_Toc89586921"/>
      <w:bookmarkStart w:id="300" w:name="_Toc91030031"/>
      <w:bookmarkStart w:id="301" w:name="_Toc139343565"/>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 xml:space="preserve"> 中标通知书</w:t>
      </w:r>
      <w:bookmarkEnd w:id="294"/>
      <w:bookmarkEnd w:id="295"/>
      <w:bookmarkEnd w:id="296"/>
      <w:bookmarkEnd w:id="297"/>
      <w:bookmarkEnd w:id="298"/>
      <w:bookmarkEnd w:id="299"/>
      <w:bookmarkEnd w:id="300"/>
      <w:bookmarkEnd w:id="301"/>
    </w:p>
    <w:p>
      <w:pPr>
        <w:tabs>
          <w:tab w:val="left" w:pos="720"/>
        </w:tabs>
        <w:spacing w:line="52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.1  中标人确定之日起2个工作日内，采购代理机构应在省级以上财政部门指定的媒体上发布公告中标结果，招标文件应当随中标结果同时公告。公告中标结果的同时向中标人发出中标通知书。中标通知书发出后，采购代理机构、采购人或收取投标保证金的交易中心将按照供应商须知第15条的规定退还未中标人的投标保证金。</w:t>
      </w:r>
    </w:p>
    <w:p>
      <w:pPr>
        <w:tabs>
          <w:tab w:val="left" w:pos="720"/>
        </w:tabs>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.2  中标通知书是合同的一个组成部分。</w:t>
      </w:r>
    </w:p>
    <w:p>
      <w:pPr>
        <w:tabs>
          <w:tab w:val="left" w:pos="720"/>
        </w:tabs>
        <w:spacing w:line="52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  在中标人按照供应商须知第33条的规定签订合同、第34条的规定提交履约保证金后，采购代理机构、采购人或收取投标保证金的交易中心将按照供应商须知第15条的规定退还中标人的投标保证金。</w:t>
      </w:r>
    </w:p>
    <w:p>
      <w:pPr>
        <w:pStyle w:val="6"/>
        <w:tabs>
          <w:tab w:val="left" w:pos="720"/>
        </w:tabs>
        <w:spacing w:line="500" w:lineRule="exact"/>
        <w:rPr>
          <w:rFonts w:hint="eastAsia" w:ascii="仿宋" w:hAnsi="仿宋" w:eastAsia="仿宋" w:cs="仿宋"/>
          <w:color w:val="auto"/>
          <w:sz w:val="28"/>
          <w:szCs w:val="28"/>
        </w:rPr>
      </w:pPr>
      <w:bookmarkStart w:id="302" w:name="_Toc91477282"/>
      <w:bookmarkStart w:id="303" w:name="_Toc89058561"/>
      <w:bookmarkStart w:id="304" w:name="_Toc139343566"/>
      <w:bookmarkStart w:id="305" w:name="_Toc469850079"/>
      <w:bookmarkStart w:id="306" w:name="_Toc229198055"/>
      <w:bookmarkStart w:id="307" w:name="_Toc89586922"/>
      <w:bookmarkStart w:id="308" w:name="_Toc91030032"/>
      <w:bookmarkStart w:id="309" w:name="_Toc439687711"/>
      <w:r>
        <w:rPr>
          <w:rFonts w:hint="eastAsia" w:ascii="仿宋" w:hAnsi="仿宋" w:eastAsia="仿宋" w:cs="仿宋"/>
          <w:color w:val="auto"/>
          <w:sz w:val="28"/>
          <w:szCs w:val="28"/>
          <w:lang w:val="en-US" w:eastAsia="zh-CN"/>
        </w:rPr>
        <w:t>32</w:t>
      </w:r>
      <w:r>
        <w:rPr>
          <w:rFonts w:hint="eastAsia" w:ascii="仿宋" w:hAnsi="仿宋" w:eastAsia="仿宋" w:cs="仿宋"/>
          <w:color w:val="auto"/>
          <w:sz w:val="28"/>
          <w:szCs w:val="28"/>
        </w:rPr>
        <w:t xml:space="preserve"> 签订合同</w:t>
      </w:r>
      <w:bookmarkEnd w:id="302"/>
      <w:bookmarkEnd w:id="303"/>
      <w:bookmarkEnd w:id="304"/>
      <w:bookmarkEnd w:id="305"/>
      <w:bookmarkEnd w:id="306"/>
      <w:bookmarkEnd w:id="307"/>
      <w:bookmarkEnd w:id="308"/>
      <w:bookmarkEnd w:id="309"/>
    </w:p>
    <w:p>
      <w:pPr>
        <w:tabs>
          <w:tab w:val="left" w:pos="720"/>
        </w:tabs>
        <w:spacing w:line="52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32</w:t>
      </w:r>
      <w:r>
        <w:rPr>
          <w:rFonts w:hint="eastAsia" w:ascii="仿宋" w:hAnsi="仿宋" w:eastAsia="仿宋" w:cs="仿宋"/>
          <w:color w:val="auto"/>
          <w:sz w:val="28"/>
          <w:szCs w:val="28"/>
        </w:rPr>
        <w:t>.1  中标人在收到中标通知书后，须在中标通知书规定的期限内按照中标通知书、招标文件和中标人的投标文件和采购人签订政府采购合同。采购人和中标人不得再行订立背离合同实质性内容的其他协议。</w:t>
      </w:r>
    </w:p>
    <w:p>
      <w:pPr>
        <w:tabs>
          <w:tab w:val="left" w:pos="720"/>
        </w:tabs>
        <w:spacing w:line="52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32</w:t>
      </w:r>
      <w:r>
        <w:rPr>
          <w:rFonts w:hint="eastAsia" w:ascii="仿宋" w:hAnsi="仿宋" w:eastAsia="仿宋" w:cs="仿宋"/>
          <w:color w:val="auto"/>
          <w:sz w:val="28"/>
          <w:szCs w:val="28"/>
        </w:rPr>
        <w:t>.2  中标人在中标通知书规定的期限内拒绝与采购人签订合同的，视为其放弃中标，采购人可以按照评审报告推荐的中标或者成交候选人名单排序，确定下一候选人为中标或成交供应商，也可以重新开展政府采购活动。</w:t>
      </w:r>
    </w:p>
    <w:p>
      <w:pPr>
        <w:tabs>
          <w:tab w:val="left" w:pos="720"/>
        </w:tabs>
        <w:spacing w:line="52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32</w:t>
      </w:r>
      <w:r>
        <w:rPr>
          <w:rFonts w:hint="eastAsia" w:ascii="仿宋" w:hAnsi="仿宋" w:eastAsia="仿宋" w:cs="仿宋"/>
          <w:color w:val="auto"/>
          <w:sz w:val="28"/>
          <w:szCs w:val="28"/>
        </w:rPr>
        <w:t>.3  投标资料表中载明不允许分包的，中标人不得将合同标的进行分包；投标资料表中载明允许分包的，分包人不得再次分包。</w:t>
      </w:r>
    </w:p>
    <w:p>
      <w:pPr>
        <w:pStyle w:val="6"/>
        <w:tabs>
          <w:tab w:val="left" w:pos="720"/>
        </w:tabs>
        <w:spacing w:line="520" w:lineRule="exact"/>
        <w:rPr>
          <w:rFonts w:hint="eastAsia" w:ascii="仿宋" w:hAnsi="仿宋" w:eastAsia="仿宋" w:cs="仿宋"/>
          <w:color w:val="auto"/>
          <w:sz w:val="28"/>
          <w:szCs w:val="28"/>
        </w:rPr>
      </w:pPr>
      <w:bookmarkStart w:id="310" w:name="_Toc229198056"/>
      <w:bookmarkStart w:id="311" w:name="_Toc91030033"/>
      <w:bookmarkStart w:id="312" w:name="_Toc91477283"/>
      <w:bookmarkStart w:id="313" w:name="_Toc89586923"/>
      <w:bookmarkStart w:id="314" w:name="_Toc89058562"/>
      <w:bookmarkStart w:id="315" w:name="_Toc439687712"/>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履约保证金</w:t>
      </w:r>
      <w:bookmarkEnd w:id="310"/>
      <w:bookmarkEnd w:id="311"/>
      <w:bookmarkEnd w:id="312"/>
      <w:bookmarkEnd w:id="313"/>
      <w:bookmarkEnd w:id="314"/>
      <w:bookmarkEnd w:id="315"/>
    </w:p>
    <w:p>
      <w:pPr>
        <w:spacing w:line="54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.1  投标资料表中要求交纳履约保证金的，在签订政府采购合同的同时，中标人须按投标资料表中规定的金额和方式向采购人交纳履约保证金。若不按要求缴纳履约保证金的，采购人有权宣布已签订的政府采购合同无效，其投标保证金不予退还。</w:t>
      </w:r>
    </w:p>
    <w:p>
      <w:pPr>
        <w:spacing w:line="540" w:lineRule="exact"/>
        <w:ind w:left="720" w:hanging="840" w:hangingChars="30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.2  如果中标人没有按照上述第34.1条规定执行，采购人将有充分的理由取消该中标决定，没收其投标保证金。在此情况下，采购人可以按照评审报告推荐的中标或者成交候选人名单排序，确定下一候选人为中标或成交供应商，也可以重新开展政府采购活动。</w:t>
      </w:r>
    </w:p>
    <w:p>
      <w:pPr>
        <w:pStyle w:val="6"/>
        <w:tabs>
          <w:tab w:val="left" w:pos="720"/>
        </w:tabs>
        <w:spacing w:line="520" w:lineRule="exact"/>
        <w:rPr>
          <w:rFonts w:hint="eastAsia" w:ascii="仿宋" w:hAnsi="仿宋" w:eastAsia="仿宋" w:cs="仿宋"/>
          <w:color w:val="auto"/>
          <w:sz w:val="28"/>
          <w:szCs w:val="28"/>
        </w:rPr>
      </w:pPr>
      <w:bookmarkStart w:id="316" w:name="_Toc139343568"/>
      <w:bookmarkStart w:id="317" w:name="_Toc91030034"/>
      <w:bookmarkStart w:id="318" w:name="_Toc229198057"/>
      <w:bookmarkStart w:id="319" w:name="_Toc89058563"/>
      <w:bookmarkStart w:id="320" w:name="_Toc91477284"/>
      <w:bookmarkStart w:id="321" w:name="_Toc439687713"/>
      <w:bookmarkStart w:id="322" w:name="_Toc89586924"/>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 xml:space="preserve"> 腐败和欺诈行为</w:t>
      </w:r>
      <w:bookmarkEnd w:id="316"/>
      <w:bookmarkEnd w:id="317"/>
      <w:bookmarkEnd w:id="318"/>
      <w:bookmarkEnd w:id="319"/>
      <w:bookmarkEnd w:id="320"/>
      <w:bookmarkEnd w:id="321"/>
      <w:bookmarkEnd w:id="322"/>
    </w:p>
    <w:p>
      <w:pPr>
        <w:tabs>
          <w:tab w:val="left" w:pos="720"/>
        </w:tabs>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.1定义</w:t>
      </w:r>
    </w:p>
    <w:p>
      <w:pPr>
        <w:numPr>
          <w:ilvl w:val="1"/>
          <w:numId w:val="19"/>
        </w:num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“腐败行为”是指提供给予接受或索取任何有价值的东西来影响采购代理机构和/或采购人在采购过程或合同实施过程中的行为；</w:t>
      </w:r>
    </w:p>
    <w:p>
      <w:pPr>
        <w:numPr>
          <w:ilvl w:val="1"/>
          <w:numId w:val="19"/>
        </w:num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欺诈行为”是指为了影响采购过程或合同实施过程而谎报事实，损害采购代理机构和/或采购人的利益，包括供应商之间串通投标（递交投标文件之前和之后），人为地使投标丧失竞争性，剥夺采购人从自由公开竞争所能获得的权益。</w:t>
      </w:r>
    </w:p>
    <w:p>
      <w:pPr>
        <w:tabs>
          <w:tab w:val="left" w:pos="720"/>
        </w:tabs>
        <w:spacing w:line="52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.2如果采购代理机构和采购人认为供应商在本项目的竞争中有腐败或欺诈行为，其投标将被视为无效投标。</w:t>
      </w:r>
      <w:bookmarkStart w:id="323" w:name="_Toc439687714"/>
    </w:p>
    <w:p>
      <w:pPr>
        <w:pStyle w:val="5"/>
        <w:spacing w:line="440" w:lineRule="exact"/>
        <w:jc w:val="center"/>
        <w:rPr>
          <w:rFonts w:hint="eastAsia" w:ascii="仿宋" w:hAnsi="仿宋" w:eastAsia="仿宋" w:cs="仿宋"/>
          <w:color w:val="auto"/>
          <w:sz w:val="28"/>
          <w:szCs w:val="28"/>
        </w:rPr>
      </w:pPr>
      <w:bookmarkStart w:id="324" w:name="_Toc14563"/>
      <w:r>
        <w:rPr>
          <w:rFonts w:hint="eastAsia" w:ascii="仿宋" w:hAnsi="仿宋" w:eastAsia="仿宋" w:cs="仿宋"/>
          <w:color w:val="auto"/>
          <w:sz w:val="28"/>
          <w:szCs w:val="28"/>
        </w:rPr>
        <w:t>七、询问、质疑</w:t>
      </w:r>
      <w:bookmarkEnd w:id="323"/>
      <w:bookmarkEnd w:id="324"/>
    </w:p>
    <w:p>
      <w:pPr>
        <w:pStyle w:val="6"/>
        <w:tabs>
          <w:tab w:val="left" w:pos="720"/>
        </w:tabs>
        <w:spacing w:line="500" w:lineRule="exact"/>
        <w:rPr>
          <w:rFonts w:hint="eastAsia" w:ascii="仿宋" w:hAnsi="仿宋" w:eastAsia="仿宋" w:cs="仿宋"/>
          <w:color w:val="auto"/>
          <w:sz w:val="28"/>
          <w:szCs w:val="28"/>
        </w:rPr>
      </w:pPr>
      <w:bookmarkStart w:id="325" w:name="_Toc439687715"/>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 xml:space="preserve"> 综合说明</w:t>
      </w:r>
      <w:bookmarkEnd w:id="325"/>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.1 供应商对政府采购活动事项的询问、质疑及投诉须符合《中华人民共和国政府采购法》、《中华人民共和国政府采购法实施条例》及</w:t>
      </w:r>
      <w:r>
        <w:rPr>
          <w:rFonts w:hint="eastAsia" w:ascii="仿宋" w:hAnsi="仿宋" w:eastAsia="仿宋" w:cs="仿宋"/>
          <w:color w:val="auto"/>
          <w:kern w:val="0"/>
          <w:sz w:val="28"/>
          <w:szCs w:val="28"/>
        </w:rPr>
        <w:t>《政府采购质疑和投诉办法》（财政部第94号令）的相关规定。</w:t>
      </w:r>
    </w:p>
    <w:p>
      <w:pPr>
        <w:spacing w:line="500" w:lineRule="exact"/>
        <w:ind w:left="600" w:hanging="700" w:hangingChars="250"/>
        <w:rPr>
          <w:rFonts w:hint="eastAsia" w:ascii="仿宋" w:hAnsi="仿宋" w:eastAsia="仿宋" w:cs="仿宋"/>
          <w:b/>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2供应商对政府采购活动事项有疑问的，可以向被质疑人提出询问或质疑，被质疑人应当及时予以答复，但答复的内容不得涉及商业秘密。供应商询问和质疑实行实名制。供应商询问和质疑应当有事实根据，不得进行虚假、恶意询问或质疑，干扰政府采购正常的工作秩序。</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3供应商提起质疑应当符合下列条件：必须是参与被质疑项目采购活动的供应商（潜在供应商已依法获取其可质疑的采购文件的，可以对该文件提出质疑）；必须在规定的质疑有效期内提起质疑；政府采购监督管理部门规定的其他条件。以联合体形式参加政府采购活动的，其投诉应当由组成联合体的所有供应商共同提出。</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.4供应商提出质疑应当以书面形式提交质疑函和必要的证明材料。质疑函应当包括下列内容：</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（一）供应商的姓名或者名称、地址、邮编、联系人及联系电话；</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（二）质疑项目的名称、编号；</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（三）具体、明确的质疑事项和与质疑事项相关的请求；</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（四）事实依据；</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（五）必要的法律依据；</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（六）提出质疑的日期。</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　　 供应商为自然人的，应当由本人签字；供应商为法人或者其他组织的，应当由法定代表人、主要负责人，或者其授权代表签字或者盖章，并加盖公章。</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.5</w:t>
      </w:r>
      <w:r>
        <w:rPr>
          <w:rFonts w:hint="eastAsia" w:ascii="仿宋" w:hAnsi="仿宋" w:eastAsia="仿宋" w:cs="仿宋"/>
          <w:b/>
          <w:color w:val="auto"/>
          <w:sz w:val="28"/>
          <w:szCs w:val="28"/>
        </w:rPr>
        <w:t>供应商须在法定质疑期内一次性提出针对同一采购程序环节的质疑。</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.6质疑书递交地点：</w:t>
      </w:r>
      <w:r>
        <w:rPr>
          <w:rFonts w:hint="eastAsia" w:ascii="仿宋" w:hAnsi="仿宋" w:eastAsia="仿宋" w:cs="仿宋"/>
          <w:color w:val="auto"/>
          <w:sz w:val="28"/>
          <w:szCs w:val="28"/>
          <w:lang w:eastAsia="zh-CN"/>
        </w:rPr>
        <w:t>定西市融媒体中心</w:t>
      </w:r>
      <w:r>
        <w:rPr>
          <w:rFonts w:hint="eastAsia" w:ascii="仿宋" w:hAnsi="仿宋" w:eastAsia="仿宋" w:cs="仿宋"/>
          <w:color w:val="auto"/>
          <w:sz w:val="28"/>
          <w:szCs w:val="28"/>
        </w:rPr>
        <w:t>。</w:t>
      </w:r>
    </w:p>
    <w:p>
      <w:pPr>
        <w:spacing w:line="500" w:lineRule="exact"/>
        <w:ind w:left="885" w:leftChars="266" w:hanging="140" w:hangingChars="50"/>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lang w:val="en-US" w:eastAsia="zh-CN"/>
        </w:rPr>
        <w:t>地址：</w:t>
      </w:r>
      <w:r>
        <w:rPr>
          <w:rFonts w:hint="eastAsia" w:ascii="仿宋" w:hAnsi="仿宋" w:eastAsia="仿宋" w:cs="仿宋"/>
          <w:color w:val="auto"/>
          <w:kern w:val="0"/>
          <w:sz w:val="28"/>
          <w:szCs w:val="28"/>
          <w:lang w:val="en-US" w:eastAsia="zh-CN" w:bidi="ar"/>
        </w:rPr>
        <w:t>定西市安定区岷县街11号A区</w:t>
      </w:r>
    </w:p>
    <w:p>
      <w:pPr>
        <w:spacing w:line="500" w:lineRule="exact"/>
        <w:ind w:left="778" w:leftChars="228" w:hanging="140" w:hangingChars="50"/>
        <w:rPr>
          <w:rFonts w:hint="eastAsia" w:ascii="仿宋" w:hAnsi="仿宋" w:eastAsia="仿宋" w:cs="仿宋"/>
          <w:color w:val="auto"/>
          <w:sz w:val="28"/>
          <w:szCs w:val="28"/>
          <w:lang w:val="en-US" w:eastAsia="zh-CN"/>
        </w:rPr>
      </w:pPr>
    </w:p>
    <w:p>
      <w:pPr>
        <w:pStyle w:val="6"/>
        <w:tabs>
          <w:tab w:val="left" w:pos="720"/>
        </w:tabs>
        <w:spacing w:line="500" w:lineRule="exact"/>
        <w:rPr>
          <w:rFonts w:hint="eastAsia" w:ascii="仿宋" w:hAnsi="仿宋" w:eastAsia="仿宋" w:cs="仿宋"/>
          <w:color w:val="auto"/>
          <w:sz w:val="28"/>
          <w:szCs w:val="28"/>
        </w:rPr>
      </w:pPr>
      <w:bookmarkStart w:id="326" w:name="_Toc439687716"/>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xml:space="preserve"> 询问</w:t>
      </w:r>
      <w:bookmarkEnd w:id="326"/>
    </w:p>
    <w:p>
      <w:pPr>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.1采购人或采购代理机构应当在3个工作日内日对供应商提出的询问作出答复。</w:t>
      </w:r>
    </w:p>
    <w:p>
      <w:pPr>
        <w:pStyle w:val="6"/>
        <w:tabs>
          <w:tab w:val="left" w:pos="720"/>
        </w:tabs>
        <w:spacing w:line="500" w:lineRule="exact"/>
        <w:rPr>
          <w:rFonts w:hint="eastAsia" w:ascii="仿宋" w:hAnsi="仿宋" w:eastAsia="仿宋" w:cs="仿宋"/>
          <w:color w:val="auto"/>
          <w:sz w:val="28"/>
          <w:szCs w:val="28"/>
        </w:rPr>
      </w:pPr>
      <w:bookmarkStart w:id="327" w:name="_Toc239047319"/>
      <w:bookmarkStart w:id="328" w:name="_Toc403493203"/>
      <w:bookmarkStart w:id="329" w:name="_Toc429586322"/>
      <w:bookmarkStart w:id="330" w:name="_Toc439687717"/>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 xml:space="preserve"> 质疑</w:t>
      </w:r>
      <w:bookmarkEnd w:id="327"/>
      <w:bookmarkEnd w:id="328"/>
      <w:bookmarkEnd w:id="329"/>
      <w:r>
        <w:rPr>
          <w:rFonts w:hint="eastAsia" w:ascii="仿宋" w:hAnsi="仿宋" w:eastAsia="仿宋" w:cs="仿宋"/>
          <w:color w:val="auto"/>
          <w:sz w:val="28"/>
          <w:szCs w:val="28"/>
        </w:rPr>
        <w:t>与答复</w:t>
      </w:r>
      <w:bookmarkEnd w:id="330"/>
    </w:p>
    <w:p>
      <w:pPr>
        <w:adjustRightInd w:val="0"/>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.1供应商认为采购文件、采购过程、中标或成交结果使自己权益受到损害的，可以在知道或者应当知道其权益受到损害之日起</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个工作日内，</w:t>
      </w:r>
      <w:r>
        <w:rPr>
          <w:rFonts w:hint="eastAsia" w:ascii="仿宋" w:hAnsi="仿宋" w:eastAsia="仿宋" w:cs="仿宋"/>
          <w:b/>
          <w:color w:val="auto"/>
          <w:sz w:val="28"/>
          <w:szCs w:val="28"/>
        </w:rPr>
        <w:t>由质疑方的法定代表人或授权代理人（必须为法定代表人授权进行该项目投标的被授权人）以书面形式向采购人（或采购代理机构）提出质疑。供应商为自然人的，质疑函应当由本人签字；供应商为法人或者其他组织的，质疑函应当由法定代表人、主要负责人，或者其授权代表签字或者盖章，并加盖公章。质疑书除应说明需要质疑的内容外，还应提供能够证明质疑内容的相关书面证据。质疑书应内容真实，证据充分，不得进行恶意质疑。</w:t>
      </w:r>
      <w:r>
        <w:rPr>
          <w:rFonts w:hint="eastAsia" w:ascii="仿宋" w:hAnsi="仿宋" w:eastAsia="仿宋" w:cs="仿宋"/>
          <w:color w:val="auto"/>
          <w:sz w:val="28"/>
          <w:szCs w:val="28"/>
        </w:rPr>
        <w:t>由法定代表人递交质疑书时，提供法定代表人身份证复印件；由授权代理人递交质疑书时，还须提供法定代表人授权委托书原件及授权代理人的身份证复印件，</w:t>
      </w:r>
      <w:r>
        <w:rPr>
          <w:rFonts w:hint="eastAsia" w:ascii="仿宋" w:hAnsi="仿宋" w:eastAsia="仿宋" w:cs="仿宋"/>
          <w:bCs/>
          <w:color w:val="auto"/>
          <w:sz w:val="28"/>
          <w:szCs w:val="28"/>
        </w:rPr>
        <w:t>身份证复印件须正反面清晰、有效，</w:t>
      </w:r>
      <w:r>
        <w:rPr>
          <w:rFonts w:hint="eastAsia" w:ascii="仿宋" w:hAnsi="仿宋" w:eastAsia="仿宋" w:cs="仿宋"/>
          <w:color w:val="auto"/>
          <w:sz w:val="28"/>
          <w:szCs w:val="28"/>
        </w:rPr>
        <w:t>上述资料均须加盖公章。</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.2 采购人（或采购代理机构）收到供应商的书面质疑后</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个工作日内根据质疑书的具体内容相应作出答复，并以书面形式通知质疑供应商和其他有关供应商，但答复内容不得涉及商业秘密。递交质疑书的供应商和其他有关供应商在收到质疑答复书后，应立即向采购人（或采购代理机构）回函确认。未确认情况应当视为对质疑答复的知晓，也将视为对质疑答复内容接受的默认。</w:t>
      </w:r>
    </w:p>
    <w:p>
      <w:pPr>
        <w:pStyle w:val="6"/>
        <w:tabs>
          <w:tab w:val="left" w:pos="720"/>
        </w:tabs>
        <w:spacing w:line="500" w:lineRule="exact"/>
        <w:rPr>
          <w:rFonts w:hint="eastAsia" w:ascii="仿宋" w:hAnsi="仿宋" w:eastAsia="仿宋" w:cs="仿宋"/>
          <w:color w:val="auto"/>
          <w:sz w:val="28"/>
          <w:szCs w:val="28"/>
        </w:rPr>
      </w:pPr>
      <w:bookmarkStart w:id="331" w:name="_Toc439687718"/>
      <w:bookmarkStart w:id="332" w:name="_Toc429586324"/>
      <w:bookmarkStart w:id="333" w:name="_Toc239047321"/>
      <w:bookmarkStart w:id="334" w:name="_Toc403493205"/>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 xml:space="preserve"> 补充</w:t>
      </w:r>
      <w:bookmarkEnd w:id="331"/>
    </w:p>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.1  第38.1条规定的供应商应知其权益受到损害之日，是指：</w:t>
      </w:r>
    </w:p>
    <w:p>
      <w:pPr>
        <w:spacing w:line="500" w:lineRule="exact"/>
        <w:ind w:left="778" w:leftChars="228"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（一）对可以质疑的采购文件提出质疑的，为收到采购文件之日或者采购文件公告期限届满之日；</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（二）对采购过程提出质疑的，为各采购程序环节结束之日；</w:t>
      </w:r>
    </w:p>
    <w:p>
      <w:pPr>
        <w:spacing w:line="500" w:lineRule="exact"/>
        <w:ind w:left="778" w:leftChars="228" w:hanging="140" w:hangingChars="50"/>
        <w:rPr>
          <w:rFonts w:hint="eastAsia" w:ascii="仿宋" w:hAnsi="仿宋" w:eastAsia="仿宋" w:cs="仿宋"/>
          <w:color w:val="auto"/>
          <w:sz w:val="28"/>
          <w:szCs w:val="28"/>
        </w:rPr>
      </w:pPr>
      <w:bookmarkStart w:id="335" w:name="_Toc433806328"/>
      <w:bookmarkStart w:id="336" w:name="_Toc439687719"/>
      <w:r>
        <w:rPr>
          <w:rFonts w:hint="eastAsia" w:ascii="仿宋" w:hAnsi="仿宋" w:eastAsia="仿宋" w:cs="仿宋"/>
          <w:color w:val="auto"/>
          <w:sz w:val="28"/>
          <w:szCs w:val="28"/>
        </w:rPr>
        <w:t>（三）对中标或者成交结果提出质疑的，为中标或者成交结果公告期限届满之日</w:t>
      </w:r>
      <w:bookmarkEnd w:id="335"/>
      <w:r>
        <w:rPr>
          <w:rFonts w:hint="eastAsia" w:ascii="仿宋" w:hAnsi="仿宋" w:eastAsia="仿宋" w:cs="仿宋"/>
          <w:color w:val="auto"/>
          <w:sz w:val="28"/>
          <w:szCs w:val="28"/>
        </w:rPr>
        <w:t>。</w:t>
      </w:r>
      <w:bookmarkEnd w:id="336"/>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.2 供应商代表对开标过程和开标记录有疑义的，以及认为采购人、采购代理机构相关工作人员需要回避的情形的，应当场提出询问或申请回避。采购人、采购代理机构对供应商代表提出的询问或者回避申请应当及时处理。</w:t>
      </w:r>
    </w:p>
    <w:p>
      <w:pPr>
        <w:spacing w:line="50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.3质疑供应商对采购人、采购代理机构的答复不满意，或者采购人、采购代理机构未在规定时间内作出答复的，可以在答复期满后15个工作日内向财政部门提起投诉。</w:t>
      </w:r>
    </w:p>
    <w:p>
      <w:pPr>
        <w:spacing w:line="500" w:lineRule="exact"/>
        <w:ind w:left="798" w:leftChars="285"/>
        <w:rPr>
          <w:rFonts w:hint="eastAsia" w:ascii="仿宋" w:hAnsi="仿宋" w:eastAsia="仿宋" w:cs="仿宋"/>
          <w:color w:val="auto"/>
          <w:kern w:val="0"/>
          <w:sz w:val="28"/>
          <w:szCs w:val="28"/>
        </w:rPr>
      </w:pPr>
      <w:r>
        <w:rPr>
          <w:rFonts w:hint="eastAsia" w:ascii="仿宋" w:hAnsi="仿宋" w:eastAsia="仿宋" w:cs="仿宋"/>
          <w:color w:val="auto"/>
          <w:sz w:val="28"/>
          <w:szCs w:val="28"/>
        </w:rPr>
        <w:t>供应商投诉按照采购人所属预算级次，由本级财政部门处理。跨区域联合采购项目的投诉，采购人所属预算级次相同的，由采购文件事先约定的财政部门负责处理，事先未约定的，由最先收到投诉的财政部门负责处理；采购人所属预算级次不同的，由预算级次最高的财政部门负责处理。具体程序和要求见</w:t>
      </w:r>
      <w:r>
        <w:rPr>
          <w:rFonts w:hint="eastAsia" w:ascii="仿宋" w:hAnsi="仿宋" w:eastAsia="仿宋" w:cs="仿宋"/>
          <w:color w:val="auto"/>
          <w:kern w:val="0"/>
          <w:sz w:val="28"/>
          <w:szCs w:val="28"/>
        </w:rPr>
        <w:t>《政府采购质疑和投诉办法》（财政部第94号令）。</w:t>
      </w:r>
    </w:p>
    <w:p>
      <w:pPr>
        <w:pStyle w:val="6"/>
        <w:tabs>
          <w:tab w:val="left" w:pos="720"/>
        </w:tabs>
        <w:spacing w:line="500" w:lineRule="exact"/>
        <w:rPr>
          <w:rFonts w:hint="eastAsia" w:ascii="仿宋" w:hAnsi="仿宋" w:eastAsia="仿宋" w:cs="仿宋"/>
          <w:color w:val="auto"/>
          <w:sz w:val="28"/>
          <w:szCs w:val="28"/>
        </w:rPr>
      </w:pPr>
      <w:bookmarkStart w:id="337" w:name="_Toc439687720"/>
      <w:r>
        <w:rPr>
          <w:rFonts w:hint="eastAsia" w:ascii="仿宋" w:hAnsi="仿宋" w:eastAsia="仿宋" w:cs="仿宋"/>
          <w:color w:val="auto"/>
          <w:sz w:val="28"/>
          <w:szCs w:val="28"/>
          <w:lang w:val="en-US" w:eastAsia="zh-CN"/>
        </w:rPr>
        <w:t>39</w:t>
      </w:r>
      <w:r>
        <w:rPr>
          <w:rFonts w:hint="eastAsia" w:ascii="仿宋" w:hAnsi="仿宋" w:eastAsia="仿宋" w:cs="仿宋"/>
          <w:color w:val="auto"/>
          <w:sz w:val="28"/>
          <w:szCs w:val="28"/>
        </w:rPr>
        <w:t xml:space="preserve"> 质疑不予受理的情况</w:t>
      </w:r>
      <w:bookmarkEnd w:id="332"/>
      <w:bookmarkEnd w:id="333"/>
      <w:bookmarkEnd w:id="334"/>
      <w:bookmarkEnd w:id="337"/>
    </w:p>
    <w:p>
      <w:pPr>
        <w:spacing w:line="520" w:lineRule="exact"/>
        <w:ind w:left="600" w:hanging="700" w:hangingChars="25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39</w:t>
      </w:r>
      <w:r>
        <w:rPr>
          <w:rFonts w:hint="eastAsia" w:ascii="仿宋" w:hAnsi="仿宋" w:eastAsia="仿宋" w:cs="仿宋"/>
          <w:color w:val="auto"/>
          <w:sz w:val="28"/>
          <w:szCs w:val="28"/>
        </w:rPr>
        <w:t>.1有下列情形之一的，属于无效质疑，被质疑人不予受理，由此产生的影响由质疑人自行承担：</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(一)不符合36.2条款规定的质疑供应商条件的；</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(二)质疑函的发出时间不在法定质疑期内的；</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(三)以非书面形式提出的；</w:t>
      </w:r>
    </w:p>
    <w:p>
      <w:pPr>
        <w:adjustRightInd w:val="0"/>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 其它不符合受理条件的情形。</w:t>
      </w:r>
    </w:p>
    <w:p>
      <w:pPr>
        <w:pStyle w:val="5"/>
        <w:spacing w:line="440" w:lineRule="exact"/>
        <w:jc w:val="center"/>
        <w:rPr>
          <w:rFonts w:hint="eastAsia" w:ascii="仿宋" w:hAnsi="仿宋" w:eastAsia="仿宋" w:cs="仿宋"/>
          <w:color w:val="auto"/>
          <w:sz w:val="28"/>
          <w:szCs w:val="28"/>
        </w:rPr>
      </w:pPr>
      <w:bookmarkStart w:id="338" w:name="_Toc12276"/>
      <w:r>
        <w:rPr>
          <w:rFonts w:hint="eastAsia" w:ascii="仿宋" w:hAnsi="仿宋" w:eastAsia="仿宋" w:cs="仿宋"/>
          <w:color w:val="auto"/>
          <w:sz w:val="28"/>
          <w:szCs w:val="28"/>
        </w:rPr>
        <w:t>八、政府采购政策</w:t>
      </w:r>
      <w:bookmarkEnd w:id="338"/>
    </w:p>
    <w:p>
      <w:pPr>
        <w:pStyle w:val="6"/>
        <w:tabs>
          <w:tab w:val="left" w:pos="720"/>
        </w:tabs>
        <w:spacing w:line="240" w:lineRule="auto"/>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 xml:space="preserve"> 采购进口产品政策</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.1招标文件规定采购进口产品的，如果因信息不对称等原因，仍有满足需求的国内产品要求参与采购竞争的，采购人及其委托的采购代理机构不得对其加以限制，应当按照公平竞争原则实施采购。</w:t>
      </w:r>
    </w:p>
    <w:p>
      <w:pPr>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.2 关于政府采购进口产品的其他规定详见《政府采购进口产品管理办法》　（财库【2007】119号）和《关于政府采购进口产品管理有关问题的通知》（财办库【2008】248号）</w:t>
      </w:r>
    </w:p>
    <w:p>
      <w:pPr>
        <w:spacing w:line="500" w:lineRule="exact"/>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4</w:t>
      </w:r>
      <w:r>
        <w:rPr>
          <w:rFonts w:hint="eastAsia" w:ascii="仿宋" w:hAnsi="仿宋" w:eastAsia="仿宋" w:cs="仿宋"/>
          <w:b/>
          <w:bCs/>
          <w:color w:val="auto"/>
          <w:kern w:val="0"/>
          <w:sz w:val="28"/>
          <w:szCs w:val="28"/>
          <w:lang w:val="en-US" w:eastAsia="zh-CN"/>
        </w:rPr>
        <w:t>1</w:t>
      </w:r>
      <w:r>
        <w:rPr>
          <w:rFonts w:hint="eastAsia" w:ascii="仿宋" w:hAnsi="仿宋" w:eastAsia="仿宋" w:cs="仿宋"/>
          <w:b/>
          <w:bCs/>
          <w:color w:val="auto"/>
          <w:kern w:val="0"/>
          <w:sz w:val="28"/>
          <w:szCs w:val="28"/>
        </w:rPr>
        <w:t xml:space="preserve"> 政府采购政策支持</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.1  根据财库【20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46</w:t>
      </w:r>
      <w:r>
        <w:rPr>
          <w:rFonts w:hint="eastAsia" w:ascii="仿宋" w:hAnsi="仿宋" w:eastAsia="仿宋" w:cs="仿宋"/>
          <w:color w:val="auto"/>
          <w:sz w:val="28"/>
          <w:szCs w:val="28"/>
        </w:rPr>
        <w:t>号文件规定，对于非专门面向中小型企业的采购项目，对小型和微型企业产品的价格给予</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%的扣除（具体比例见评标办法），用扣除后的价格参与评审（其投标报价不变）。</w:t>
      </w:r>
    </w:p>
    <w:p>
      <w:pPr>
        <w:spacing w:line="5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.2  根据财库财库【2014】68号文件规定，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 团）出具的属于监狱企业的证明文件。本项目对监狱企业提供的自产产品或提供的其他监狱企业生产的产品投标报价给予价格扣除，用扣除后的价格作为评标价参与评审（其投标报价不变），具体扣除比例见评标办法。</w:t>
      </w:r>
    </w:p>
    <w:p>
      <w:pPr>
        <w:spacing w:line="560" w:lineRule="exact"/>
        <w:ind w:left="885" w:leftChars="266" w:hanging="140" w:hangingChars="50"/>
        <w:jc w:val="lef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  节能产品和环保标志产品优惠政策：</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3.1产品符合政府采购强制采购政策的，实行强制采购；符合政府采购优先采购政策的，产品只能享受节能产品、环境标志产品等产品优惠中的一项(由供应商在投标文件中列出产品所在清单的文号、页码，并复印该页附后，评审时进行价格扣除（扣除比例见评标办法）)；供应商享受支持中小企业发展政策优惠的，可以与同时享受节能产品、环境标志产品等产品优惠中的一项累加扣除。省级以上财政部门关于政府采购强制采购、优先采购的政策规定可在中国政府采购网(</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"http://www.ccgp.gov.cn/)和甘" </w:instrText>
      </w:r>
      <w:r>
        <w:rPr>
          <w:rFonts w:hint="eastAsia" w:ascii="仿宋" w:hAnsi="仿宋" w:eastAsia="仿宋" w:cs="仿宋"/>
          <w:color w:val="auto"/>
          <w:sz w:val="28"/>
          <w:szCs w:val="28"/>
        </w:rPr>
        <w:fldChar w:fldCharType="separate"/>
      </w:r>
      <w:r>
        <w:rPr>
          <w:rStyle w:val="41"/>
          <w:rFonts w:hint="eastAsia" w:ascii="仿宋" w:hAnsi="仿宋" w:eastAsia="仿宋" w:cs="仿宋"/>
          <w:color w:val="auto"/>
          <w:sz w:val="28"/>
          <w:szCs w:val="28"/>
          <w:u w:val="none"/>
        </w:rPr>
        <w:t>www.ccgp.gov.cn/)和甘</w:t>
      </w:r>
      <w:r>
        <w:rPr>
          <w:rStyle w:val="41"/>
          <w:rFonts w:hint="eastAsia" w:ascii="仿宋" w:hAnsi="仿宋" w:eastAsia="仿宋" w:cs="仿宋"/>
          <w:color w:val="auto"/>
          <w:sz w:val="28"/>
          <w:szCs w:val="28"/>
          <w:u w:val="none"/>
        </w:rPr>
        <w:fldChar w:fldCharType="end"/>
      </w:r>
      <w:r>
        <w:rPr>
          <w:rFonts w:hint="eastAsia" w:ascii="仿宋" w:hAnsi="仿宋" w:eastAsia="仿宋" w:cs="仿宋"/>
          <w:color w:val="auto"/>
          <w:sz w:val="28"/>
          <w:szCs w:val="28"/>
        </w:rPr>
        <w:t>肃政府采购网（www.gszfcg.gansu.gov.cn/）查询。</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.3.2 同一项目中部分产品属于优先采购政策的，评审时只对该部分产品的报价实行价格扣除。</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.3.3 为推进政府采购诚信体系建设，供应商在签署相关承诺，提供相关信息前，应认真阅读省级以上财政部门相关政策规定。符合本条第42.3.1款、42.3.2款、42.3.3款规定的，应提供相关证明材料。</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.3.4 “节能产品”、“环境标志产品”证明材料：</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（1）供应商提供的产品属于下列情形，应按规定提供相关证明材料(清单或目录所在页复印件)，并在《报价明细表》中提供相应数据。</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(a)符合政府采购强制采购政策的(《节能产品政府采购清单》中标记★符号节能产品及其他强制采购产品)；</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(b)符合政府采购优先采购政策的(《节能产品政府采购清单》中非标记★  符号节能产品，《环境标志产品政府采购清单》中环境标志产品)。</w:t>
      </w:r>
    </w:p>
    <w:p>
      <w:pPr>
        <w:spacing w:line="560" w:lineRule="exact"/>
        <w:ind w:firstLine="700" w:firstLineChars="250"/>
        <w:jc w:val="left"/>
        <w:rPr>
          <w:rFonts w:hint="eastAsia" w:ascii="仿宋" w:hAnsi="仿宋" w:eastAsia="仿宋" w:cs="仿宋"/>
          <w:color w:val="auto"/>
          <w:sz w:val="28"/>
          <w:szCs w:val="28"/>
        </w:rPr>
      </w:pPr>
      <w:r>
        <w:rPr>
          <w:rFonts w:hint="eastAsia" w:ascii="仿宋" w:hAnsi="仿宋" w:eastAsia="仿宋" w:cs="仿宋"/>
          <w:color w:val="auto"/>
          <w:sz w:val="28"/>
          <w:szCs w:val="28"/>
        </w:rPr>
        <w:t>（2）未按上述要求提供、填写的，评审时不予以考虑。</w:t>
      </w:r>
    </w:p>
    <w:p>
      <w:pPr>
        <w:spacing w:line="56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.4 根据财政部、民政部、中国残疾人联合会发布的《关于促进残疾人就业政府采购政策的通知》</w:t>
      </w:r>
      <w:bookmarkStart w:id="339" w:name="sendNo"/>
      <w:r>
        <w:rPr>
          <w:rFonts w:hint="eastAsia" w:ascii="仿宋" w:hAnsi="仿宋" w:eastAsia="仿宋" w:cs="仿宋"/>
          <w:color w:val="auto"/>
          <w:sz w:val="28"/>
          <w:szCs w:val="28"/>
        </w:rPr>
        <w:t>（</w:t>
      </w:r>
      <w:r>
        <w:rPr>
          <w:rFonts w:hint="eastAsia" w:ascii="仿宋" w:hAnsi="仿宋" w:eastAsia="仿宋" w:cs="仿宋"/>
          <w:color w:val="auto"/>
          <w:kern w:val="0"/>
          <w:sz w:val="28"/>
          <w:szCs w:val="28"/>
        </w:rPr>
        <w:t>财库【2017】141号</w:t>
      </w:r>
      <w:r>
        <w:rPr>
          <w:rFonts w:hint="eastAsia" w:ascii="仿宋" w:hAnsi="仿宋" w:eastAsia="仿宋" w:cs="仿宋"/>
          <w:color w:val="auto"/>
          <w:sz w:val="28"/>
          <w:szCs w:val="28"/>
        </w:rPr>
        <w:t>）</w:t>
      </w:r>
      <w:bookmarkEnd w:id="339"/>
      <w:r>
        <w:rPr>
          <w:rFonts w:hint="eastAsia" w:ascii="仿宋" w:hAnsi="仿宋" w:eastAsia="仿宋" w:cs="仿宋"/>
          <w:color w:val="auto"/>
          <w:sz w:val="28"/>
          <w:szCs w:val="28"/>
        </w:rPr>
        <w:t>规定，</w:t>
      </w:r>
      <w:r>
        <w:rPr>
          <w:rFonts w:hint="eastAsia" w:ascii="仿宋" w:hAnsi="仿宋" w:eastAsia="仿宋" w:cs="仿宋"/>
          <w:color w:val="auto"/>
          <w:kern w:val="0"/>
          <w:sz w:val="28"/>
          <w:szCs w:val="28"/>
        </w:rPr>
        <w:t>在政府采购活动中，残疾人福利性单位视同小型、微型企业，享受评审中价格扣除等促进中小企业发展的政府采购政策。本项目对残疾人福利性单位提供的自产产品或</w:t>
      </w:r>
    </w:p>
    <w:p>
      <w:pPr>
        <w:spacing w:line="5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kern w:val="0"/>
          <w:sz w:val="28"/>
          <w:szCs w:val="28"/>
        </w:rPr>
        <w:t>提供其他残疾人福利性单位制造的货物的价格给予扣除，用扣除后的价格作为评标价参与评审（其投标报价不变）。</w:t>
      </w:r>
      <w:r>
        <w:rPr>
          <w:rFonts w:hint="eastAsia" w:ascii="仿宋" w:hAnsi="仿宋" w:eastAsia="仿宋" w:cs="仿宋"/>
          <w:color w:val="auto"/>
          <w:sz w:val="28"/>
          <w:szCs w:val="28"/>
        </w:rPr>
        <w:t>本项目对残疾人福利性单位产品的价格扣除比例详见评标办法。</w:t>
      </w:r>
    </w:p>
    <w:p>
      <w:pPr>
        <w:widowControl/>
        <w:spacing w:after="240" w:line="56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符合条件的残疾人福利性单位在参加政府采购活动时，应当提供《残疾人福利性单位声明函》（见第五章附件），并对声明的真实性负责。任何单位或者个人在政府采购活动中均不得要求残疾人福利性单位提供其他证明声明函内容的材料。</w:t>
      </w:r>
    </w:p>
    <w:p>
      <w:pPr>
        <w:widowControl/>
        <w:spacing w:after="240" w:line="56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480" w:lineRule="exact"/>
        <w:ind w:firstLine="562" w:firstLineChars="200"/>
        <w:jc w:val="left"/>
        <w:rPr>
          <w:rFonts w:hint="eastAsia" w:ascii="仿宋" w:hAnsi="仿宋" w:eastAsia="仿宋" w:cs="仿宋"/>
          <w:b/>
          <w:color w:val="auto"/>
          <w:sz w:val="28"/>
          <w:szCs w:val="28"/>
        </w:rPr>
      </w:pPr>
      <w:r>
        <w:rPr>
          <w:rFonts w:hint="eastAsia" w:ascii="仿宋" w:hAnsi="仿宋" w:eastAsia="仿宋" w:cs="仿宋"/>
          <w:b/>
          <w:color w:val="auto"/>
          <w:sz w:val="28"/>
          <w:szCs w:val="28"/>
        </w:rPr>
        <w:t>4</w:t>
      </w:r>
      <w:r>
        <w:rPr>
          <w:rFonts w:hint="eastAsia" w:ascii="仿宋" w:hAnsi="仿宋" w:eastAsia="仿宋" w:cs="仿宋"/>
          <w:b/>
          <w:color w:val="auto"/>
          <w:sz w:val="28"/>
          <w:szCs w:val="28"/>
          <w:lang w:val="en-US" w:eastAsia="zh-CN"/>
        </w:rPr>
        <w:t>2</w:t>
      </w:r>
      <w:r>
        <w:rPr>
          <w:rFonts w:hint="eastAsia" w:ascii="仿宋" w:hAnsi="仿宋" w:eastAsia="仿宋" w:cs="仿宋"/>
          <w:b/>
          <w:color w:val="auto"/>
          <w:sz w:val="28"/>
          <w:szCs w:val="28"/>
        </w:rPr>
        <w:t xml:space="preserve"> 相同品牌投标产品有效投标人的认定：</w:t>
      </w:r>
    </w:p>
    <w:p>
      <w:pPr>
        <w:spacing w:line="480" w:lineRule="exact"/>
        <w:ind w:firstLine="560" w:firstLineChars="200"/>
        <w:jc w:val="left"/>
        <w:rPr>
          <w:rFonts w:hint="eastAsia" w:ascii="仿宋" w:hAnsi="仿宋" w:eastAsia="仿宋" w:cs="仿宋"/>
          <w:color w:val="auto"/>
          <w:sz w:val="28"/>
          <w:szCs w:val="28"/>
          <w:u w:val="single"/>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.1</w:t>
      </w:r>
      <w:r>
        <w:rPr>
          <w:rFonts w:hint="eastAsia" w:ascii="仿宋" w:hAnsi="仿宋" w:eastAsia="仿宋" w:cs="仿宋"/>
          <w:color w:val="auto"/>
          <w:sz w:val="28"/>
          <w:szCs w:val="28"/>
          <w:u w:val="single"/>
        </w:rPr>
        <w:t xml:space="preserve">  采用最低评标价法的采购项目，提供相同品牌产品的不同投标人参加同一合同项下投标的，以其中通过资格审查、符合性审查且报价最低的参加评标； 报价相同的，由采购人或者采购人委托评标委员会按照招标文件规定的方式确定一个参加评标的投标人，招标文件未规定的采取随机抽取方式确定，其他投标无效。</w:t>
      </w:r>
    </w:p>
    <w:p>
      <w:pPr>
        <w:spacing w:line="480" w:lineRule="exact"/>
        <w:ind w:firstLine="560" w:firstLineChars="200"/>
        <w:jc w:val="left"/>
        <w:rPr>
          <w:rFonts w:hint="eastAsia" w:ascii="仿宋" w:hAnsi="仿宋" w:eastAsia="仿宋" w:cs="仿宋"/>
          <w:b/>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80" w:lineRule="exact"/>
        <w:jc w:val="left"/>
        <w:rPr>
          <w:rFonts w:hint="eastAsia" w:ascii="仿宋" w:hAnsi="仿宋" w:eastAsia="仿宋" w:cs="仿宋"/>
          <w:b/>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.3  非单一产品采购项目，采购人应当根据采购项目技术构成、产品价格比重等合理确定核心产品，并在招标文件中载明。多家投标人提供的核心产品品牌相同的， 按前两款规定处理。</w:t>
      </w:r>
    </w:p>
    <w:p>
      <w:pPr>
        <w:pStyle w:val="6"/>
        <w:tabs>
          <w:tab w:val="left" w:pos="720"/>
        </w:tabs>
        <w:spacing w:line="240" w:lineRule="auto"/>
        <w:ind w:firstLine="562" w:firstLineChars="20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 xml:space="preserve"> 变更事项</w:t>
      </w:r>
    </w:p>
    <w:p>
      <w:pPr>
        <w:pStyle w:val="16"/>
        <w:spacing w:line="500" w:lineRule="exact"/>
        <w:ind w:left="885" w:leftChars="266" w:hanging="140" w:hangingChars="50"/>
        <w:rPr>
          <w:rFonts w:hint="eastAsia" w:ascii="仿宋" w:hAnsi="仿宋" w:eastAsia="仿宋" w:cs="仿宋"/>
          <w:color w:val="auto"/>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.1 供应商在项目投标截止时间之前应随时关注相关网站以便能够及时获取项目变更事项。</w:t>
      </w:r>
    </w:p>
    <w:bookmarkEnd w:id="8"/>
    <w:bookmarkEnd w:id="9"/>
    <w:bookmarkEnd w:id="10"/>
    <w:bookmarkEnd w:id="11"/>
    <w:bookmarkEnd w:id="12"/>
    <w:bookmarkEnd w:id="13"/>
    <w:bookmarkEnd w:id="14"/>
    <w:p>
      <w:pPr>
        <w:rPr>
          <w:rFonts w:hint="eastAsia" w:ascii="仿宋" w:hAnsi="仿宋" w:eastAsia="仿宋" w:cs="仿宋"/>
          <w:b/>
          <w:bCs/>
          <w:color w:val="auto"/>
          <w:kern w:val="0"/>
          <w:sz w:val="28"/>
          <w:szCs w:val="28"/>
        </w:rPr>
      </w:pPr>
      <w:bookmarkStart w:id="340" w:name="_Toc19273"/>
      <w:bookmarkStart w:id="341" w:name="_Toc29968"/>
      <w:bookmarkStart w:id="342" w:name="_Toc4370"/>
      <w:r>
        <w:rPr>
          <w:rFonts w:hint="eastAsia" w:ascii="仿宋" w:hAnsi="仿宋" w:eastAsia="仿宋" w:cs="仿宋"/>
          <w:b/>
          <w:bCs/>
          <w:color w:val="auto"/>
          <w:kern w:val="0"/>
          <w:sz w:val="28"/>
          <w:szCs w:val="28"/>
        </w:rPr>
        <w:br w:type="page"/>
      </w:r>
    </w:p>
    <w:p>
      <w:pPr>
        <w:keepNext/>
        <w:keepLines/>
        <w:adjustRightInd w:val="0"/>
        <w:spacing w:line="440" w:lineRule="exact"/>
        <w:jc w:val="center"/>
        <w:textAlignment w:val="baseline"/>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九、投标资料表</w:t>
      </w:r>
      <w:bookmarkEnd w:id="340"/>
      <w:bookmarkEnd w:id="341"/>
      <w:bookmarkEnd w:id="342"/>
    </w:p>
    <w:p>
      <w:pPr>
        <w:spacing w:line="44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本资料表中的内容是对供应商须知的具体补充和修改，如果有矛盾，应以本资料表内容为准。</w:t>
      </w:r>
    </w:p>
    <w:tbl>
      <w:tblPr>
        <w:tblStyle w:val="30"/>
        <w:tblW w:w="98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83"/>
        <w:gridCol w:w="89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tblHeader/>
          <w:jc w:val="center"/>
        </w:trPr>
        <w:tc>
          <w:tcPr>
            <w:tcW w:w="883" w:type="dxa"/>
            <w:vAlign w:val="center"/>
          </w:tcPr>
          <w:p>
            <w:pPr>
              <w:spacing w:line="48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条款号</w:t>
            </w:r>
          </w:p>
        </w:tc>
        <w:tc>
          <w:tcPr>
            <w:tcW w:w="8917" w:type="dxa"/>
            <w:vAlign w:val="center"/>
          </w:tcPr>
          <w:p>
            <w:pPr>
              <w:spacing w:line="48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8917" w:type="dxa"/>
            <w:vAlign w:val="center"/>
          </w:tcPr>
          <w:p>
            <w:pPr>
              <w:spacing w:line="48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项目的资金来源：</w:t>
            </w:r>
            <w:r>
              <w:rPr>
                <w:rFonts w:hint="eastAsia" w:ascii="仿宋" w:hAnsi="仿宋" w:eastAsia="仿宋" w:cs="仿宋"/>
                <w:color w:val="auto"/>
                <w:sz w:val="28"/>
                <w:szCs w:val="28"/>
                <w:lang w:eastAsia="zh-CN"/>
              </w:rPr>
              <w:t>财政资金</w:t>
            </w:r>
          </w:p>
          <w:p>
            <w:pPr>
              <w:tabs>
                <w:tab w:val="left" w:pos="420"/>
              </w:tabs>
              <w:spacing w:line="480" w:lineRule="exact"/>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t>项目预算：</w:t>
            </w:r>
            <w:r>
              <w:rPr>
                <w:rFonts w:hint="eastAsia" w:ascii="仿宋" w:hAnsi="仿宋" w:eastAsia="仿宋" w:cs="仿宋"/>
                <w:color w:val="auto"/>
                <w:sz w:val="28"/>
                <w:szCs w:val="28"/>
                <w:lang w:val="en-US" w:eastAsia="zh-CN"/>
              </w:rPr>
              <w:t>560万元</w:t>
            </w:r>
          </w:p>
          <w:p>
            <w:pPr>
              <w:spacing w:line="480" w:lineRule="exact"/>
              <w:rPr>
                <w:rFonts w:hint="eastAsia" w:ascii="仿宋" w:hAnsi="仿宋" w:eastAsia="仿宋" w:cs="仿宋"/>
                <w:color w:val="auto"/>
                <w:sz w:val="28"/>
                <w:szCs w:val="28"/>
              </w:rPr>
            </w:pPr>
            <w:r>
              <w:rPr>
                <w:rFonts w:hint="eastAsia" w:ascii="仿宋" w:hAnsi="仿宋" w:eastAsia="仿宋" w:cs="仿宋"/>
                <w:b/>
                <w:color w:val="auto"/>
                <w:sz w:val="28"/>
                <w:szCs w:val="28"/>
                <w:lang w:val="zh-CN"/>
              </w:rPr>
              <w:t>供应商的投标报价超过项目预算的按无效投标处理。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89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kern w:val="0"/>
                <w:sz w:val="28"/>
                <w:szCs w:val="28"/>
                <w:u w:val="none"/>
                <w:lang w:val="en-US" w:eastAsia="zh-CN" w:bidi="ar"/>
              </w:rPr>
              <w:t>定西市融媒体中心《定西日报》印刷服务采购项目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89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合同名称：</w:t>
            </w:r>
            <w:r>
              <w:rPr>
                <w:rFonts w:hint="eastAsia" w:ascii="仿宋" w:hAnsi="仿宋" w:eastAsia="仿宋" w:cs="仿宋"/>
                <w:color w:val="auto"/>
                <w:kern w:val="0"/>
                <w:sz w:val="28"/>
                <w:szCs w:val="28"/>
                <w:u w:val="none"/>
                <w:lang w:val="en-US" w:eastAsia="zh-CN" w:bidi="ar"/>
              </w:rPr>
              <w:t>定西市融媒体中心《定西日报》印刷服务采购项目</w:t>
            </w:r>
            <w:r>
              <w:rPr>
                <w:rFonts w:hint="eastAsia" w:ascii="仿宋" w:hAnsi="仿宋" w:eastAsia="仿宋" w:cs="仿宋"/>
                <w:color w:val="auto"/>
                <w:sz w:val="28"/>
                <w:szCs w:val="28"/>
              </w:rPr>
              <w:t>（HT）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2.1a</w:t>
            </w:r>
          </w:p>
        </w:tc>
        <w:tc>
          <w:tcPr>
            <w:tcW w:w="8917" w:type="dxa"/>
            <w:vAlign w:val="center"/>
          </w:tcPr>
          <w:p>
            <w:pPr>
              <w:spacing w:line="48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采购人名称：</w:t>
            </w:r>
            <w:r>
              <w:rPr>
                <w:rFonts w:hint="eastAsia" w:ascii="仿宋" w:hAnsi="仿宋" w:eastAsia="仿宋" w:cs="仿宋"/>
                <w:color w:val="auto"/>
                <w:sz w:val="28"/>
                <w:szCs w:val="28"/>
                <w:lang w:eastAsia="zh-CN"/>
              </w:rPr>
              <w:t>定西市融媒体中心</w:t>
            </w:r>
          </w:p>
          <w:p>
            <w:pPr>
              <w:spacing w:line="480" w:lineRule="exact"/>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rPr>
              <w:t>采购人地址：</w:t>
            </w:r>
            <w:r>
              <w:rPr>
                <w:rFonts w:hint="eastAsia" w:ascii="仿宋" w:hAnsi="仿宋" w:eastAsia="仿宋" w:cs="仿宋"/>
                <w:color w:val="auto"/>
                <w:kern w:val="0"/>
                <w:sz w:val="28"/>
                <w:szCs w:val="28"/>
                <w:lang w:val="en-US" w:eastAsia="zh-CN" w:bidi="ar"/>
              </w:rPr>
              <w:t>定西市安定区岷县街11号A区</w:t>
            </w:r>
          </w:p>
          <w:p>
            <w:pPr>
              <w:tabs>
                <w:tab w:val="left" w:pos="420"/>
              </w:tabs>
              <w:spacing w:line="52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联 系 人：侯卫东</w:t>
            </w:r>
          </w:p>
          <w:p>
            <w:pPr>
              <w:tabs>
                <w:tab w:val="left" w:pos="420"/>
              </w:tabs>
              <w:spacing w:line="520" w:lineRule="exact"/>
              <w:rPr>
                <w:rFonts w:hint="eastAsia" w:ascii="仿宋" w:hAnsi="仿宋" w:eastAsia="仿宋" w:cs="仿宋"/>
                <w:color w:val="auto"/>
                <w:sz w:val="28"/>
                <w:szCs w:val="28"/>
                <w:shd w:val="clear" w:color="auto" w:fill="FFFFFF"/>
                <w:lang w:eastAsia="zh-CN"/>
              </w:rPr>
            </w:pPr>
            <w:r>
              <w:rPr>
                <w:rFonts w:hint="eastAsia" w:ascii="仿宋" w:hAnsi="仿宋" w:eastAsia="仿宋" w:cs="仿宋"/>
                <w:bCs/>
                <w:color w:val="auto"/>
                <w:sz w:val="28"/>
                <w:szCs w:val="28"/>
                <w:shd w:val="clear" w:color="auto" w:fill="FFFFFF"/>
              </w:rPr>
              <w:t>联系电话：</w:t>
            </w:r>
            <w:r>
              <w:rPr>
                <w:rFonts w:hint="eastAsia" w:ascii="仿宋" w:hAnsi="仿宋" w:eastAsia="仿宋" w:cs="仿宋"/>
                <w:color w:val="auto"/>
                <w:sz w:val="28"/>
                <w:szCs w:val="28"/>
                <w:lang w:eastAsia="zh-CN"/>
              </w:rPr>
              <w:t>0932-8225622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2.1b</w:t>
            </w:r>
          </w:p>
        </w:tc>
        <w:tc>
          <w:tcPr>
            <w:tcW w:w="8917" w:type="dxa"/>
            <w:vAlign w:val="center"/>
          </w:tcPr>
          <w:p>
            <w:pPr>
              <w:spacing w:line="48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采购代理机构名称：</w:t>
            </w:r>
            <w:r>
              <w:rPr>
                <w:rFonts w:hint="eastAsia" w:ascii="仿宋" w:hAnsi="仿宋" w:eastAsia="仿宋" w:cs="仿宋"/>
                <w:color w:val="auto"/>
                <w:sz w:val="28"/>
                <w:szCs w:val="28"/>
                <w:lang w:val="en-US" w:eastAsia="zh-CN"/>
              </w:rPr>
              <w:t>定西市公共资源交易中心</w:t>
            </w:r>
          </w:p>
          <w:p>
            <w:pPr>
              <w:spacing w:line="48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采购代理机构地址：</w:t>
            </w:r>
            <w:r>
              <w:rPr>
                <w:rFonts w:hint="eastAsia" w:ascii="仿宋" w:hAnsi="仿宋" w:eastAsia="仿宋" w:cs="仿宋"/>
                <w:color w:val="auto"/>
                <w:sz w:val="28"/>
                <w:szCs w:val="28"/>
                <w:lang w:eastAsia="zh-CN"/>
              </w:rPr>
              <w:t>甘肃省定西市安定区新城建设大厦</w:t>
            </w:r>
          </w:p>
          <w:p>
            <w:pPr>
              <w:spacing w:line="48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联 系 人:</w:t>
            </w:r>
            <w:r>
              <w:rPr>
                <w:rFonts w:hint="eastAsia" w:ascii="仿宋" w:hAnsi="仿宋" w:eastAsia="仿宋" w:cs="仿宋"/>
                <w:color w:val="auto"/>
                <w:sz w:val="28"/>
                <w:szCs w:val="28"/>
                <w:lang w:eastAsia="zh-CN"/>
              </w:rPr>
              <w:t>赵伟</w:t>
            </w:r>
          </w:p>
          <w:p>
            <w:pPr>
              <w:spacing w:line="48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eastAsia="zh-CN"/>
              </w:rPr>
              <w:t>0932-8</w:t>
            </w:r>
            <w:r>
              <w:rPr>
                <w:rFonts w:hint="eastAsia" w:ascii="仿宋" w:hAnsi="仿宋" w:eastAsia="仿宋" w:cs="仿宋"/>
                <w:color w:val="auto"/>
                <w:sz w:val="28"/>
                <w:szCs w:val="28"/>
                <w:lang w:val="en-US" w:eastAsia="zh-CN"/>
              </w:rPr>
              <w:t>362536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2.2a</w:t>
            </w:r>
          </w:p>
        </w:tc>
        <w:tc>
          <w:tcPr>
            <w:tcW w:w="8917" w:type="dxa"/>
            <w:vAlign w:val="center"/>
          </w:tcPr>
          <w:p>
            <w:pPr>
              <w:spacing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供应商合格来源国限制：中华人民共和国境内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shd w:val="clear" w:color="auto" w:fill="auto"/>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2.2e</w:t>
            </w:r>
          </w:p>
          <w:p>
            <w:pPr>
              <w:spacing w:line="480" w:lineRule="exact"/>
              <w:jc w:val="center"/>
              <w:rPr>
                <w:rFonts w:hint="eastAsia" w:ascii="仿宋" w:hAnsi="仿宋" w:eastAsia="仿宋" w:cs="仿宋"/>
                <w:color w:val="auto"/>
                <w:sz w:val="28"/>
                <w:szCs w:val="28"/>
              </w:rPr>
            </w:pPr>
          </w:p>
        </w:tc>
        <w:tc>
          <w:tcPr>
            <w:tcW w:w="8917" w:type="dxa"/>
            <w:shd w:val="clear" w:color="auto" w:fill="FFFFFF"/>
          </w:tcPr>
          <w:p>
            <w:pPr>
              <w:pStyle w:val="16"/>
              <w:spacing w:line="36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 xml:space="preserve">1.满足《中华人民共和国政府采购法》第二十二条规定并提供《中华人民共和国政府采购法实施条例》第十七条所要求的材料； </w:t>
            </w:r>
          </w:p>
          <w:p>
            <w:pPr>
              <w:pStyle w:val="16"/>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2.落实政府采购政策需满足的资格要求：2.1 供应商须提供中国裁判文书网（wenshu.court.gov.cn）查询结果； 2.2 供应商须未被列入“信用中国”网站（www.creditchina.gov.cn）记录失信被执行人或重大税收违法案件当事人名单或政府采购严重违法失信行为记录名单且不处于“中国政府采购网”（www.ccgp.gov.cn）政府采购严重违法失信行为信息记录中禁止参加政府采购活动期间的（以获取招 标 文 件 之 日 至 投 标 截 止 日 期 间 “ 信 用 中 国 ” 网 站（ www.creditchina.gov.cn ） 及 “ 中 国 政 府 采 购 网 ”（www.ccgp.gov.cn）查询截图为准，如相关失信记录失效，供应商需提供相关证明资料）。 2.3 根据财政部、工业和信息化部发布的《政府采购促进中小企业发展管理办法》（财库〔2020〕46 号）和财政部《关于进一步加大政府采购支持中小企业力度的通知》（财库〔2022〕19 号）规定，对小型和微型企业产品的投标价格给予 10%的扣除，用扣除后的价格参与评审。本项目面向中小企业预留采购份额，预留比例100.0%，其中预留小微企业比例 100.0%。须提供《中小企业声明函》或者《残疾人福利性单位声明函》或者由省级以上监狱管理局、戒毒管理局（含新疆生产建设兵团）出具的属于监狱企业的证明文件。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3.本项目的特定资格要求：&lt;</w:t>
            </w:r>
            <w:r>
              <w:rPr>
                <w:rFonts w:hint="eastAsia" w:ascii="仿宋_GB2312" w:hAnsi="仿宋_GB2312" w:eastAsia="仿宋_GB2312" w:cs="仿宋_GB2312"/>
                <w:color w:val="auto"/>
                <w:spacing w:val="-11"/>
                <w:sz w:val="32"/>
                <w:szCs w:val="32"/>
              </w:rPr>
              <w:t>印刷经营许可证</w:t>
            </w:r>
            <w:r>
              <w:rPr>
                <w:rFonts w:hint="eastAsia" w:ascii="仿宋_GB2312" w:hAnsi="仿宋_GB2312" w:eastAsia="仿宋_GB2312" w:cs="仿宋_GB2312"/>
                <w:color w:val="auto"/>
                <w:spacing w:val="-11"/>
                <w:sz w:val="32"/>
                <w:szCs w:val="32"/>
                <w:lang w:val="en-US" w:eastAsia="zh-CN"/>
              </w:rPr>
              <w:t>&gt;.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3.1</w:t>
            </w:r>
          </w:p>
        </w:tc>
        <w:tc>
          <w:tcPr>
            <w:tcW w:w="8917" w:type="dxa"/>
            <w:vAlign w:val="center"/>
          </w:tcPr>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货物和服务合格来源国限制：凡是来自中华人民共和国境内或与中华人民共和国有正常贸易往来国家/地区（允许采购进口产品时）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7" w:hRule="atLeast"/>
          <w:jc w:val="center"/>
        </w:trPr>
        <w:tc>
          <w:tcPr>
            <w:tcW w:w="883" w:type="dxa"/>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4.2</w:t>
            </w:r>
          </w:p>
        </w:tc>
        <w:tc>
          <w:tcPr>
            <w:tcW w:w="8917" w:type="dxa"/>
            <w:vAlign w:val="center"/>
          </w:tcPr>
          <w:p>
            <w:pPr>
              <w:spacing w:line="50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招标代理服务费：</w:t>
            </w:r>
            <w:r>
              <w:rPr>
                <w:rFonts w:hint="eastAsia" w:ascii="仿宋" w:hAnsi="仿宋" w:eastAsia="仿宋" w:cs="仿宋"/>
                <w:color w:val="auto"/>
                <w:sz w:val="28"/>
                <w:szCs w:val="28"/>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6.1</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采购代理机构联系方式见“投标资料表”2.1.b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8.4</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投标文件格式特殊要求：无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9.1</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投标语言：中文汉语（有关设备型号、专用名词等可除外）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10.2.1</w:t>
            </w:r>
          </w:p>
        </w:tc>
        <w:tc>
          <w:tcPr>
            <w:tcW w:w="8917" w:type="dxa"/>
            <w:vAlign w:val="center"/>
          </w:tcPr>
          <w:p>
            <w:pPr>
              <w:pStyle w:val="16"/>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28"/>
                <w:szCs w:val="28"/>
              </w:rPr>
              <w:t>资格证明文件部分应包括：</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1、营业执照副本（复印件加盖公章）</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2、国家和地方税务登记证副本（复印件加盖公章）</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3、组织机构代码证副本（复印件加盖公章）</w:t>
            </w:r>
          </w:p>
          <w:p>
            <w:pPr>
              <w:pStyle w:val="16"/>
              <w:spacing w:line="360" w:lineRule="auto"/>
              <w:ind w:firstLine="420" w:firstLineChars="150"/>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注：上述营业执照、税务登记证、组织机构代码证已三证合一的，则需提供具有统一社会信用代码的营业执照副本</w:t>
            </w:r>
            <w:r>
              <w:rPr>
                <w:rFonts w:hint="eastAsia" w:ascii="仿宋" w:hAnsi="仿宋" w:eastAsia="仿宋" w:cs="仿宋"/>
                <w:color w:val="auto"/>
                <w:sz w:val="28"/>
                <w:szCs w:val="28"/>
              </w:rPr>
              <w:t xml:space="preserve">（复印件加盖公章）；如供应商是事业单位，应提供“事业单位法人证书”（复印件加盖公章）；如供应商是自然人，需提供自然人身份证明并签字。如供应商是其他组织，应提供相应的证明文件（复印件加盖公章）。 </w:t>
            </w:r>
          </w:p>
          <w:p>
            <w:pPr>
              <w:pStyle w:val="16"/>
              <w:numPr>
                <w:ilvl w:val="0"/>
                <w:numId w:val="20"/>
              </w:num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开户许可证或基本存款账户信息（复印件加盖公章，供应商是自然人的，需提供银行开户证明或其他相关证明）</w:t>
            </w:r>
          </w:p>
          <w:p>
            <w:pPr>
              <w:pStyle w:val="16"/>
              <w:spacing w:line="360" w:lineRule="auto"/>
              <w:rPr>
                <w:rFonts w:hint="eastAsia" w:ascii="仿宋" w:hAnsi="仿宋" w:eastAsia="仿宋" w:cs="仿宋"/>
                <w:color w:val="auto"/>
                <w:sz w:val="28"/>
                <w:szCs w:val="28"/>
                <w:highlight w:val="yellow"/>
              </w:rPr>
            </w:pPr>
            <w:r>
              <w:rPr>
                <w:rFonts w:hint="eastAsia" w:ascii="仿宋" w:hAnsi="仿宋" w:eastAsia="仿宋" w:cs="仿宋"/>
                <w:color w:val="auto"/>
                <w:sz w:val="28"/>
                <w:szCs w:val="28"/>
                <w:shd w:val="clear" w:color="auto" w:fill="FFFFFF"/>
              </w:rPr>
              <w:t>5、中国裁判文书网(wenshu.court.gov.cn)自行查询的自公告之日起有效的近三年内行贿犯罪档案查询结果告知函(截图加盖公章)</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6、参加政府采购活动前3年内在经营活动中没有重大违法记录的书面声明</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7、参加本项目采购活动近</w:t>
            </w:r>
            <w:r>
              <w:rPr>
                <w:rFonts w:hint="eastAsia" w:ascii="仿宋" w:hAnsi="仿宋" w:eastAsia="仿宋" w:cs="仿宋"/>
                <w:color w:val="auto"/>
                <w:sz w:val="28"/>
                <w:szCs w:val="28"/>
                <w:lang w:eastAsia="zh-CN"/>
              </w:rPr>
              <w:t>半年</w:t>
            </w:r>
            <w:r>
              <w:rPr>
                <w:rFonts w:hint="eastAsia" w:ascii="仿宋" w:hAnsi="仿宋" w:eastAsia="仿宋" w:cs="仿宋"/>
                <w:color w:val="auto"/>
                <w:sz w:val="28"/>
                <w:szCs w:val="28"/>
              </w:rPr>
              <w:t>任意一个月缴纳税收的完税证明材料（享受免税政策的企业须提供免税证明；尚未缴纳税收的新成立公司仅需提供相关新办材料）（复印件加盖公章）</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8、参加本项目采购活动近</w:t>
            </w:r>
            <w:r>
              <w:rPr>
                <w:rFonts w:hint="eastAsia" w:ascii="仿宋" w:hAnsi="仿宋" w:eastAsia="仿宋" w:cs="仿宋"/>
                <w:color w:val="auto"/>
                <w:sz w:val="28"/>
                <w:szCs w:val="28"/>
                <w:lang w:eastAsia="zh-CN"/>
              </w:rPr>
              <w:t>半年</w:t>
            </w:r>
            <w:r>
              <w:rPr>
                <w:rFonts w:hint="eastAsia" w:ascii="仿宋" w:hAnsi="仿宋" w:eastAsia="仿宋" w:cs="仿宋"/>
                <w:color w:val="auto"/>
                <w:sz w:val="28"/>
                <w:szCs w:val="28"/>
              </w:rPr>
              <w:t>任意一个月缴纳社会保障资金的证明材料（专用收据或社会保险交纳清单，复印件加盖公章；依法不需要缴纳社会保障资金的供应商需提供相关证明文件；尚未缴纳税收的新成立公司仅需提供相关新办材料）</w:t>
            </w:r>
          </w:p>
          <w:p>
            <w:pPr>
              <w:pStyle w:val="16"/>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9、由会计事务所出具或经第三方审计的上年度财务审计报告（复印件加盖公章）；或者供应商基本开户银行出具的资信证明；或者财政部门认可的政府采购专业担保机构对供应商进行资格审查后出具的投标担保函（三者提供其一即可）</w:t>
            </w:r>
          </w:p>
          <w:p>
            <w:pPr>
              <w:pStyle w:val="16"/>
              <w:spacing w:line="360" w:lineRule="auto"/>
              <w:jc w:val="left"/>
              <w:rPr>
                <w:rFonts w:hint="eastAsia" w:ascii="仿宋" w:hAnsi="仿宋" w:eastAsia="仿宋" w:cs="仿宋"/>
                <w:bCs/>
                <w:color w:val="auto"/>
                <w:sz w:val="28"/>
                <w:szCs w:val="28"/>
              </w:rPr>
            </w:pPr>
            <w:r>
              <w:rPr>
                <w:rFonts w:hint="eastAsia" w:ascii="仿宋" w:hAnsi="仿宋" w:eastAsia="仿宋" w:cs="仿宋"/>
                <w:bCs/>
                <w:color w:val="auto"/>
                <w:sz w:val="28"/>
                <w:szCs w:val="28"/>
              </w:rPr>
              <w:t>10、</w:t>
            </w:r>
            <w:r>
              <w:rPr>
                <w:rFonts w:hint="eastAsia" w:ascii="仿宋" w:hAnsi="仿宋" w:eastAsia="仿宋" w:cs="仿宋"/>
                <w:color w:val="auto"/>
                <w:sz w:val="28"/>
                <w:szCs w:val="28"/>
              </w:rPr>
              <w:t>获取招标文件之日至投标截止日期间“信用中国”网（www.creditchina.gov.cn）、中国政府采购网（www.ccgp.gov.cn）查询截图（复印件加盖公章）注：</w:t>
            </w:r>
            <w:r>
              <w:rPr>
                <w:rFonts w:hint="eastAsia" w:ascii="仿宋" w:hAnsi="仿宋" w:eastAsia="仿宋" w:cs="仿宋"/>
                <w:bCs/>
                <w:color w:val="auto"/>
                <w:sz w:val="28"/>
                <w:szCs w:val="28"/>
              </w:rPr>
              <w:t>如相关失信记录已失效，供应商需提供相关证明资料</w:t>
            </w:r>
          </w:p>
          <w:p>
            <w:pPr>
              <w:pStyle w:val="11"/>
              <w:spacing w:line="360" w:lineRule="auto"/>
              <w:ind w:left="0" w:leftChars="0" w:firstLine="0" w:firstLineChars="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11、中小企业声明函（若有）</w:t>
            </w:r>
          </w:p>
          <w:p>
            <w:pPr>
              <w:pStyle w:val="16"/>
              <w:numPr>
                <w:ilvl w:val="0"/>
                <w:numId w:val="0"/>
              </w:numPr>
              <w:spacing w:line="480" w:lineRule="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12、非联合体投标</w:t>
            </w:r>
          </w:p>
          <w:p>
            <w:pPr>
              <w:pStyle w:val="11"/>
              <w:ind w:left="0" w:leftChars="0" w:firstLine="0" w:firstLineChars="0"/>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13.供应商需提供《印刷经营许可证》。</w:t>
            </w:r>
          </w:p>
          <w:p>
            <w:pPr>
              <w:pStyle w:val="16"/>
              <w:spacing w:line="360" w:lineRule="auto"/>
              <w:rPr>
                <w:rFonts w:hint="eastAsia" w:ascii="仿宋" w:hAnsi="仿宋" w:eastAsia="仿宋" w:cs="仿宋"/>
                <w:color w:val="auto"/>
                <w:kern w:val="0"/>
                <w:sz w:val="28"/>
                <w:szCs w:val="28"/>
                <w:shd w:val="clear" w:color="auto" w:fill="FFFFFF"/>
                <w:lang w:val="en-US" w:eastAsia="zh-CN"/>
              </w:rPr>
            </w:pPr>
            <w:r>
              <w:rPr>
                <w:rFonts w:hint="eastAsia" w:ascii="仿宋" w:hAnsi="仿宋" w:eastAsia="仿宋" w:cs="仿宋"/>
                <w:b/>
                <w:i/>
                <w:iCs/>
                <w:color w:val="auto"/>
                <w:sz w:val="28"/>
                <w:szCs w:val="28"/>
              </w:rPr>
              <w:t>注：资格证明文件缺少任何一项或未按照要求提供均被视为无效投标。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10.2.2</w:t>
            </w:r>
          </w:p>
        </w:tc>
        <w:tc>
          <w:tcPr>
            <w:tcW w:w="8917" w:type="dxa"/>
            <w:vAlign w:val="center"/>
          </w:tcPr>
          <w:p>
            <w:pPr>
              <w:pStyle w:val="16"/>
              <w:snapToGrid w:val="0"/>
              <w:spacing w:line="48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商务文件部分应包括： </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(1)投标函</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(2)开标一览表（用于唱标）</w:t>
            </w:r>
          </w:p>
          <w:p>
            <w:pPr>
              <w:pStyle w:val="16"/>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(3)法定代表人身份证明(</w:t>
            </w:r>
            <w:r>
              <w:rPr>
                <w:rFonts w:hint="eastAsia" w:ascii="仿宋" w:hAnsi="仿宋" w:eastAsia="仿宋" w:cs="仿宋"/>
                <w:color w:val="auto"/>
                <w:sz w:val="28"/>
                <w:szCs w:val="28"/>
                <w:lang w:val="en-US" w:eastAsia="zh-CN"/>
              </w:rPr>
              <w:t>复印件正反面加盖公章</w:t>
            </w:r>
            <w:r>
              <w:rPr>
                <w:rFonts w:hint="eastAsia" w:ascii="仿宋" w:hAnsi="仿宋" w:eastAsia="仿宋" w:cs="仿宋"/>
                <w:color w:val="auto"/>
                <w:sz w:val="28"/>
                <w:szCs w:val="28"/>
              </w:rPr>
              <w:t>)</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(4)法定代表人授权委托书(</w:t>
            </w:r>
            <w:r>
              <w:rPr>
                <w:rFonts w:hint="eastAsia" w:ascii="仿宋" w:hAnsi="仿宋" w:eastAsia="仿宋" w:cs="仿宋"/>
                <w:color w:val="auto"/>
                <w:sz w:val="28"/>
                <w:szCs w:val="28"/>
                <w:lang w:val="en-US" w:eastAsia="zh-CN"/>
              </w:rPr>
              <w:t>复印件正反面加盖公章</w:t>
            </w:r>
            <w:r>
              <w:rPr>
                <w:rFonts w:hint="eastAsia" w:ascii="仿宋" w:hAnsi="仿宋" w:eastAsia="仿宋" w:cs="仿宋"/>
                <w:color w:val="auto"/>
                <w:sz w:val="28"/>
                <w:szCs w:val="28"/>
              </w:rPr>
              <w:t>)</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(5)法定代表人身份证（正反面复印件加盖公章）</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(6)授权代理人身份证（正反面复印件加盖公章）</w:t>
            </w:r>
          </w:p>
          <w:p>
            <w:pPr>
              <w:pStyle w:val="16"/>
              <w:snapToGrid w:val="0"/>
              <w:spacing w:line="480" w:lineRule="exact"/>
              <w:rPr>
                <w:rFonts w:hint="eastAsia" w:ascii="仿宋" w:hAnsi="仿宋" w:eastAsia="仿宋" w:cs="仿宋"/>
                <w:b/>
                <w:i/>
                <w:iCs/>
                <w:color w:val="auto"/>
                <w:sz w:val="28"/>
                <w:szCs w:val="28"/>
              </w:rPr>
            </w:pPr>
            <w:r>
              <w:rPr>
                <w:rFonts w:hint="eastAsia" w:ascii="仿宋" w:hAnsi="仿宋" w:eastAsia="仿宋" w:cs="仿宋"/>
                <w:b/>
                <w:i/>
                <w:color w:val="auto"/>
                <w:sz w:val="28"/>
                <w:szCs w:val="28"/>
              </w:rPr>
              <w:t>注：法定代表人亲自投标的，无需提供第(4)项“法定代表人授权委托书”和第（6）项“授权代理人身份证”。</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(7)投标分项报价表</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(8)商务条款偏离表</w:t>
            </w:r>
          </w:p>
          <w:p>
            <w:pPr>
              <w:pStyle w:val="16"/>
              <w:snapToGrid w:val="0"/>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(9)供应商基本情况介绍，包括企业简介、经营范围等（按要求填写《供应商一般情况表》，并附所要求附件）</w:t>
            </w:r>
          </w:p>
          <w:p>
            <w:pPr>
              <w:pStyle w:val="16"/>
              <w:snapToGrid w:val="0"/>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(10) 供应商认为有必要提供的其他资料（如下述资料）但不限于：</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①中小企业声明函（属于中小微企业的供应商提供，不提供者不享受中小微企业优惠政策）</w:t>
            </w:r>
          </w:p>
          <w:p>
            <w:pPr>
              <w:pStyle w:val="16"/>
              <w:snapToGrid w:val="0"/>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②由省级以上监狱管理局、戒毒管理局（含新疆生产建设兵团）出具的属于监狱企业的证明文件（监狱企业参加政府采购活动须提供，不提供不享受监狱企业优惠政策）③环保标志产品和节能产品证明材料（要求见供应商须知第42.3.4条，未提供者不享受相关优惠政策） </w:t>
            </w:r>
          </w:p>
          <w:p>
            <w:pPr>
              <w:pStyle w:val="16"/>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④</w:t>
            </w:r>
            <w:r>
              <w:rPr>
                <w:rFonts w:hint="eastAsia" w:ascii="仿宋" w:hAnsi="仿宋" w:eastAsia="仿宋" w:cs="仿宋"/>
                <w:color w:val="auto"/>
                <w:kern w:val="0"/>
                <w:sz w:val="28"/>
                <w:szCs w:val="28"/>
              </w:rPr>
              <w:t>残疾人福利性单位声明函原件（残疾人福利性单位参加投标需提供，不提供者不享受残疾人福利单位优惠政策）</w:t>
            </w:r>
          </w:p>
          <w:p>
            <w:pPr>
              <w:pStyle w:val="16"/>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⑤类似项目业绩（填写近三年已完成或在执行类似项目一览表，并附中标通知书或合同复印件等证明材料，成立不足三年的按实际情况填写，没有业绩的填写“无”，表格加盖公章）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10.2.3</w:t>
            </w:r>
          </w:p>
        </w:tc>
        <w:tc>
          <w:tcPr>
            <w:tcW w:w="8917" w:type="dxa"/>
            <w:vAlign w:val="center"/>
          </w:tcPr>
          <w:p>
            <w:pPr>
              <w:pStyle w:val="16"/>
              <w:spacing w:line="48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技术文件部分应包括： </w:t>
            </w:r>
          </w:p>
          <w:p>
            <w:pPr>
              <w:pStyle w:val="16"/>
              <w:tabs>
                <w:tab w:val="left" w:pos="1890"/>
              </w:tabs>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(1)技术要求响应/偏差表</w:t>
            </w:r>
          </w:p>
          <w:p>
            <w:pPr>
              <w:pStyle w:val="16"/>
              <w:tabs>
                <w:tab w:val="left" w:pos="1890"/>
              </w:tabs>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(2)投标货物说明表</w:t>
            </w:r>
          </w:p>
          <w:p>
            <w:pPr>
              <w:pStyle w:val="16"/>
              <w:tabs>
                <w:tab w:val="left" w:pos="1890"/>
              </w:tabs>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(3) </w:t>
            </w:r>
            <w:r>
              <w:rPr>
                <w:rFonts w:hint="eastAsia" w:ascii="仿宋" w:hAnsi="仿宋" w:eastAsia="仿宋" w:cs="仿宋"/>
                <w:color w:val="auto"/>
                <w:sz w:val="28"/>
                <w:szCs w:val="28"/>
                <w:shd w:val="clear" w:color="auto" w:fill="FFFFFF"/>
              </w:rPr>
              <w:t>供应商认为有必要提供的其他技术资料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10.3</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本项目只允许供应商有一个投标方案，不接受任何有选择的方案和报价（包括有条件的折扣）。供应商未按要求，提供了选择方案和/或报价的，其投标将被视为无效投标。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11.1</w:t>
            </w:r>
          </w:p>
        </w:tc>
        <w:tc>
          <w:tcPr>
            <w:tcW w:w="8917" w:type="dxa"/>
            <w:vAlign w:val="center"/>
          </w:tcPr>
          <w:p>
            <w:pPr>
              <w:tabs>
                <w:tab w:val="left" w:pos="8640"/>
              </w:tabs>
              <w:spacing w:line="48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投标报价范围及说明： </w:t>
            </w:r>
          </w:p>
          <w:p>
            <w:pPr>
              <w:numPr>
                <w:ilvl w:val="1"/>
                <w:numId w:val="21"/>
              </w:numPr>
              <w:tabs>
                <w:tab w:val="left" w:pos="8640"/>
              </w:tabs>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货物价：以货到项目现场完税价为标准，包括生产、运输和原材料本身价格，以及货物本身已缴纳或应缴纳的全部关税、营业税、销售税和其他税费；运输费、保险费和货物运抵项目现场所产生的其它费用；货物本身必须的备件/附件和专用工具；技术文件费等</w:t>
            </w:r>
          </w:p>
          <w:p>
            <w:pPr>
              <w:numPr>
                <w:ilvl w:val="1"/>
                <w:numId w:val="21"/>
              </w:numPr>
              <w:tabs>
                <w:tab w:val="left" w:pos="8640"/>
              </w:tabs>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服务及其他费用：包括运费、装卸费、验收、培训、售后维修服务和技术支持费等。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12.1</w:t>
            </w:r>
          </w:p>
        </w:tc>
        <w:tc>
          <w:tcPr>
            <w:tcW w:w="8917" w:type="dxa"/>
            <w:vAlign w:val="center"/>
          </w:tcPr>
          <w:p>
            <w:pPr>
              <w:spacing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投标货币：人民币报价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hd w:val="solid" w:color="FFFFFF" w:fill="auto"/>
              <w:autoSpaceDN w:val="0"/>
              <w:spacing w:line="360" w:lineRule="auto"/>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15.1</w:t>
            </w:r>
          </w:p>
        </w:tc>
        <w:tc>
          <w:tcPr>
            <w:tcW w:w="8917" w:type="dxa"/>
          </w:tcPr>
          <w:p>
            <w:pPr>
              <w:shd w:val="solid" w:color="FFFFFF" w:fill="auto"/>
              <w:autoSpaceDN w:val="0"/>
              <w:spacing w:line="360" w:lineRule="auto"/>
              <w:rPr>
                <w:rFonts w:hint="eastAsia" w:ascii="仿宋" w:hAnsi="仿宋" w:eastAsia="仿宋" w:cs="仿宋"/>
                <w:bCs/>
                <w:color w:val="auto"/>
                <w:sz w:val="28"/>
                <w:szCs w:val="28"/>
              </w:rPr>
            </w:pPr>
            <w:r>
              <w:rPr>
                <w:rFonts w:hint="eastAsia" w:ascii="仿宋" w:hAnsi="仿宋" w:eastAsia="仿宋" w:cs="仿宋"/>
                <w:color w:val="auto"/>
                <w:sz w:val="28"/>
                <w:szCs w:val="28"/>
                <w:lang w:eastAsia="zh-CN"/>
              </w:rPr>
              <w:t>投标保证金数额及交纳方式：根据甘肃财政厅关于《甘肃省财政厅关于进一步加大政府采购支持中小企业力度的通知》（甘财采202216号）支持中小企业力度的通知，全省政府采购项目不再收取投标保证金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hd w:val="solid" w:color="FFFFFF" w:fill="auto"/>
              <w:autoSpaceDN w:val="0"/>
              <w:spacing w:line="360" w:lineRule="auto"/>
              <w:jc w:val="center"/>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15.2</w:t>
            </w:r>
          </w:p>
        </w:tc>
        <w:tc>
          <w:tcPr>
            <w:tcW w:w="8917" w:type="dxa"/>
          </w:tcPr>
          <w:p>
            <w:pPr>
              <w:spacing w:line="460" w:lineRule="exact"/>
              <w:rPr>
                <w:rFonts w:hint="eastAsia" w:ascii="仿宋" w:hAnsi="仿宋" w:eastAsia="仿宋" w:cs="仿宋"/>
                <w:bCs/>
                <w:color w:val="auto"/>
                <w:sz w:val="28"/>
                <w:szCs w:val="28"/>
                <w:highlight w:val="none"/>
                <w:lang w:eastAsia="zh-CN"/>
              </w:rPr>
            </w:pPr>
            <w:r>
              <w:rPr>
                <w:rFonts w:hint="eastAsia" w:ascii="仿宋" w:hAnsi="仿宋" w:eastAsia="仿宋" w:cs="仿宋"/>
                <w:color w:val="auto"/>
                <w:sz w:val="28"/>
                <w:szCs w:val="28"/>
              </w:rPr>
              <w:t>电子投标文件：系统上传加密版投标文件一份；带有投标单位电子签章和法人章PDF格式一份；Word格式一份。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16.1</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投标有效期：</w:t>
            </w:r>
            <w:r>
              <w:rPr>
                <w:rFonts w:hint="eastAsia" w:ascii="仿宋" w:hAnsi="仿宋" w:eastAsia="仿宋" w:cs="仿宋"/>
                <w:bCs/>
                <w:color w:val="auto"/>
                <w:sz w:val="28"/>
                <w:szCs w:val="28"/>
              </w:rPr>
              <w:t>投标截止时间后90天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17.1</w:t>
            </w:r>
          </w:p>
        </w:tc>
        <w:tc>
          <w:tcPr>
            <w:tcW w:w="8917" w:type="dxa"/>
            <w:vAlign w:val="center"/>
          </w:tcPr>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1.投标文件的加密和标识</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投标文件的加密：</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加密的投标文件应该按照本章第14.1项要求制作并加密，未按要求加密的投标文件，招标人（“电子交易平台”）将拒绝接收并提示。加密后的投标文件后缀为.DXTF。</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2.投标文件的递交：</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投标人应在第一章“招标公告”规定的投标截止时间前，通过互联网使用数字证书(CA锁)登录“电子交易平台”，将加密的投标文件上传，并保存上传成功后系统自动生成的电子签收凭证，递交时间即为电子签收凭证时间。投标人应充分考虑上传文件时的不可预见因素，未在投标截止时间前完成上传的，视为逾期送达。</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3.投标文件的修改与撤回</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在规定的投标截止时间前，投标人可以修改或者撤回已递交的投标文件。投标人对加密的投标文件进行撤回的，应在“电子交易平台”直接进行撤回操作；投标人对加密的投标文件进行修改的，应在投标文件截止时间前完成上传。</w:t>
            </w:r>
          </w:p>
          <w:p>
            <w:pPr>
              <w:spacing w:line="48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投标人修改投标文件的，应使用“投标文件制作工具”制作成完整的投标文件，网上递交加密的投标文件，以投标截止时间前最后完成上传的文件为准。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18.2</w:t>
            </w:r>
          </w:p>
        </w:tc>
        <w:tc>
          <w:tcPr>
            <w:tcW w:w="891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招标标题：【</w:t>
            </w:r>
            <w:r>
              <w:rPr>
                <w:rFonts w:hint="eastAsia" w:ascii="仿宋" w:hAnsi="仿宋" w:eastAsia="仿宋" w:cs="仿宋"/>
                <w:color w:val="auto"/>
                <w:kern w:val="0"/>
                <w:sz w:val="28"/>
                <w:szCs w:val="28"/>
                <w:u w:val="none"/>
                <w:lang w:val="en-US" w:eastAsia="zh-CN" w:bidi="ar"/>
              </w:rPr>
              <w:t>定西市融媒体中心《定西日报》印刷服务采购项目</w:t>
            </w:r>
            <w:r>
              <w:rPr>
                <w:rFonts w:hint="eastAsia" w:ascii="仿宋" w:hAnsi="仿宋" w:eastAsia="仿宋" w:cs="仿宋"/>
                <w:color w:val="auto"/>
                <w:sz w:val="28"/>
                <w:szCs w:val="28"/>
              </w:rPr>
              <w:t>】</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rPr>
              <w:t>招标编号：</w:t>
            </w:r>
            <w:r>
              <w:rPr>
                <w:rFonts w:hint="eastAsia" w:ascii="仿宋" w:hAnsi="仿宋" w:eastAsia="仿宋" w:cs="仿宋"/>
                <w:color w:val="auto"/>
                <w:kern w:val="0"/>
                <w:sz w:val="28"/>
                <w:szCs w:val="28"/>
                <w:lang w:val="en-US" w:eastAsia="zh-CN" w:bidi="ar"/>
              </w:rPr>
              <w:t>DXZC2023-12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shd w:val="clear" w:color="auto" w:fill="auto"/>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19.1</w:t>
            </w:r>
          </w:p>
        </w:tc>
        <w:tc>
          <w:tcPr>
            <w:tcW w:w="8917" w:type="dxa"/>
            <w:shd w:val="clear" w:color="auto" w:fill="FFFFFF"/>
            <w:vAlign w:val="center"/>
          </w:tcPr>
          <w:p>
            <w:pPr>
              <w:spacing w:line="46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rPr>
              <w:t>投标文件递交（上传）时间：</w:t>
            </w:r>
            <w:r>
              <w:rPr>
                <w:rFonts w:hint="eastAsia" w:ascii="仿宋" w:hAnsi="仿宋" w:eastAsia="仿宋" w:cs="仿宋"/>
                <w:bCs/>
                <w:color w:val="auto"/>
                <w:sz w:val="28"/>
                <w:szCs w:val="28"/>
                <w:highlight w:val="none"/>
                <w:shd w:val="clear" w:color="auto" w:fill="FFFFFF"/>
              </w:rPr>
              <w:t>202</w:t>
            </w:r>
            <w:r>
              <w:rPr>
                <w:rFonts w:hint="eastAsia" w:ascii="仿宋" w:hAnsi="仿宋" w:eastAsia="仿宋" w:cs="仿宋"/>
                <w:bCs/>
                <w:color w:val="auto"/>
                <w:sz w:val="28"/>
                <w:szCs w:val="28"/>
                <w:highlight w:val="none"/>
                <w:shd w:val="clear" w:color="auto" w:fill="FFFFFF"/>
                <w:lang w:val="en-US" w:eastAsia="zh-CN"/>
              </w:rPr>
              <w:t>3</w:t>
            </w:r>
            <w:r>
              <w:rPr>
                <w:rFonts w:hint="eastAsia" w:ascii="仿宋" w:hAnsi="仿宋" w:eastAsia="仿宋" w:cs="仿宋"/>
                <w:bCs/>
                <w:color w:val="auto"/>
                <w:sz w:val="28"/>
                <w:szCs w:val="28"/>
                <w:highlight w:val="none"/>
                <w:shd w:val="clear" w:color="auto" w:fill="FFFFFF"/>
              </w:rPr>
              <w:t>年</w:t>
            </w:r>
            <w:r>
              <w:rPr>
                <w:rFonts w:hint="eastAsia" w:ascii="仿宋" w:hAnsi="仿宋" w:eastAsia="仿宋" w:cs="仿宋"/>
                <w:bCs/>
                <w:color w:val="auto"/>
                <w:sz w:val="28"/>
                <w:szCs w:val="28"/>
                <w:highlight w:val="none"/>
                <w:shd w:val="clear" w:color="auto" w:fill="FFFFFF"/>
                <w:lang w:val="en-US" w:eastAsia="zh-CN"/>
              </w:rPr>
              <w:t xml:space="preserve"> 08 </w:t>
            </w:r>
            <w:r>
              <w:rPr>
                <w:rFonts w:hint="eastAsia" w:ascii="仿宋" w:hAnsi="仿宋" w:eastAsia="仿宋" w:cs="仿宋"/>
                <w:bCs/>
                <w:color w:val="auto"/>
                <w:sz w:val="28"/>
                <w:szCs w:val="28"/>
                <w:highlight w:val="none"/>
                <w:shd w:val="clear" w:color="auto" w:fill="FFFFFF"/>
              </w:rPr>
              <w:t>月</w:t>
            </w:r>
            <w:r>
              <w:rPr>
                <w:rFonts w:hint="eastAsia" w:ascii="仿宋" w:hAnsi="仿宋" w:eastAsia="仿宋" w:cs="仿宋"/>
                <w:bCs/>
                <w:color w:val="auto"/>
                <w:sz w:val="28"/>
                <w:szCs w:val="28"/>
                <w:highlight w:val="none"/>
                <w:shd w:val="clear" w:color="auto" w:fill="FFFFFF"/>
                <w:lang w:val="en-US" w:eastAsia="zh-CN"/>
              </w:rPr>
              <w:t>29</w:t>
            </w:r>
            <w:r>
              <w:rPr>
                <w:rFonts w:hint="eastAsia" w:ascii="仿宋" w:hAnsi="仿宋" w:eastAsia="仿宋" w:cs="仿宋"/>
                <w:bCs/>
                <w:color w:val="auto"/>
                <w:sz w:val="28"/>
                <w:szCs w:val="28"/>
                <w:highlight w:val="none"/>
              </w:rPr>
              <w:t>日</w:t>
            </w:r>
            <w:r>
              <w:rPr>
                <w:rFonts w:hint="eastAsia" w:ascii="仿宋" w:hAnsi="仿宋" w:eastAsia="仿宋" w:cs="仿宋"/>
                <w:bCs/>
                <w:color w:val="auto"/>
                <w:sz w:val="28"/>
                <w:szCs w:val="28"/>
                <w:highlight w:val="none"/>
                <w:lang w:val="en-US" w:eastAsia="zh-CN"/>
              </w:rPr>
              <w:t>11</w:t>
            </w:r>
            <w:r>
              <w:rPr>
                <w:rFonts w:hint="eastAsia" w:ascii="仿宋" w:hAnsi="仿宋" w:eastAsia="仿宋" w:cs="仿宋"/>
                <w:bCs/>
                <w:color w:val="auto"/>
                <w:sz w:val="28"/>
                <w:szCs w:val="28"/>
                <w:highlight w:val="none"/>
              </w:rPr>
              <w:t>时</w:t>
            </w:r>
            <w:r>
              <w:rPr>
                <w:rFonts w:hint="eastAsia" w:ascii="仿宋" w:hAnsi="仿宋" w:eastAsia="仿宋" w:cs="仿宋"/>
                <w:bCs/>
                <w:color w:val="auto"/>
                <w:sz w:val="28"/>
                <w:szCs w:val="28"/>
                <w:highlight w:val="none"/>
                <w:lang w:val="en-US" w:eastAsia="zh-CN"/>
              </w:rPr>
              <w:t>00</w:t>
            </w:r>
            <w:r>
              <w:rPr>
                <w:rFonts w:hint="eastAsia" w:ascii="仿宋" w:hAnsi="仿宋" w:eastAsia="仿宋" w:cs="仿宋"/>
                <w:bCs/>
                <w:color w:val="auto"/>
                <w:sz w:val="28"/>
                <w:szCs w:val="28"/>
                <w:highlight w:val="none"/>
              </w:rPr>
              <w:t>分前（北京时间）</w:t>
            </w:r>
          </w:p>
          <w:p>
            <w:pPr>
              <w:spacing w:line="48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开标地点：</w:t>
            </w:r>
            <w:r>
              <w:rPr>
                <w:rFonts w:hint="eastAsia" w:ascii="仿宋" w:hAnsi="仿宋" w:eastAsia="仿宋" w:cs="仿宋"/>
                <w:bCs/>
                <w:color w:val="auto"/>
                <w:sz w:val="28"/>
                <w:szCs w:val="28"/>
                <w:highlight w:val="none"/>
              </w:rPr>
              <w:t>定西市公共资源交易中心（定西市新城区岷县街建设大厦A2座）第</w:t>
            </w:r>
            <w:r>
              <w:rPr>
                <w:rFonts w:hint="eastAsia" w:ascii="仿宋" w:hAnsi="仿宋" w:eastAsia="仿宋" w:cs="仿宋"/>
                <w:bCs/>
                <w:color w:val="auto"/>
                <w:sz w:val="28"/>
                <w:szCs w:val="28"/>
                <w:highlight w:val="none"/>
                <w:lang w:eastAsia="zh-CN"/>
              </w:rPr>
              <w:t>一</w:t>
            </w:r>
            <w:r>
              <w:rPr>
                <w:rFonts w:hint="eastAsia" w:ascii="仿宋" w:hAnsi="仿宋" w:eastAsia="仿宋" w:cs="仿宋"/>
                <w:bCs/>
                <w:color w:val="auto"/>
                <w:sz w:val="28"/>
                <w:szCs w:val="28"/>
                <w:highlight w:val="none"/>
              </w:rPr>
              <w:t>不见面开标厅。</w:t>
            </w:r>
          </w:p>
          <w:p>
            <w:pPr>
              <w:pStyle w:val="26"/>
              <w:rPr>
                <w:rFonts w:hint="eastAsia" w:ascii="仿宋" w:hAnsi="仿宋" w:eastAsia="仿宋" w:cs="仿宋"/>
                <w:color w:val="auto"/>
                <w:sz w:val="28"/>
                <w:szCs w:val="28"/>
              </w:rPr>
            </w:pPr>
            <w:r>
              <w:rPr>
                <w:rFonts w:hint="eastAsia" w:ascii="仿宋" w:hAnsi="仿宋" w:eastAsia="仿宋" w:cs="仿宋"/>
                <w:b/>
                <w:color w:val="auto"/>
                <w:sz w:val="28"/>
                <w:szCs w:val="28"/>
              </w:rPr>
              <w:t>未按照上述规定时间前（上传）的投标文件不予接收。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2" w:hRule="atLeast"/>
          <w:jc w:val="center"/>
        </w:trPr>
        <w:tc>
          <w:tcPr>
            <w:tcW w:w="883" w:type="dxa"/>
            <w:shd w:val="clear" w:color="auto" w:fill="auto"/>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22.1</w:t>
            </w:r>
          </w:p>
        </w:tc>
        <w:tc>
          <w:tcPr>
            <w:tcW w:w="8917" w:type="dxa"/>
            <w:shd w:val="clear" w:color="auto" w:fill="FFFFFF"/>
            <w:vAlign w:val="center"/>
          </w:tcPr>
          <w:p>
            <w:pPr>
              <w:spacing w:line="480" w:lineRule="exact"/>
              <w:rPr>
                <w:rFonts w:hint="eastAsia" w:ascii="仿宋" w:hAnsi="仿宋" w:eastAsia="仿宋" w:cs="仿宋"/>
                <w:color w:val="auto"/>
                <w:sz w:val="28"/>
                <w:szCs w:val="28"/>
                <w:highlight w:val="none"/>
              </w:rPr>
            </w:pPr>
            <w:r>
              <w:rPr>
                <w:rFonts w:hint="eastAsia" w:ascii="仿宋" w:hAnsi="仿宋" w:eastAsia="仿宋" w:cs="仿宋"/>
                <w:color w:val="auto"/>
                <w:sz w:val="28"/>
                <w:szCs w:val="28"/>
              </w:rPr>
              <w:t>开标时间：</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shd w:val="clear" w:color="auto" w:fill="FFFFFF"/>
              </w:rPr>
              <w:t>202</w:t>
            </w:r>
            <w:r>
              <w:rPr>
                <w:rFonts w:hint="eastAsia" w:ascii="仿宋" w:hAnsi="仿宋" w:eastAsia="仿宋" w:cs="仿宋"/>
                <w:bCs/>
                <w:color w:val="auto"/>
                <w:sz w:val="28"/>
                <w:szCs w:val="28"/>
                <w:highlight w:val="none"/>
                <w:shd w:val="clear" w:color="auto" w:fill="FFFFFF"/>
                <w:lang w:val="en-US" w:eastAsia="zh-CN"/>
              </w:rPr>
              <w:t>3</w:t>
            </w:r>
            <w:r>
              <w:rPr>
                <w:rFonts w:hint="eastAsia" w:ascii="仿宋" w:hAnsi="仿宋" w:eastAsia="仿宋" w:cs="仿宋"/>
                <w:bCs/>
                <w:color w:val="auto"/>
                <w:sz w:val="28"/>
                <w:szCs w:val="28"/>
                <w:highlight w:val="none"/>
                <w:shd w:val="clear" w:color="auto" w:fill="FFFFFF"/>
              </w:rPr>
              <w:t>年</w:t>
            </w:r>
            <w:r>
              <w:rPr>
                <w:rFonts w:hint="eastAsia" w:ascii="仿宋" w:hAnsi="仿宋" w:eastAsia="仿宋" w:cs="仿宋"/>
                <w:bCs/>
                <w:color w:val="auto"/>
                <w:sz w:val="28"/>
                <w:szCs w:val="28"/>
                <w:highlight w:val="none"/>
                <w:shd w:val="clear" w:color="auto" w:fill="FFFFFF"/>
                <w:lang w:val="en-US" w:eastAsia="zh-CN"/>
              </w:rPr>
              <w:t xml:space="preserve"> 08</w:t>
            </w:r>
            <w:r>
              <w:rPr>
                <w:rFonts w:hint="eastAsia" w:ascii="仿宋" w:hAnsi="仿宋" w:eastAsia="仿宋" w:cs="仿宋"/>
                <w:bCs/>
                <w:color w:val="auto"/>
                <w:sz w:val="28"/>
                <w:szCs w:val="28"/>
                <w:highlight w:val="none"/>
                <w:shd w:val="clear" w:color="auto" w:fill="FFFFFF"/>
              </w:rPr>
              <w:t>月</w:t>
            </w:r>
            <w:r>
              <w:rPr>
                <w:rFonts w:hint="eastAsia" w:ascii="仿宋" w:hAnsi="仿宋" w:eastAsia="仿宋" w:cs="仿宋"/>
                <w:bCs/>
                <w:color w:val="auto"/>
                <w:sz w:val="28"/>
                <w:szCs w:val="28"/>
                <w:highlight w:val="none"/>
                <w:shd w:val="clear" w:color="auto" w:fill="FFFFFF"/>
                <w:lang w:val="en-US" w:eastAsia="zh-CN"/>
              </w:rPr>
              <w:t>29</w:t>
            </w:r>
            <w:r>
              <w:rPr>
                <w:rFonts w:hint="eastAsia" w:ascii="仿宋" w:hAnsi="仿宋" w:eastAsia="仿宋" w:cs="仿宋"/>
                <w:bCs/>
                <w:color w:val="auto"/>
                <w:sz w:val="28"/>
                <w:szCs w:val="28"/>
                <w:highlight w:val="none"/>
              </w:rPr>
              <w:t>日</w:t>
            </w:r>
            <w:r>
              <w:rPr>
                <w:rFonts w:hint="eastAsia" w:ascii="仿宋" w:hAnsi="仿宋" w:eastAsia="仿宋" w:cs="仿宋"/>
                <w:bCs/>
                <w:color w:val="auto"/>
                <w:sz w:val="28"/>
                <w:szCs w:val="28"/>
                <w:highlight w:val="none"/>
                <w:lang w:val="en-US" w:eastAsia="zh-CN"/>
              </w:rPr>
              <w:t xml:space="preserve">11 </w:t>
            </w:r>
            <w:r>
              <w:rPr>
                <w:rFonts w:hint="eastAsia" w:ascii="仿宋" w:hAnsi="仿宋" w:eastAsia="仿宋" w:cs="仿宋"/>
                <w:bCs/>
                <w:color w:val="auto"/>
                <w:sz w:val="28"/>
                <w:szCs w:val="28"/>
                <w:highlight w:val="none"/>
              </w:rPr>
              <w:t>时</w:t>
            </w:r>
            <w:r>
              <w:rPr>
                <w:rFonts w:hint="eastAsia" w:ascii="仿宋" w:hAnsi="仿宋" w:eastAsia="仿宋" w:cs="仿宋"/>
                <w:bCs/>
                <w:color w:val="auto"/>
                <w:sz w:val="28"/>
                <w:szCs w:val="28"/>
                <w:highlight w:val="none"/>
                <w:lang w:val="en-US" w:eastAsia="zh-CN"/>
              </w:rPr>
              <w:t>00</w:t>
            </w:r>
            <w:r>
              <w:rPr>
                <w:rFonts w:hint="eastAsia" w:ascii="仿宋" w:hAnsi="仿宋" w:eastAsia="仿宋" w:cs="仿宋"/>
                <w:bCs/>
                <w:color w:val="auto"/>
                <w:sz w:val="28"/>
                <w:szCs w:val="28"/>
                <w:highlight w:val="none"/>
              </w:rPr>
              <w:t>分】</w:t>
            </w:r>
            <w:r>
              <w:rPr>
                <w:rFonts w:hint="eastAsia" w:ascii="仿宋" w:hAnsi="仿宋" w:eastAsia="仿宋" w:cs="仿宋"/>
                <w:color w:val="auto"/>
                <w:sz w:val="28"/>
                <w:szCs w:val="28"/>
                <w:highlight w:val="none"/>
              </w:rPr>
              <w:t>（北京时间）</w:t>
            </w:r>
          </w:p>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highlight w:val="none"/>
              </w:rPr>
              <w:t>开标地点：【</w:t>
            </w:r>
            <w:r>
              <w:rPr>
                <w:rFonts w:hint="eastAsia" w:ascii="仿宋" w:hAnsi="仿宋" w:eastAsia="仿宋" w:cs="仿宋"/>
                <w:bCs/>
                <w:color w:val="auto"/>
                <w:sz w:val="28"/>
                <w:szCs w:val="28"/>
                <w:highlight w:val="none"/>
              </w:rPr>
              <w:t>定西市公共资源交易中心（定西市新城区岷县街建设大厦A2座）第</w:t>
            </w:r>
            <w:r>
              <w:rPr>
                <w:rFonts w:hint="eastAsia" w:ascii="仿宋" w:hAnsi="仿宋" w:eastAsia="仿宋" w:cs="仿宋"/>
                <w:bCs/>
                <w:color w:val="auto"/>
                <w:sz w:val="28"/>
                <w:szCs w:val="28"/>
                <w:highlight w:val="none"/>
                <w:lang w:eastAsia="zh-CN"/>
              </w:rPr>
              <w:t>一</w:t>
            </w:r>
            <w:r>
              <w:rPr>
                <w:rFonts w:hint="eastAsia" w:ascii="仿宋" w:hAnsi="仿宋" w:eastAsia="仿宋" w:cs="仿宋"/>
                <w:bCs/>
                <w:color w:val="auto"/>
                <w:sz w:val="28"/>
                <w:szCs w:val="28"/>
                <w:highlight w:val="none"/>
              </w:rPr>
              <w:t>不见面开标厅</w:t>
            </w:r>
            <w:r>
              <w:rPr>
                <w:rFonts w:hint="eastAsia" w:ascii="仿宋" w:hAnsi="仿宋" w:eastAsia="仿宋" w:cs="仿宋"/>
                <w:color w:val="auto"/>
                <w:sz w:val="28"/>
                <w:szCs w:val="28"/>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shd w:val="clear" w:color="auto" w:fill="auto"/>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30.1</w:t>
            </w:r>
          </w:p>
        </w:tc>
        <w:tc>
          <w:tcPr>
            <w:tcW w:w="8917" w:type="dxa"/>
            <w:shd w:val="clear" w:color="auto" w:fill="FFFFFF"/>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采购人应当自收到评标报告之日起5个工作日内，在评标报告确定的中标候选人名单中按顺序确定中标人，如未能在上述期限内确定中标人，又不能说明理由的，视同按评标报告推荐顺序确定排名第一的中标候选人为中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shd w:val="clear" w:color="auto" w:fill="auto"/>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33.3</w:t>
            </w:r>
          </w:p>
        </w:tc>
        <w:tc>
          <w:tcPr>
            <w:tcW w:w="8917" w:type="dxa"/>
            <w:shd w:val="clear" w:color="auto" w:fill="FFFFFF"/>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是否允许分包：【否】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34.1</w:t>
            </w:r>
          </w:p>
        </w:tc>
        <w:tc>
          <w:tcPr>
            <w:tcW w:w="8917" w:type="dxa"/>
            <w:vAlign w:val="center"/>
          </w:tcPr>
          <w:p>
            <w:pPr>
              <w:spacing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履约保证金金额：【无】</w:t>
            </w:r>
          </w:p>
          <w:p>
            <w:pPr>
              <w:spacing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履约保证金形式：【无】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注意</w:t>
            </w:r>
          </w:p>
        </w:tc>
        <w:tc>
          <w:tcPr>
            <w:tcW w:w="8917" w:type="dxa"/>
            <w:vAlign w:val="center"/>
          </w:tcPr>
          <w:p>
            <w:pPr>
              <w:pStyle w:val="54"/>
              <w:spacing w:line="364" w:lineRule="auto"/>
              <w:ind w:right="91"/>
              <w:jc w:val="both"/>
              <w:rPr>
                <w:rFonts w:hint="eastAsia" w:ascii="仿宋" w:hAnsi="仿宋" w:eastAsia="仿宋" w:cs="仿宋"/>
                <w:b/>
                <w:color w:val="auto"/>
                <w:sz w:val="28"/>
                <w:szCs w:val="28"/>
              </w:rPr>
            </w:pPr>
            <w:r>
              <w:rPr>
                <w:rFonts w:hint="eastAsia" w:ascii="仿宋" w:hAnsi="仿宋" w:eastAsia="仿宋" w:cs="仿宋"/>
                <w:b/>
                <w:color w:val="auto"/>
                <w:sz w:val="28"/>
                <w:szCs w:val="28"/>
              </w:rPr>
              <w:t>电子版投标文件；</w:t>
            </w:r>
          </w:p>
          <w:p>
            <w:pPr>
              <w:pStyle w:val="54"/>
              <w:spacing w:line="364" w:lineRule="auto"/>
              <w:ind w:right="91"/>
              <w:jc w:val="both"/>
              <w:rPr>
                <w:rFonts w:hint="eastAsia" w:ascii="仿宋" w:hAnsi="仿宋" w:eastAsia="仿宋" w:cs="仿宋"/>
                <w:b/>
                <w:color w:val="auto"/>
                <w:kern w:val="2"/>
                <w:sz w:val="28"/>
                <w:szCs w:val="28"/>
                <w:lang w:val="en-US" w:bidi="ar-SA"/>
              </w:rPr>
            </w:pPr>
            <w:r>
              <w:rPr>
                <w:rFonts w:hint="eastAsia" w:ascii="仿宋" w:hAnsi="仿宋" w:eastAsia="仿宋" w:cs="仿宋"/>
                <w:b/>
                <w:color w:val="auto"/>
                <w:sz w:val="28"/>
                <w:szCs w:val="28"/>
              </w:rPr>
              <w:t>1、该项目采用全流程电子招投标，各投标单位在参与投标时相关操作详见定西市公共资源交易网网站首页“下载中心”→“操作手册”→“政府采购电子标操作手</w:t>
            </w:r>
            <w:r>
              <w:rPr>
                <w:rFonts w:hint="eastAsia" w:ascii="仿宋" w:hAnsi="仿宋" w:eastAsia="仿宋" w:cs="仿宋"/>
                <w:b/>
                <w:color w:val="auto"/>
                <w:kern w:val="2"/>
                <w:sz w:val="28"/>
                <w:szCs w:val="28"/>
                <w:lang w:val="en-US" w:bidi="ar-SA"/>
              </w:rPr>
              <w:t>册”。投标单位在投标时请务必携带该项目生成投标文件的数字证书（CA锁）参加投标。</w:t>
            </w:r>
          </w:p>
          <w:p>
            <w:pPr>
              <w:pStyle w:val="54"/>
              <w:spacing w:line="364" w:lineRule="auto"/>
              <w:ind w:right="91"/>
              <w:jc w:val="both"/>
              <w:rPr>
                <w:rFonts w:hint="eastAsia" w:ascii="仿宋" w:hAnsi="仿宋" w:eastAsia="仿宋" w:cs="仿宋"/>
                <w:b/>
                <w:color w:val="auto"/>
                <w:kern w:val="2"/>
                <w:sz w:val="28"/>
                <w:szCs w:val="28"/>
                <w:lang w:val="en-US" w:bidi="ar-SA"/>
              </w:rPr>
            </w:pPr>
            <w:r>
              <w:rPr>
                <w:rFonts w:hint="eastAsia" w:ascii="仿宋" w:hAnsi="仿宋" w:eastAsia="仿宋" w:cs="仿宋"/>
                <w:b/>
                <w:color w:val="auto"/>
                <w:kern w:val="2"/>
                <w:sz w:val="28"/>
                <w:szCs w:val="28"/>
                <w:lang w:val="en-US" w:bidi="ar-SA"/>
              </w:rPr>
              <w:t>2. 用数字证书(CA锁)制作投标文件前，请确保数字证书(CA锁)开标前在有效期内。</w:t>
            </w:r>
          </w:p>
          <w:p>
            <w:pPr>
              <w:pStyle w:val="54"/>
              <w:spacing w:line="364" w:lineRule="auto"/>
              <w:ind w:right="91"/>
              <w:jc w:val="both"/>
              <w:rPr>
                <w:rFonts w:hint="eastAsia" w:ascii="仿宋" w:hAnsi="仿宋" w:eastAsia="仿宋" w:cs="仿宋"/>
                <w:b/>
                <w:color w:val="auto"/>
                <w:kern w:val="2"/>
                <w:sz w:val="28"/>
                <w:szCs w:val="28"/>
                <w:lang w:val="en-US" w:bidi="ar-SA"/>
              </w:rPr>
            </w:pPr>
            <w:r>
              <w:rPr>
                <w:rFonts w:hint="eastAsia" w:ascii="仿宋" w:hAnsi="仿宋" w:eastAsia="仿宋" w:cs="仿宋"/>
                <w:b/>
                <w:color w:val="auto"/>
                <w:kern w:val="2"/>
                <w:sz w:val="28"/>
                <w:szCs w:val="28"/>
                <w:lang w:val="en-US" w:bidi="ar-SA"/>
              </w:rPr>
              <w:t>3、投标文件制作完成后登录定西市公共资源交易平台上传加密后的投标文件（后缀为DXTF），投标文件上传完成后方可参加投标。</w:t>
            </w:r>
          </w:p>
          <w:p>
            <w:pPr>
              <w:pStyle w:val="54"/>
              <w:spacing w:line="364" w:lineRule="auto"/>
              <w:ind w:right="91"/>
              <w:jc w:val="both"/>
              <w:rPr>
                <w:rFonts w:hint="eastAsia" w:ascii="仿宋" w:hAnsi="仿宋" w:eastAsia="仿宋" w:cs="仿宋"/>
                <w:b/>
                <w:color w:val="auto"/>
                <w:kern w:val="2"/>
                <w:sz w:val="28"/>
                <w:szCs w:val="28"/>
                <w:lang w:val="en-US" w:bidi="ar-SA"/>
              </w:rPr>
            </w:pPr>
            <w:r>
              <w:rPr>
                <w:rFonts w:hint="eastAsia" w:ascii="仿宋" w:hAnsi="仿宋" w:eastAsia="仿宋" w:cs="仿宋"/>
                <w:b/>
                <w:color w:val="auto"/>
                <w:kern w:val="2"/>
                <w:sz w:val="28"/>
                <w:szCs w:val="28"/>
                <w:lang w:val="en-US" w:bidi="ar-SA"/>
              </w:rPr>
              <w:t>4、非加密版投标文件（后缀为NDXTF）投标人自行保存。</w:t>
            </w:r>
          </w:p>
          <w:p>
            <w:pPr>
              <w:pStyle w:val="54"/>
              <w:spacing w:line="364" w:lineRule="auto"/>
              <w:ind w:right="91"/>
              <w:jc w:val="both"/>
              <w:rPr>
                <w:rFonts w:hint="eastAsia" w:ascii="仿宋" w:hAnsi="仿宋" w:eastAsia="仿宋" w:cs="仿宋"/>
                <w:b/>
                <w:color w:val="auto"/>
                <w:kern w:val="2"/>
                <w:sz w:val="28"/>
                <w:szCs w:val="28"/>
                <w:lang w:val="en-US" w:bidi="ar-SA"/>
              </w:rPr>
            </w:pPr>
            <w:r>
              <w:rPr>
                <w:rFonts w:hint="eastAsia" w:ascii="仿宋" w:hAnsi="仿宋" w:eastAsia="仿宋" w:cs="仿宋"/>
                <w:b/>
                <w:color w:val="auto"/>
                <w:kern w:val="2"/>
                <w:sz w:val="28"/>
                <w:szCs w:val="28"/>
                <w:lang w:val="en-US" w:bidi="ar-SA"/>
              </w:rPr>
              <w:t>5. 投标单位在投标时请务必携带该项目生成投标文件的数字证书（CA锁）参加投标，如有项目委托人时务必携带委托人个人数字证书（CA锁）参加投标。</w:t>
            </w:r>
          </w:p>
          <w:p>
            <w:pPr>
              <w:spacing w:line="480" w:lineRule="exact"/>
              <w:rPr>
                <w:rFonts w:hint="eastAsia" w:ascii="仿宋" w:hAnsi="仿宋" w:eastAsia="仿宋" w:cs="仿宋"/>
                <w:color w:val="auto"/>
                <w:sz w:val="28"/>
                <w:szCs w:val="28"/>
              </w:rPr>
            </w:pPr>
            <w:r>
              <w:rPr>
                <w:rFonts w:hint="eastAsia" w:ascii="仿宋" w:hAnsi="仿宋" w:eastAsia="仿宋" w:cs="仿宋"/>
                <w:b/>
                <w:color w:val="auto"/>
                <w:sz w:val="28"/>
                <w:szCs w:val="28"/>
              </w:rPr>
              <w:t xml:space="preserve">注：因投标人数字证书（CA锁）问题，在开标时造成投标文件无法解密的，投标人自行承担由此导致的全部责任。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883" w:type="dxa"/>
            <w:vAlign w:val="center"/>
          </w:tcPr>
          <w:p>
            <w:pPr>
              <w:spacing w:line="480" w:lineRule="exact"/>
              <w:jc w:val="center"/>
              <w:rPr>
                <w:rFonts w:hint="eastAsia" w:ascii="仿宋" w:hAnsi="仿宋" w:eastAsia="仿宋" w:cs="仿宋"/>
                <w:b/>
                <w:bCs/>
                <w:color w:val="auto"/>
                <w:sz w:val="28"/>
                <w:szCs w:val="28"/>
              </w:rPr>
            </w:pPr>
            <w:r>
              <w:rPr>
                <w:rFonts w:hint="eastAsia" w:ascii="仿宋" w:hAnsi="仿宋" w:eastAsia="仿宋" w:cs="仿宋"/>
                <w:color w:val="auto"/>
                <w:sz w:val="28"/>
                <w:szCs w:val="28"/>
              </w:rPr>
              <w:t>不见面开标方式</w:t>
            </w:r>
          </w:p>
        </w:tc>
        <w:tc>
          <w:tcPr>
            <w:tcW w:w="8917" w:type="dxa"/>
            <w:vAlign w:val="center"/>
          </w:tcPr>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本项目采用不见面开标方式开标</w:t>
            </w:r>
          </w:p>
          <w:p>
            <w:pPr>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1.业务要求</w:t>
            </w:r>
          </w:p>
          <w:p>
            <w:pPr>
              <w:pStyle w:val="27"/>
              <w:autoSpaceDE w:val="0"/>
              <w:spacing w:before="0" w:beforeAutospacing="0" w:after="0" w:afterAutospacing="0" w:line="560" w:lineRule="exact"/>
              <w:ind w:firstLine="645"/>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1.1招标文件和投标文件必须使用招标文件规定的专用工具软件编制，并通过对应的开标系统完成投标过程。依照招标文件的规定完成电子投标文件的编制和提交，如未按招标文件要求编制、提交电子投标文件，将导致否决投标，其后果由投标人自负。</w:t>
            </w:r>
          </w:p>
          <w:p>
            <w:pPr>
              <w:pStyle w:val="27"/>
              <w:autoSpaceDE w:val="0"/>
              <w:spacing w:before="0" w:beforeAutospacing="0" w:after="0" w:afterAutospacing="0" w:line="560" w:lineRule="exact"/>
              <w:ind w:firstLine="645"/>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1.2投标人应充分考虑到网络及系统平台可能存在的突发状况，在投标文件编制完成后尽早完成上传。</w:t>
            </w:r>
          </w:p>
          <w:p>
            <w:pPr>
              <w:pStyle w:val="27"/>
              <w:autoSpaceDE w:val="0"/>
              <w:spacing w:before="0" w:beforeAutospacing="0" w:after="0" w:afterAutospacing="0" w:line="560" w:lineRule="exact"/>
              <w:ind w:firstLine="645"/>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1.3投标文件提交截止时间前半小时，招标人或招标代理提前进入定西市公共资源交易中心不见面开标大厅选择项目对应的开标软件，播放测试音频，各投标人提前进入系统签到，实时观看音视频交互效果并及时在系统互动区反馈。  </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1.4开标当日，投标人不必抵达开标现场，仅需在任意地点登录定西市公共资源交易中心不见面开标大厅参加开标会议，并根据需要使用开标系统与现场招标人进行互动交流、澄清、质疑等活动。未按时加入系统对投标文件解密的视为放弃投标。</w:t>
            </w:r>
          </w:p>
          <w:p>
            <w:pPr>
              <w:pStyle w:val="27"/>
              <w:autoSpaceDE w:val="0"/>
              <w:spacing w:before="0" w:beforeAutospacing="0" w:after="0" w:afterAutospacing="0" w:line="560" w:lineRule="exact"/>
              <w:ind w:firstLine="645"/>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1.5投标人必须使用能正确解密投标文件的CA证书在规定的时间内完成远程解密，因投标人原因未能解密、解密失败或解密超时，视为投标人撤销其投标文件，系统内投标文件将被退回；因招标人或系统原因，导致无法按时完成投标文件解密或开标、评标工作无法进行的，可根据实际情况相应延迟解密时间或调整开标时间。</w:t>
            </w:r>
          </w:p>
          <w:p>
            <w:pPr>
              <w:pStyle w:val="27"/>
              <w:autoSpaceDE w:val="0"/>
              <w:spacing w:before="0" w:beforeAutospacing="0" w:after="0" w:afterAutospacing="0" w:line="560" w:lineRule="exact"/>
              <w:ind w:firstLine="645"/>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1.6开标、评标过程中，参与远程交互的各投标人应始终为同一个人，中途不得更换，在否决投标、澄清、质疑等特殊情况下需要交互时，投标人一端参与交互的人员只能是投标人的法定代表人或授权委托人（答辩等类似环节需要其他人员参与的除外），投标人不得以不承认交互人员的资格或身份等为借口推脱，投标人自行承担随意更换人员所导致的一切后果。在开标过程中，各投标人若无异议，视为默认开标全过程所有结果，不再进行签字确认。 </w:t>
            </w:r>
          </w:p>
          <w:p>
            <w:pPr>
              <w:pStyle w:val="27"/>
              <w:autoSpaceDE w:val="0"/>
              <w:spacing w:before="0" w:beforeAutospacing="0" w:after="0" w:afterAutospacing="0" w:line="560" w:lineRule="exact"/>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2.投标人主体信息要求</w:t>
            </w:r>
          </w:p>
          <w:p>
            <w:pPr>
              <w:pStyle w:val="27"/>
              <w:autoSpaceDE w:val="0"/>
              <w:spacing w:before="0" w:beforeAutospacing="0" w:after="0" w:afterAutospacing="0" w:line="560" w:lineRule="exact"/>
              <w:ind w:firstLine="315"/>
              <w:rPr>
                <w:rFonts w:hint="eastAsia" w:ascii="仿宋" w:hAnsi="仿宋" w:eastAsia="仿宋" w:cs="仿宋"/>
                <w:color w:val="auto"/>
                <w:sz w:val="28"/>
                <w:szCs w:val="28"/>
              </w:rPr>
            </w:pPr>
            <w:r>
              <w:rPr>
                <w:rFonts w:hint="eastAsia" w:ascii="仿宋" w:hAnsi="仿宋" w:eastAsia="仿宋" w:cs="仿宋"/>
                <w:color w:val="auto"/>
                <w:sz w:val="28"/>
                <w:szCs w:val="28"/>
              </w:rPr>
              <w:t> 采用不见面开标后，投标人相关信息以甘肃省公共资源交易主体共享平台信息库为依据，各投标人信息更新须在投标文件提交截止时间前完成并保证真实有效，各投标人信息公开接受社会监督。因投标人自身原因出现信息更新不及时、不准确等问题，由各投标人自行承担一切后果。</w:t>
            </w:r>
          </w:p>
          <w:p>
            <w:pPr>
              <w:pStyle w:val="27"/>
              <w:autoSpaceDE w:val="0"/>
              <w:spacing w:before="0" w:beforeAutospacing="0" w:after="0" w:afterAutospacing="0"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3.系统操作注意事项</w:t>
            </w:r>
          </w:p>
          <w:p>
            <w:pPr>
              <w:pStyle w:val="27"/>
              <w:autoSpaceDE w:val="0"/>
              <w:spacing w:before="0" w:beforeAutospacing="0" w:after="0" w:afterAutospacing="0" w:line="560" w:lineRule="exact"/>
              <w:ind w:left="600"/>
              <w:rPr>
                <w:rFonts w:hint="eastAsia" w:ascii="仿宋" w:hAnsi="仿宋" w:eastAsia="仿宋" w:cs="仿宋"/>
                <w:color w:val="auto"/>
                <w:sz w:val="28"/>
                <w:szCs w:val="28"/>
              </w:rPr>
            </w:pPr>
            <w:r>
              <w:rPr>
                <w:rFonts w:hint="eastAsia" w:ascii="仿宋" w:hAnsi="仿宋" w:eastAsia="仿宋" w:cs="仿宋"/>
                <w:color w:val="auto"/>
                <w:sz w:val="28"/>
                <w:szCs w:val="28"/>
              </w:rPr>
              <w:t>3.1软硬件及网络要求</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3.1.1参与不见面开标电脑须安装音响和麦克风设备。</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3.1.2不见面开标系统因接入开标室视频直播等功能，支持使用IE浏览器，请确保IE浏览器版本在11及以上,具体版本可在IE浏览器工具菜单下的“关于internet explorer”子菜单中查看。</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3.1.3为更好实时查看不见面开标室现场，推荐使用10M及以上网络宽带。</w:t>
            </w:r>
          </w:p>
          <w:p>
            <w:pPr>
              <w:pStyle w:val="27"/>
              <w:autoSpaceDE w:val="0"/>
              <w:spacing w:before="0" w:beforeAutospacing="0" w:after="0" w:afterAutospacing="0" w:line="560" w:lineRule="exact"/>
              <w:ind w:firstLine="480"/>
              <w:rPr>
                <w:rFonts w:hint="eastAsia" w:ascii="仿宋" w:hAnsi="仿宋" w:eastAsia="仿宋" w:cs="仿宋"/>
                <w:color w:val="auto"/>
                <w:sz w:val="28"/>
                <w:szCs w:val="28"/>
              </w:rPr>
            </w:pPr>
            <w:r>
              <w:rPr>
                <w:rFonts w:hint="eastAsia" w:ascii="仿宋" w:hAnsi="仿宋" w:eastAsia="仿宋" w:cs="仿宋"/>
                <w:color w:val="auto"/>
                <w:sz w:val="28"/>
                <w:szCs w:val="28"/>
              </w:rPr>
              <w:t>3.2开标过程注意事项</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3.2.1开标当天，投标人务必于开标前提前登录系统，进入所投标项目，在项目签到界面进行线上签到。</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3.2.2 开标过程中请重点关注不见面开标系统互动区消息，及时查阅，并根据消息提醒及时进行投标文件在线解密等操作。</w:t>
            </w:r>
          </w:p>
          <w:p>
            <w:pPr>
              <w:pStyle w:val="27"/>
              <w:autoSpaceDE w:val="0"/>
              <w:spacing w:before="0" w:beforeAutospacing="0" w:after="0" w:afterAutospacing="0" w:line="560" w:lineRule="exact"/>
              <w:ind w:firstLine="645"/>
              <w:rPr>
                <w:rFonts w:hint="eastAsia" w:ascii="仿宋" w:hAnsi="仿宋" w:eastAsia="仿宋" w:cs="仿宋"/>
                <w:color w:val="auto"/>
                <w:sz w:val="28"/>
                <w:szCs w:val="28"/>
              </w:rPr>
            </w:pPr>
            <w:r>
              <w:rPr>
                <w:rFonts w:hint="eastAsia" w:ascii="仿宋" w:hAnsi="仿宋" w:eastAsia="仿宋" w:cs="仿宋"/>
                <w:color w:val="auto"/>
                <w:sz w:val="28"/>
                <w:szCs w:val="28"/>
              </w:rPr>
              <w:t>3.2.3 项目进入投标文件在线解密阶段后，须在招标文件规定解密时间内使用相应的投标文件CA证书进行在线解密，否则将无法解密。</w:t>
            </w:r>
          </w:p>
          <w:p>
            <w:pPr>
              <w:spacing w:line="480" w:lineRule="exact"/>
              <w:ind w:firstLine="840" w:firstLineChars="300"/>
              <w:rPr>
                <w:rFonts w:hint="eastAsia" w:ascii="仿宋" w:hAnsi="仿宋" w:eastAsia="仿宋" w:cs="仿宋"/>
                <w:b/>
                <w:color w:val="auto"/>
                <w:sz w:val="28"/>
                <w:szCs w:val="28"/>
              </w:rPr>
            </w:pPr>
            <w:r>
              <w:rPr>
                <w:rFonts w:hint="eastAsia" w:ascii="仿宋" w:hAnsi="仿宋" w:eastAsia="仿宋" w:cs="仿宋"/>
                <w:color w:val="auto"/>
                <w:sz w:val="28"/>
                <w:szCs w:val="28"/>
              </w:rPr>
              <w:t>3.2.4为更直观了解、掌握本系统使用方法，建议在具体项目开标前先行浏览本系统相关操作手册，相关操作手册可在中心网站“下载中心”栏目下载、查看。</w:t>
            </w:r>
          </w:p>
        </w:tc>
      </w:tr>
    </w:tbl>
    <w:p>
      <w:pPr>
        <w:jc w:val="center"/>
        <w:rPr>
          <w:rFonts w:ascii="宋体" w:hAnsi="宋体" w:cs="宋体"/>
          <w:color w:val="auto"/>
          <w:sz w:val="48"/>
          <w:szCs w:val="56"/>
        </w:rPr>
        <w:sectPr>
          <w:headerReference r:id="rId10" w:type="default"/>
          <w:pgSz w:w="11906" w:h="16838"/>
          <w:pgMar w:top="1440" w:right="1800" w:bottom="1440" w:left="1800" w:header="709" w:footer="709" w:gutter="0"/>
          <w:pgNumType w:fmt="decimal" w:start="1"/>
          <w:cols w:space="720" w:num="1"/>
          <w:docGrid w:type="lines" w:linePitch="361" w:charSpace="0"/>
        </w:sectPr>
      </w:pPr>
      <w:bookmarkStart w:id="343" w:name="_Toc22852"/>
      <w:bookmarkStart w:id="344" w:name="_Toc6622"/>
      <w:bookmarkStart w:id="345" w:name="_Toc139343570"/>
    </w:p>
    <w:p>
      <w:pPr>
        <w:jc w:val="center"/>
        <w:rPr>
          <w:rFonts w:ascii="宋体" w:hAnsi="宋体" w:cs="宋体"/>
          <w:color w:val="auto"/>
          <w:sz w:val="32"/>
          <w:szCs w:val="32"/>
        </w:rPr>
      </w:pPr>
    </w:p>
    <w:p>
      <w:pPr>
        <w:spacing w:line="600" w:lineRule="exact"/>
        <w:ind w:left="13493" w:hanging="13493" w:hangingChars="2800"/>
        <w:jc w:val="center"/>
        <w:outlineLvl w:val="0"/>
        <w:rPr>
          <w:rFonts w:ascii="宋体" w:hAnsi="宋体" w:cs="宋体"/>
          <w:b/>
          <w:color w:val="auto"/>
          <w:sz w:val="48"/>
          <w:szCs w:val="48"/>
        </w:rPr>
      </w:pPr>
    </w:p>
    <w:bookmarkEnd w:id="343"/>
    <w:bookmarkEnd w:id="344"/>
    <w:p>
      <w:pPr>
        <w:spacing w:line="600" w:lineRule="exact"/>
        <w:outlineLvl w:val="0"/>
        <w:rPr>
          <w:rFonts w:ascii="宋体" w:hAnsi="宋体" w:cs="宋体"/>
          <w:color w:val="auto"/>
        </w:rPr>
      </w:pPr>
    </w:p>
    <w:p>
      <w:pPr>
        <w:spacing w:line="600" w:lineRule="exact"/>
        <w:outlineLvl w:val="0"/>
        <w:rPr>
          <w:rFonts w:ascii="宋体" w:hAnsi="宋体" w:cs="宋体"/>
          <w:b/>
          <w:color w:val="auto"/>
          <w:sz w:val="48"/>
          <w:szCs w:val="48"/>
        </w:rPr>
      </w:pPr>
    </w:p>
    <w:p>
      <w:pPr>
        <w:rPr>
          <w:color w:val="auto"/>
        </w:rPr>
      </w:pPr>
    </w:p>
    <w:p>
      <w:pPr>
        <w:pStyle w:val="8"/>
        <w:rPr>
          <w:color w:val="auto"/>
        </w:rPr>
      </w:pPr>
    </w:p>
    <w:p>
      <w:pPr>
        <w:rPr>
          <w:color w:val="auto"/>
        </w:rPr>
      </w:pPr>
    </w:p>
    <w:p>
      <w:pPr>
        <w:pStyle w:val="26"/>
        <w:rPr>
          <w:color w:val="auto"/>
        </w:rPr>
      </w:pPr>
    </w:p>
    <w:p>
      <w:pPr>
        <w:pStyle w:val="26"/>
        <w:rPr>
          <w:color w:val="auto"/>
        </w:rPr>
      </w:pPr>
    </w:p>
    <w:p>
      <w:pPr>
        <w:pStyle w:val="8"/>
        <w:rPr>
          <w:color w:val="auto"/>
        </w:rPr>
      </w:pPr>
    </w:p>
    <w:p>
      <w:pPr>
        <w:pStyle w:val="8"/>
        <w:ind w:left="0" w:leftChars="0"/>
        <w:rPr>
          <w:color w:val="auto"/>
        </w:rPr>
      </w:pPr>
    </w:p>
    <w:p>
      <w:pPr>
        <w:rPr>
          <w:color w:val="auto"/>
        </w:rPr>
      </w:pPr>
    </w:p>
    <w:p>
      <w:pPr>
        <w:pStyle w:val="8"/>
        <w:rPr>
          <w:color w:val="auto"/>
        </w:rPr>
      </w:pPr>
    </w:p>
    <w:p>
      <w:pPr>
        <w:spacing w:line="600" w:lineRule="exact"/>
        <w:outlineLvl w:val="0"/>
        <w:rPr>
          <w:rFonts w:ascii="宋体" w:hAnsi="宋体" w:cs="宋体"/>
          <w:b/>
          <w:color w:val="auto"/>
          <w:sz w:val="48"/>
          <w:szCs w:val="48"/>
        </w:rPr>
      </w:pPr>
    </w:p>
    <w:p>
      <w:pPr>
        <w:pStyle w:val="8"/>
        <w:rPr>
          <w:color w:val="auto"/>
        </w:rPr>
      </w:pPr>
    </w:p>
    <w:p>
      <w:pPr>
        <w:spacing w:line="600" w:lineRule="exact"/>
        <w:jc w:val="center"/>
        <w:outlineLvl w:val="0"/>
        <w:rPr>
          <w:rFonts w:hint="eastAsia" w:ascii="宋体" w:hAnsi="宋体" w:cs="宋体"/>
          <w:b/>
          <w:color w:val="auto"/>
          <w:sz w:val="48"/>
          <w:szCs w:val="48"/>
        </w:rPr>
        <w:sectPr>
          <w:pgSz w:w="11906" w:h="16838"/>
          <w:pgMar w:top="1440" w:right="1800" w:bottom="1440" w:left="1800" w:header="709" w:footer="709" w:gutter="0"/>
          <w:pgNumType w:fmt="decimal"/>
          <w:cols w:space="720" w:num="1"/>
          <w:docGrid w:type="lines" w:linePitch="361" w:charSpace="0"/>
        </w:sectPr>
      </w:pPr>
      <w:bookmarkStart w:id="346" w:name="_Toc5385"/>
      <w:bookmarkStart w:id="347" w:name="_Toc15866"/>
      <w:r>
        <w:rPr>
          <w:rFonts w:hint="eastAsia" w:ascii="宋体" w:hAnsi="宋体" w:cs="宋体"/>
          <w:b/>
          <w:color w:val="auto"/>
          <w:sz w:val="48"/>
          <w:szCs w:val="48"/>
        </w:rPr>
        <w:t>第三章  技术</w:t>
      </w:r>
      <w:bookmarkEnd w:id="346"/>
      <w:r>
        <w:rPr>
          <w:rFonts w:hint="eastAsia" w:ascii="宋体" w:hAnsi="宋体" w:cs="宋体"/>
          <w:b/>
          <w:color w:val="auto"/>
          <w:sz w:val="48"/>
          <w:szCs w:val="48"/>
        </w:rPr>
        <w:t>要求</w:t>
      </w:r>
      <w:bookmarkEnd w:id="345"/>
      <w:bookmarkEnd w:id="347"/>
      <w:bookmarkStart w:id="348" w:name="_Toc24821"/>
      <w:bookmarkStart w:id="349" w:name="_Toc7400"/>
      <w:bookmarkStart w:id="350" w:name="_Toc91477301"/>
      <w:bookmarkStart w:id="351" w:name="_Toc89586927"/>
      <w:bookmarkStart w:id="352" w:name="_Toc89058566"/>
      <w:bookmarkStart w:id="353" w:name="_Toc139343590"/>
    </w:p>
    <w:p>
      <w:pPr>
        <w:pStyle w:val="71"/>
        <w:spacing w:beforeLines="0" w:afterLines="0"/>
        <w:ind w:firstLine="0"/>
        <w:jc w:val="center"/>
        <w:rPr>
          <w:rFonts w:hint="eastAsia" w:ascii="仿宋" w:hAnsi="仿宋" w:eastAsia="仿宋" w:cs="仿宋"/>
          <w:b/>
          <w:bCs/>
          <w:color w:val="auto"/>
          <w:sz w:val="36"/>
          <w:szCs w:val="36"/>
          <w:lang w:eastAsia="zh-CN" w:bidi="en-US"/>
        </w:rPr>
      </w:pPr>
      <w:r>
        <w:rPr>
          <w:rFonts w:hint="eastAsia" w:ascii="仿宋" w:hAnsi="仿宋" w:eastAsia="仿宋" w:cs="仿宋"/>
          <w:b/>
          <w:bCs/>
          <w:color w:val="auto"/>
          <w:sz w:val="36"/>
          <w:szCs w:val="36"/>
          <w:lang w:eastAsia="zh-CN" w:bidi="en-US"/>
        </w:rPr>
        <w:t>定西市融媒体中心《定西日报》印刷服务采购项目</w:t>
      </w:r>
    </w:p>
    <w:p>
      <w:pPr>
        <w:pStyle w:val="71"/>
        <w:spacing w:beforeLines="0" w:afterLines="0"/>
        <w:ind w:firstLine="0"/>
        <w:jc w:val="center"/>
        <w:rPr>
          <w:rFonts w:hint="eastAsia" w:ascii="仿宋" w:hAnsi="仿宋" w:eastAsia="仿宋" w:cs="仿宋"/>
          <w:b/>
          <w:bCs/>
          <w:color w:val="auto"/>
          <w:sz w:val="36"/>
          <w:szCs w:val="36"/>
          <w:lang w:eastAsia="zh-CN" w:bidi="en-US"/>
        </w:rPr>
      </w:pPr>
      <w:r>
        <w:rPr>
          <w:rFonts w:hint="eastAsia" w:ascii="仿宋" w:hAnsi="仿宋" w:eastAsia="仿宋" w:cs="仿宋"/>
          <w:b/>
          <w:bCs/>
          <w:color w:val="auto"/>
          <w:sz w:val="36"/>
          <w:szCs w:val="36"/>
          <w:lang w:eastAsia="zh-CN" w:bidi="en-US"/>
        </w:rPr>
        <w:t>技术要求</w:t>
      </w:r>
    </w:p>
    <w:p>
      <w:pPr>
        <w:keepNext w:val="0"/>
        <w:keepLines w:val="0"/>
        <w:pageBreakBefore w:val="0"/>
        <w:widowControl w:val="0"/>
        <w:kinsoku/>
        <w:wordWrap/>
        <w:overflowPunct/>
        <w:topLinePunct w:val="0"/>
        <w:autoSpaceDE/>
        <w:autoSpaceDN/>
        <w:bidi w:val="0"/>
        <w:spacing w:line="500" w:lineRule="exact"/>
        <w:ind w:firstLine="360" w:firstLineChars="150"/>
        <w:textAlignment w:val="auto"/>
        <w:outlineLvl w:val="9"/>
        <w:rPr>
          <w:rFonts w:hint="eastAsia" w:ascii="仿宋" w:hAnsi="仿宋" w:eastAsia="仿宋" w:cs="仿宋"/>
          <w:bCs/>
          <w:color w:val="auto"/>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843" w:firstLineChars="3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一、规格和材料</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1.开本版数：对开四版。</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2.印数：每天34000份左右(具体以年度征订数为准)。</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3.色彩数据：一个对开张单面彩。</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4.出版周期：每周一至周日。</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5.纸张规格要求：781毫米幅宽、48克国产新闻纸。</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6.印刷方式：一个作业、一次印刷。</w:t>
      </w:r>
    </w:p>
    <w:p>
      <w:pPr>
        <w:keepNext w:val="0"/>
        <w:keepLines w:val="0"/>
        <w:pageBreakBefore w:val="0"/>
        <w:widowControl w:val="0"/>
        <w:kinsoku/>
        <w:wordWrap/>
        <w:overflowPunct/>
        <w:topLinePunct w:val="0"/>
        <w:autoSpaceDE/>
        <w:autoSpaceDN/>
        <w:bidi w:val="0"/>
        <w:adjustRightInd/>
        <w:snapToGrid/>
        <w:spacing w:line="520" w:lineRule="exact"/>
        <w:ind w:firstLine="843" w:firstLineChars="3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二、印刷工价</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1.单面彩报每对开张为：0.20元</w:t>
      </w:r>
      <w:r>
        <w:rPr>
          <w:rFonts w:hint="eastAsia" w:ascii="仿宋" w:hAnsi="仿宋" w:eastAsia="仿宋" w:cs="仿宋"/>
          <w:b w:val="0"/>
          <w:bCs w:val="0"/>
          <w:color w:val="auto"/>
          <w:sz w:val="28"/>
          <w:szCs w:val="28"/>
          <w:u w:val="none"/>
          <w:lang w:val="en-US" w:eastAsia="zh-CN"/>
        </w:rPr>
        <w:t>(不高于）</w:t>
      </w:r>
      <w:r>
        <w:rPr>
          <w:rFonts w:hint="eastAsia" w:ascii="仿宋" w:hAnsi="仿宋" w:eastAsia="仿宋" w:cs="仿宋"/>
          <w:b w:val="0"/>
          <w:bCs w:val="0"/>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2.黑白（套红）报：每对开张为：0.16元（不高于）。</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3.双面彩报每对开张为：0.24元（不高于）。</w:t>
      </w:r>
    </w:p>
    <w:p>
      <w:pPr>
        <w:keepNext w:val="0"/>
        <w:keepLines w:val="0"/>
        <w:pageBreakBefore w:val="0"/>
        <w:widowControl w:val="0"/>
        <w:kinsoku/>
        <w:wordWrap/>
        <w:overflowPunct/>
        <w:topLinePunct w:val="0"/>
        <w:autoSpaceDE/>
        <w:autoSpaceDN/>
        <w:bidi w:val="0"/>
        <w:adjustRightInd/>
        <w:snapToGrid/>
        <w:spacing w:line="520" w:lineRule="exact"/>
        <w:ind w:firstLine="843" w:firstLineChars="300"/>
        <w:textAlignment w:val="auto"/>
        <w:rPr>
          <w:rFonts w:hint="eastAsia" w:ascii="仿宋" w:hAnsi="仿宋" w:eastAsia="仿宋" w:cs="仿宋"/>
          <w:b/>
          <w:bCs/>
          <w:color w:val="auto"/>
          <w:sz w:val="28"/>
          <w:szCs w:val="28"/>
          <w:u w:val="none"/>
          <w:lang w:val="en-US" w:eastAsia="zh-CN"/>
        </w:rPr>
      </w:pPr>
      <w:r>
        <w:rPr>
          <w:rFonts w:hint="eastAsia" w:ascii="仿宋" w:hAnsi="仿宋" w:eastAsia="仿宋" w:cs="仿宋"/>
          <w:b/>
          <w:bCs/>
          <w:color w:val="auto"/>
          <w:sz w:val="28"/>
          <w:szCs w:val="28"/>
          <w:u w:val="none"/>
          <w:lang w:eastAsia="zh-CN"/>
        </w:rPr>
        <w:t>三、</w:t>
      </w:r>
      <w:r>
        <w:rPr>
          <w:rFonts w:hint="eastAsia" w:ascii="仿宋" w:hAnsi="仿宋" w:eastAsia="仿宋" w:cs="仿宋"/>
          <w:b/>
          <w:bCs/>
          <w:color w:val="auto"/>
          <w:sz w:val="28"/>
          <w:szCs w:val="28"/>
          <w:u w:val="none"/>
          <w:lang w:val="en-US" w:eastAsia="zh-CN"/>
        </w:rPr>
        <w:t>印刷服务期限</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lang w:eastAsia="zh-CN"/>
        </w:rPr>
        <w:t>年，自采购合同签订后按期生效。</w:t>
      </w:r>
    </w:p>
    <w:p>
      <w:pPr>
        <w:keepNext w:val="0"/>
        <w:keepLines w:val="0"/>
        <w:pageBreakBefore w:val="0"/>
        <w:widowControl w:val="0"/>
        <w:kinsoku/>
        <w:wordWrap/>
        <w:overflowPunct/>
        <w:topLinePunct w:val="0"/>
        <w:autoSpaceDE/>
        <w:autoSpaceDN/>
        <w:bidi w:val="0"/>
        <w:adjustRightInd/>
        <w:snapToGrid/>
        <w:spacing w:line="520" w:lineRule="exact"/>
        <w:ind w:firstLine="843" w:firstLineChars="3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四、印刷品交付时间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正常情况下，采购人在每天02:00前传版，投标方应按甘肃报刊发行局要求，每期出版日06:30前将邮发报纸送达。</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五、印刷品交付地点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采购人指定地点。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六、印刷产品技术、服务要求及质量标准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标准参照GB/T17934.3-2003及中国报协印刷工作委员会《全国报纸印刷质量管理暂行办法》、《报纸印刷质量检测要求及检测办法》执行，具体要求如下：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1.</w:t>
      </w:r>
      <w:r>
        <w:rPr>
          <w:rFonts w:hint="eastAsia" w:ascii="仿宋" w:hAnsi="仿宋" w:eastAsia="仿宋" w:cs="仿宋"/>
          <w:b w:val="0"/>
          <w:bCs w:val="0"/>
          <w:color w:val="auto"/>
          <w:sz w:val="28"/>
          <w:szCs w:val="28"/>
          <w:u w:val="none"/>
          <w:lang w:eastAsia="zh-CN"/>
        </w:rPr>
        <w:t>中标人必须保证质量、保份数、保用纸、保邮发时间进行印刷，从制度和措施上保证不拖期，并做到质量不合格的报纸不出厂。如因废报出厂造成邮局追责，由乙方承担责任。中标人还应具有稳定新闻纸购买渠道，如遇紧急情况可能需中标人提供纸张，费用双方协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lang w:eastAsia="zh-CN"/>
        </w:rPr>
        <w:t>印刷质量必须符合国家现行规定的报纸印刷质量标准和要求，做到墨色均匀、图片清晰、套印准确、题字色实、版面平整，报纸无破损，无涂抹现象。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p>
    <w:p>
      <w:pPr>
        <w:pStyle w:val="18"/>
        <w:spacing w:line="360" w:lineRule="auto"/>
        <w:rPr>
          <w:rFonts w:hint="eastAsia" w:ascii="宋体" w:hAnsi="宋体" w:eastAsia="宋体" w:cs="宋体"/>
          <w:b/>
          <w:color w:val="auto"/>
          <w:sz w:val="24"/>
          <w:szCs w:val="24"/>
        </w:rPr>
      </w:pPr>
    </w:p>
    <w:p>
      <w:pPr>
        <w:pStyle w:val="18"/>
        <w:spacing w:line="360" w:lineRule="auto"/>
        <w:rPr>
          <w:rFonts w:hint="eastAsia" w:ascii="宋体" w:hAnsi="宋体" w:eastAsia="宋体" w:cs="宋体"/>
          <w:b/>
          <w:color w:val="auto"/>
          <w:sz w:val="24"/>
          <w:szCs w:val="24"/>
        </w:rPr>
      </w:pPr>
    </w:p>
    <w:p>
      <w:pPr>
        <w:pStyle w:val="18"/>
        <w:spacing w:line="360" w:lineRule="auto"/>
        <w:rPr>
          <w:rFonts w:hint="eastAsia" w:ascii="宋体" w:hAnsi="宋体" w:eastAsia="宋体" w:cs="宋体"/>
          <w:b/>
          <w:color w:val="auto"/>
          <w:sz w:val="24"/>
          <w:szCs w:val="24"/>
        </w:rPr>
      </w:pPr>
    </w:p>
    <w:p>
      <w:pPr>
        <w:pStyle w:val="18"/>
        <w:spacing w:line="360" w:lineRule="auto"/>
        <w:rPr>
          <w:rFonts w:hint="eastAsia" w:ascii="宋体" w:hAnsi="宋体" w:eastAsia="宋体" w:cs="宋体"/>
          <w:b/>
          <w:color w:val="auto"/>
          <w:sz w:val="24"/>
          <w:szCs w:val="24"/>
        </w:rPr>
      </w:pPr>
    </w:p>
    <w:p>
      <w:pPr>
        <w:pStyle w:val="18"/>
        <w:spacing w:line="360" w:lineRule="auto"/>
        <w:rPr>
          <w:rFonts w:hint="eastAsia" w:ascii="宋体" w:hAnsi="宋体" w:eastAsia="宋体" w:cs="宋体"/>
          <w:b/>
          <w:color w:val="auto"/>
          <w:sz w:val="24"/>
          <w:szCs w:val="24"/>
        </w:rPr>
      </w:pPr>
    </w:p>
    <w:p>
      <w:pPr>
        <w:pStyle w:val="18"/>
        <w:spacing w:line="360" w:lineRule="auto"/>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ind w:firstLine="1205" w:firstLineChars="500"/>
        <w:jc w:val="both"/>
        <w:rPr>
          <w:rFonts w:hint="eastAsia" w:ascii="宋体" w:hAnsi="宋体" w:eastAsia="宋体" w:cs="宋体"/>
          <w:b/>
          <w:color w:val="auto"/>
          <w:sz w:val="24"/>
          <w:szCs w:val="24"/>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ind w:firstLine="2209" w:firstLineChars="500"/>
        <w:jc w:val="both"/>
        <w:rPr>
          <w:rFonts w:hint="eastAsia" w:ascii="宋体" w:hAnsi="宋体" w:eastAsia="宋体" w:cs="宋体"/>
          <w:b/>
          <w:color w:val="auto"/>
          <w:sz w:val="44"/>
          <w:szCs w:val="44"/>
        </w:rPr>
      </w:pPr>
    </w:p>
    <w:p>
      <w:pPr>
        <w:ind w:firstLine="2209" w:firstLineChars="500"/>
        <w:jc w:val="both"/>
        <w:rPr>
          <w:rFonts w:hint="eastAsia" w:ascii="宋体" w:hAnsi="宋体" w:eastAsia="宋体" w:cs="宋体"/>
          <w:b/>
          <w:color w:val="auto"/>
          <w:spacing w:val="-8"/>
          <w:sz w:val="44"/>
          <w:szCs w:val="44"/>
        </w:rPr>
        <w:sectPr>
          <w:pgSz w:w="11906" w:h="16838"/>
          <w:pgMar w:top="1440" w:right="1803" w:bottom="1440" w:left="1803" w:header="709" w:footer="709" w:gutter="0"/>
          <w:pgNumType w:fmt="decimal"/>
          <w:cols w:space="0" w:num="1"/>
          <w:rtlGutter w:val="0"/>
          <w:docGrid w:type="lines" w:linePitch="360" w:charSpace="0"/>
        </w:sectPr>
      </w:pPr>
      <w:r>
        <w:rPr>
          <w:rFonts w:hint="eastAsia" w:ascii="宋体" w:hAnsi="宋体" w:eastAsia="宋体" w:cs="宋体"/>
          <w:b/>
          <w:color w:val="auto"/>
          <w:sz w:val="44"/>
          <w:szCs w:val="44"/>
        </w:rPr>
        <w:t>第四章  合同</w:t>
      </w:r>
      <w:bookmarkEnd w:id="348"/>
      <w:r>
        <w:rPr>
          <w:rFonts w:hint="eastAsia" w:ascii="宋体" w:hAnsi="宋体" w:eastAsia="宋体" w:cs="宋体"/>
          <w:b/>
          <w:color w:val="auto"/>
          <w:sz w:val="44"/>
          <w:szCs w:val="44"/>
        </w:rPr>
        <w:t>文本</w:t>
      </w:r>
      <w:bookmarkEnd w:id="349"/>
    </w:p>
    <w:p>
      <w:pPr>
        <w:spacing w:line="1200" w:lineRule="exact"/>
        <w:jc w:val="center"/>
        <w:rPr>
          <w:rFonts w:ascii="宋体" w:hAnsi="宋体" w:cs="宋体"/>
          <w:b/>
          <w:color w:val="auto"/>
          <w:sz w:val="56"/>
          <w:szCs w:val="56"/>
        </w:rPr>
      </w:pPr>
      <w:r>
        <w:rPr>
          <w:rFonts w:hint="eastAsia" w:ascii="宋体" w:hAnsi="宋体" w:cs="宋体"/>
          <w:b/>
          <w:color w:val="auto"/>
          <w:sz w:val="56"/>
          <w:szCs w:val="56"/>
        </w:rPr>
        <w:t>政 府 采 购 合 同</w:t>
      </w:r>
    </w:p>
    <w:p>
      <w:pPr>
        <w:spacing w:line="1200" w:lineRule="exact"/>
        <w:jc w:val="center"/>
        <w:rPr>
          <w:rFonts w:ascii="宋体" w:hAnsi="宋体" w:cs="宋体"/>
          <w:b/>
          <w:bCs/>
          <w:color w:val="auto"/>
          <w:kern w:val="0"/>
          <w:sz w:val="36"/>
          <w:szCs w:val="36"/>
        </w:rPr>
      </w:pPr>
      <w:r>
        <w:rPr>
          <w:rFonts w:hint="eastAsia" w:ascii="宋体" w:hAnsi="宋体" w:cs="宋体"/>
          <w:b/>
          <w:bCs/>
          <w:color w:val="auto"/>
          <w:kern w:val="0"/>
          <w:sz w:val="36"/>
          <w:szCs w:val="36"/>
        </w:rPr>
        <w:t>合同编号：项目编号（HT</w:t>
      </w:r>
      <w:r>
        <w:rPr>
          <w:rFonts w:hint="eastAsia" w:ascii="宋体" w:hAnsi="宋体" w:cs="宋体"/>
          <w:b/>
          <w:bCs/>
          <w:color w:val="auto"/>
          <w:kern w:val="0"/>
          <w:sz w:val="36"/>
          <w:szCs w:val="36"/>
          <w:u w:val="single"/>
        </w:rPr>
        <w:t xml:space="preserve">  </w:t>
      </w:r>
      <w:r>
        <w:rPr>
          <w:rFonts w:hint="eastAsia" w:ascii="宋体" w:hAnsi="宋体" w:cs="宋体"/>
          <w:b/>
          <w:bCs/>
          <w:color w:val="auto"/>
          <w:kern w:val="0"/>
          <w:sz w:val="36"/>
          <w:szCs w:val="36"/>
        </w:rPr>
        <w:t>）</w:t>
      </w:r>
    </w:p>
    <w:p>
      <w:pPr>
        <w:spacing w:line="500" w:lineRule="exact"/>
        <w:rPr>
          <w:rFonts w:ascii="宋体" w:hAnsi="宋体" w:cs="宋体"/>
          <w:b/>
          <w:bCs/>
          <w:color w:val="auto"/>
          <w:kern w:val="0"/>
          <w:sz w:val="36"/>
          <w:szCs w:val="36"/>
        </w:rPr>
      </w:pPr>
    </w:p>
    <w:p>
      <w:pPr>
        <w:spacing w:line="500" w:lineRule="exact"/>
        <w:ind w:firstLine="1626" w:firstLineChars="450"/>
        <w:rPr>
          <w:rFonts w:ascii="宋体" w:hAnsi="宋体" w:cs="宋体"/>
          <w:b/>
          <w:bCs/>
          <w:color w:val="auto"/>
          <w:kern w:val="0"/>
          <w:sz w:val="36"/>
          <w:szCs w:val="36"/>
        </w:rPr>
      </w:pPr>
    </w:p>
    <w:p>
      <w:pPr>
        <w:spacing w:line="500" w:lineRule="exact"/>
        <w:ind w:firstLine="1626" w:firstLineChars="450"/>
        <w:rPr>
          <w:rFonts w:ascii="宋体" w:hAnsi="宋体" w:cs="宋体"/>
          <w:b/>
          <w:bCs/>
          <w:color w:val="auto"/>
          <w:kern w:val="0"/>
          <w:sz w:val="36"/>
          <w:szCs w:val="36"/>
        </w:rPr>
      </w:pPr>
    </w:p>
    <w:p>
      <w:pPr>
        <w:spacing w:line="500" w:lineRule="exact"/>
        <w:rPr>
          <w:rFonts w:ascii="宋体" w:hAnsi="宋体" w:cs="宋体"/>
          <w:b/>
          <w:bCs/>
          <w:color w:val="auto"/>
          <w:kern w:val="0"/>
          <w:sz w:val="36"/>
          <w:szCs w:val="36"/>
        </w:rPr>
      </w:pPr>
    </w:p>
    <w:p>
      <w:pPr>
        <w:pStyle w:val="26"/>
        <w:rPr>
          <w:color w:val="auto"/>
        </w:rPr>
      </w:pP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甲方单位：</w:t>
      </w:r>
      <w:r>
        <w:rPr>
          <w:rFonts w:hint="eastAsia" w:ascii="仿宋_GB2312" w:hAnsi="仿宋_GB2312" w:eastAsia="仿宋_GB2312" w:cs="仿宋_GB2312"/>
          <w:color w:val="auto"/>
          <w:sz w:val="32"/>
          <w:szCs w:val="32"/>
        </w:rPr>
        <w:t>定西</w:t>
      </w:r>
      <w:r>
        <w:rPr>
          <w:rFonts w:hint="eastAsia" w:ascii="仿宋_GB2312" w:hAnsi="仿宋_GB2312" w:eastAsia="仿宋_GB2312" w:cs="仿宋_GB2312"/>
          <w:color w:val="auto"/>
          <w:sz w:val="32"/>
          <w:szCs w:val="32"/>
          <w:lang w:val="en-US" w:eastAsia="zh-CN"/>
        </w:rPr>
        <w:t>市融媒体中心</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负 责 人：</w:t>
      </w:r>
      <w:r>
        <w:rPr>
          <w:rFonts w:hint="eastAsia" w:ascii="仿宋_GB2312" w:hAnsi="仿宋_GB2312" w:eastAsia="仿宋_GB2312" w:cs="仿宋_GB2312"/>
          <w:color w:val="auto"/>
          <w:sz w:val="32"/>
          <w:szCs w:val="32"/>
          <w:lang w:val="en-US" w:eastAsia="zh-CN"/>
        </w:rPr>
        <w:t xml:space="preserve"> </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注册地区：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业务联系人：</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通讯地址：</w:t>
      </w:r>
      <w:r>
        <w:rPr>
          <w:rFonts w:hint="eastAsia" w:ascii="仿宋_GB2312" w:hAnsi="仿宋_GB2312" w:eastAsia="仿宋_GB2312" w:cs="仿宋_GB2312"/>
          <w:color w:val="auto"/>
          <w:sz w:val="32"/>
          <w:szCs w:val="32"/>
        </w:rPr>
        <w:t>定西市安定区岷</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街11号建设大厦A区</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邮政编码：</w:t>
      </w:r>
      <w:r>
        <w:rPr>
          <w:rFonts w:hint="eastAsia" w:ascii="仿宋_GB2312" w:hAnsi="仿宋_GB2312" w:eastAsia="仿宋_GB2312" w:cs="仿宋_GB2312"/>
          <w:color w:val="auto"/>
          <w:sz w:val="32"/>
          <w:szCs w:val="32"/>
        </w:rPr>
        <w:t>743000</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联系电话：</w:t>
      </w:r>
      <w:r>
        <w:rPr>
          <w:rFonts w:hint="eastAsia" w:ascii="仿宋_GB2312" w:hAnsi="仿宋_GB2312" w:eastAsia="仿宋_GB2312" w:cs="仿宋_GB2312"/>
          <w:color w:val="auto"/>
          <w:sz w:val="32"/>
          <w:szCs w:val="32"/>
        </w:rPr>
        <w:t>0932-8225622</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乙方单位：</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负 责 人：</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仿宋_GB2312" w:hAnsi="仿宋_GB2312" w:eastAsia="黑体" w:cs="仿宋_GB2312"/>
          <w:color w:val="auto"/>
          <w:sz w:val="32"/>
          <w:szCs w:val="32"/>
          <w:lang w:eastAsia="zh-CN"/>
        </w:rPr>
      </w:pPr>
      <w:r>
        <w:rPr>
          <w:rFonts w:hint="eastAsia" w:ascii="黑体" w:hAnsi="黑体" w:eastAsia="黑体" w:cs="黑体"/>
          <w:color w:val="auto"/>
          <w:sz w:val="32"/>
          <w:szCs w:val="32"/>
        </w:rPr>
        <w:t xml:space="preserve">注册地区：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业务联系人：</w:t>
      </w:r>
      <w:r>
        <w:rPr>
          <w:rFonts w:hint="eastAsia" w:ascii="仿宋_GB2312" w:hAnsi="仿宋_GB2312" w:eastAsia="仿宋_GB2312" w:cs="仿宋_GB2312"/>
          <w:color w:val="auto"/>
          <w:sz w:val="32"/>
          <w:szCs w:val="32"/>
          <w:lang w:val="en-US" w:eastAsia="zh-CN"/>
        </w:rPr>
        <w:t xml:space="preserve"> </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通讯地址：</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邮政编码：</w:t>
      </w:r>
      <w:r>
        <w:rPr>
          <w:rFonts w:hint="eastAsia" w:ascii="仿宋_GB2312" w:hAnsi="仿宋_GB2312" w:eastAsia="仿宋_GB2312" w:cs="仿宋_GB2312"/>
          <w:color w:val="auto"/>
          <w:sz w:val="32"/>
          <w:szCs w:val="32"/>
        </w:rPr>
        <w:t>730030</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联系电话：</w:t>
      </w:r>
    </w:p>
    <w:p>
      <w:pPr>
        <w:spacing w:line="500" w:lineRule="exact"/>
        <w:rPr>
          <w:rFonts w:ascii="宋体" w:hAnsi="宋体" w:cs="宋体"/>
          <w:color w:val="auto"/>
          <w:sz w:val="32"/>
          <w:szCs w:val="32"/>
        </w:rPr>
      </w:pPr>
    </w:p>
    <w:p>
      <w:pPr>
        <w:jc w:val="center"/>
        <w:rPr>
          <w:rFonts w:ascii="宋体" w:hAnsi="宋体" w:cs="宋体"/>
          <w:b/>
          <w:color w:val="auto"/>
          <w:sz w:val="32"/>
          <w:szCs w:val="40"/>
        </w:rPr>
      </w:pPr>
      <w:r>
        <w:rPr>
          <w:rFonts w:hint="eastAsia" w:ascii="宋体" w:hAnsi="宋体" w:cs="宋体"/>
          <w:b/>
          <w:color w:val="auto"/>
          <w:sz w:val="36"/>
          <w:szCs w:val="36"/>
        </w:rPr>
        <w:t>日 期：   年    月   日</w:t>
      </w:r>
      <w:bookmarkStart w:id="354" w:name="_Toc2427"/>
      <w:bookmarkStart w:id="355" w:name="_Toc31752"/>
      <w:bookmarkStart w:id="356" w:name="_Toc439687766"/>
      <w:bookmarkStart w:id="357" w:name="_Toc235870906"/>
      <w:bookmarkStart w:id="358" w:name="_Toc229198096"/>
      <w:bookmarkStart w:id="359" w:name="_Toc429153168"/>
      <w:bookmarkStart w:id="360" w:name="_Toc29266"/>
      <w:bookmarkStart w:id="361" w:name="_Toc424226302"/>
      <w:bookmarkStart w:id="362" w:name="_Toc429153826"/>
      <w:bookmarkStart w:id="363" w:name="_Toc9743"/>
      <w:bookmarkStart w:id="364" w:name="_Toc433806371"/>
      <w:bookmarkStart w:id="365" w:name="_Toc10487"/>
      <w:bookmarkStart w:id="366" w:name="_Toc270064489"/>
    </w:p>
    <w:p>
      <w:pPr>
        <w:rPr>
          <w:rFonts w:ascii="宋体" w:hAnsi="宋体" w:cs="宋体"/>
          <w:b/>
          <w:color w:val="auto"/>
          <w:sz w:val="28"/>
        </w:rPr>
        <w:sectPr>
          <w:pgSz w:w="11906" w:h="16838"/>
          <w:pgMar w:top="1440" w:right="1803" w:bottom="1440" w:left="1803" w:header="709" w:footer="709" w:gutter="0"/>
          <w:pgNumType w:fmt="decimal"/>
          <w:cols w:space="0" w:num="1"/>
          <w:rtlGutter w:val="0"/>
          <w:docGrid w:type="lines" w:linePitch="360" w:charSpace="0"/>
        </w:sectPr>
      </w:pPr>
      <w:r>
        <w:rPr>
          <w:rFonts w:hint="eastAsia" w:ascii="宋体" w:hAnsi="宋体" w:cs="宋体"/>
          <w:b/>
          <w:color w:val="auto"/>
          <w:sz w:val="32"/>
          <w:szCs w:val="40"/>
        </w:rPr>
        <w:br w:type="page"/>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Start w:id="367" w:name="_Toc89058605"/>
      <w:bookmarkStart w:id="368" w:name="_Toc89586966"/>
      <w:bookmarkStart w:id="369" w:name="_Toc91477340"/>
      <w:bookmarkStart w:id="370" w:name="_Toc149714221"/>
      <w:bookmarkStart w:id="371" w:name="_Toc91030089"/>
    </w:p>
    <w:p>
      <w:pPr>
        <w:spacing w:line="500" w:lineRule="exact"/>
        <w:jc w:val="center"/>
        <w:rPr>
          <w:rFonts w:ascii="宋体" w:hAnsi="宋体" w:cs="宋体"/>
          <w:b/>
          <w:color w:val="auto"/>
          <w:sz w:val="32"/>
          <w:szCs w:val="32"/>
        </w:rPr>
      </w:pPr>
      <w:r>
        <w:rPr>
          <w:rFonts w:hint="eastAsia" w:ascii="宋体" w:hAnsi="宋体" w:cs="宋体"/>
          <w:b/>
          <w:color w:val="auto"/>
          <w:sz w:val="32"/>
          <w:szCs w:val="32"/>
        </w:rPr>
        <w:t>合同条款</w:t>
      </w:r>
    </w:p>
    <w:p>
      <w:pPr>
        <w:rPr>
          <w:color w:val="auto"/>
        </w:rPr>
      </w:pP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根据《中华人民共和国民法典》等法律法规的相关规定，甲乙双方按照自愿、平等、互利和诚信的原则，经友好协商，就甲方版权所有的《定西日报》委托乙方印刷事宜订立本合同，双方共同遵守。</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一、规格和材料</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国内统一刊号：CN62—0050</w:t>
      </w:r>
      <w:r>
        <w:rPr>
          <w:rFonts w:hint="eastAsia" w:ascii="仿宋_GB2312" w:hAnsi="仿宋_GB2312" w:eastAsia="仿宋_GB2312" w:cs="仿宋_GB2312"/>
          <w:color w:val="auto"/>
          <w:sz w:val="28"/>
          <w:szCs w:val="28"/>
          <w:lang w:eastAsia="zh-CN"/>
        </w:rPr>
        <w:t>。</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开本版数：对开四版</w:t>
      </w:r>
      <w:r>
        <w:rPr>
          <w:rFonts w:hint="eastAsia" w:ascii="仿宋_GB2312" w:hAnsi="仿宋_GB2312" w:eastAsia="仿宋_GB2312" w:cs="仿宋_GB2312"/>
          <w:color w:val="auto"/>
          <w:sz w:val="28"/>
          <w:szCs w:val="28"/>
          <w:lang w:eastAsia="zh-CN"/>
        </w:rPr>
        <w:t>。</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印数：34000份左右(具体以年度征订数为准)</w:t>
      </w:r>
      <w:r>
        <w:rPr>
          <w:rFonts w:hint="eastAsia" w:ascii="仿宋_GB2312" w:hAnsi="仿宋_GB2312" w:eastAsia="仿宋_GB2312" w:cs="仿宋_GB2312"/>
          <w:color w:val="auto"/>
          <w:sz w:val="28"/>
          <w:szCs w:val="28"/>
          <w:lang w:eastAsia="zh-CN"/>
        </w:rPr>
        <w:t>。</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色彩数据：一个对开张单面彩</w:t>
      </w:r>
      <w:r>
        <w:rPr>
          <w:rFonts w:hint="eastAsia" w:ascii="仿宋_GB2312" w:hAnsi="仿宋_GB2312" w:eastAsia="仿宋_GB2312" w:cs="仿宋_GB2312"/>
          <w:color w:val="auto"/>
          <w:sz w:val="28"/>
          <w:szCs w:val="28"/>
          <w:lang w:eastAsia="zh-CN"/>
        </w:rPr>
        <w:t>。</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出版周期：每周一至周日出对开四版</w:t>
      </w:r>
      <w:r>
        <w:rPr>
          <w:rFonts w:hint="eastAsia" w:ascii="仿宋_GB2312" w:hAnsi="仿宋_GB2312" w:eastAsia="仿宋_GB2312" w:cs="仿宋_GB2312"/>
          <w:color w:val="auto"/>
          <w:sz w:val="28"/>
          <w:szCs w:val="28"/>
          <w:lang w:eastAsia="zh-CN"/>
        </w:rPr>
        <w:t>。</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纸张规格要求：781毫米幅宽，48克国产新闻纸。</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印刷方式：一个作业，一次印刷。</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二、印刷工价</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单面彩报每对开张为：0.20元</w:t>
      </w:r>
      <w:r>
        <w:rPr>
          <w:rFonts w:hint="eastAsia" w:ascii="仿宋_GB2312" w:hAnsi="仿宋_GB2312" w:eastAsia="仿宋_GB2312" w:cs="仿宋_GB2312"/>
          <w:color w:val="auto"/>
          <w:sz w:val="28"/>
          <w:szCs w:val="28"/>
          <w:lang w:eastAsia="zh-CN"/>
        </w:rPr>
        <w:t>（不高于）。</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黑白（套红）报：每对开张为：0.16元</w:t>
      </w:r>
      <w:r>
        <w:rPr>
          <w:rFonts w:hint="eastAsia" w:ascii="仿宋_GB2312" w:hAnsi="仿宋_GB2312" w:eastAsia="仿宋_GB2312" w:cs="仿宋_GB2312"/>
          <w:color w:val="auto"/>
          <w:sz w:val="28"/>
          <w:szCs w:val="28"/>
          <w:lang w:eastAsia="zh-CN"/>
        </w:rPr>
        <w:t>（不高于）。</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双面彩报每对开张为：0.24元</w:t>
      </w:r>
      <w:r>
        <w:rPr>
          <w:rFonts w:hint="eastAsia" w:ascii="仿宋_GB2312" w:hAnsi="仿宋_GB2312" w:eastAsia="仿宋_GB2312" w:cs="仿宋_GB2312"/>
          <w:color w:val="auto"/>
          <w:sz w:val="28"/>
          <w:szCs w:val="28"/>
          <w:lang w:eastAsia="zh-CN"/>
        </w:rPr>
        <w:t>（不高于）。</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乙方印刷工价含：接版、打样、晒上版、印刷、纸张、打包、装车及交付甲方接收人员。</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如遇印数下降过大</w:t>
      </w:r>
      <w:r>
        <w:rPr>
          <w:rFonts w:hint="eastAsia" w:ascii="仿宋_GB2312" w:hAnsi="仿宋_GB2312" w:eastAsia="仿宋_GB2312" w:cs="仿宋_GB2312"/>
          <w:color w:val="auto"/>
          <w:sz w:val="28"/>
          <w:szCs w:val="28"/>
          <w:lang w:eastAsia="zh-CN"/>
        </w:rPr>
        <w:t>等情况</w:t>
      </w:r>
      <w:r>
        <w:rPr>
          <w:rFonts w:hint="eastAsia" w:ascii="仿宋_GB2312" w:hAnsi="仿宋_GB2312" w:eastAsia="仿宋_GB2312" w:cs="仿宋_GB2312"/>
          <w:color w:val="auto"/>
          <w:sz w:val="28"/>
          <w:szCs w:val="28"/>
        </w:rPr>
        <w:t>，价格另议。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color w:val="auto"/>
          <w:sz w:val="28"/>
          <w:szCs w:val="28"/>
          <w:lang w:eastAsia="zh-CN"/>
        </w:rPr>
        <w:t>三、</w:t>
      </w:r>
      <w:r>
        <w:rPr>
          <w:rFonts w:hint="eastAsia" w:ascii="黑体" w:hAnsi="黑体" w:eastAsia="黑体" w:cs="黑体"/>
          <w:b w:val="0"/>
          <w:bCs w:val="0"/>
          <w:color w:val="auto"/>
          <w:sz w:val="28"/>
          <w:szCs w:val="28"/>
          <w:lang w:val="en-US" w:eastAsia="zh-CN"/>
        </w:rPr>
        <w:t>印刷服务期限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年</w:t>
      </w:r>
      <w:r>
        <w:rPr>
          <w:rFonts w:hint="eastAsia" w:ascii="仿宋_GB2312" w:hAnsi="仿宋_GB2312" w:eastAsia="仿宋_GB2312" w:cs="仿宋_GB2312"/>
          <w:b w:val="0"/>
          <w:bCs w:val="0"/>
          <w:color w:val="auto"/>
          <w:sz w:val="28"/>
          <w:szCs w:val="28"/>
          <w:lang w:eastAsia="zh-CN"/>
        </w:rPr>
        <w:t>，自采购合同签订</w:t>
      </w:r>
      <w:r>
        <w:rPr>
          <w:rFonts w:hint="eastAsia" w:ascii="仿宋_GB2312" w:hAnsi="仿宋_GB2312" w:eastAsia="仿宋_GB2312" w:cs="仿宋_GB2312"/>
          <w:b w:val="0"/>
          <w:bCs w:val="0"/>
          <w:color w:val="auto"/>
          <w:sz w:val="28"/>
          <w:szCs w:val="28"/>
        </w:rPr>
        <w:t>后</w:t>
      </w:r>
      <w:r>
        <w:rPr>
          <w:rFonts w:hint="eastAsia" w:ascii="仿宋_GB2312" w:hAnsi="仿宋_GB2312" w:eastAsia="仿宋_GB2312" w:cs="仿宋_GB2312"/>
          <w:b w:val="0"/>
          <w:bCs w:val="0"/>
          <w:color w:val="auto"/>
          <w:sz w:val="28"/>
          <w:szCs w:val="28"/>
          <w:lang w:eastAsia="zh-CN"/>
        </w:rPr>
        <w:t>按期</w:t>
      </w:r>
      <w:r>
        <w:rPr>
          <w:rFonts w:hint="eastAsia" w:ascii="仿宋_GB2312" w:hAnsi="仿宋_GB2312" w:eastAsia="仿宋_GB2312" w:cs="仿宋_GB2312"/>
          <w:b w:val="0"/>
          <w:bCs w:val="0"/>
          <w:color w:val="auto"/>
          <w:sz w:val="28"/>
          <w:szCs w:val="28"/>
        </w:rPr>
        <w:t>生效。</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四</w:t>
      </w:r>
      <w:r>
        <w:rPr>
          <w:rFonts w:hint="eastAsia" w:ascii="黑体" w:hAnsi="黑体" w:eastAsia="黑体" w:cs="黑体"/>
          <w:color w:val="auto"/>
          <w:sz w:val="28"/>
          <w:szCs w:val="28"/>
        </w:rPr>
        <w:t>、甲方责任</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甲方在签订合同时，必须向乙方提供所属地区县级以上新闻出版部门开具的报纸出版许可证复印件，对报纸出版发行的合法性负责。甲方向乙方提供一份出版计划日期及期号对照表。如委托某方进行报纸发行的必须出具委托发行证明书，某方取报视同甲方签收。发行方变更时，如无甲方确认或专人电话通知，视为无效。</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严格遵守出版流程，甲方在出版日前一天</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：00时前向乙方交齐所有版面，以保证每日报纸正常出版。如因甲方单方面原因造成延迟交版的，印刷交付时间顺延，造成时效延误，由甲方负责。</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当报纸出版计划调整变化，如休刊、增减版数及印数、临时套色等时，应提前一天以传真方式通知乙方，以保证充分的沟通，确保出报流程的畅通。同时，为了确保本报的正常出版印刷，</w:t>
      </w:r>
      <w:r>
        <w:rPr>
          <w:rFonts w:hint="eastAsia" w:ascii="仿宋_GB2312" w:hAnsi="仿宋_GB2312" w:eastAsia="仿宋_GB2312" w:cs="仿宋_GB2312"/>
          <w:color w:val="auto"/>
          <w:spacing w:val="-6"/>
          <w:sz w:val="28"/>
          <w:szCs w:val="28"/>
        </w:rPr>
        <w:t>甲、乙双方应建立有效沟通方式，确保24小时通讯畅通。</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因甲方责任造成差错需要返工或重印，所需费用和由此产生的不良影响，由甲方承担责任。</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五</w:t>
      </w:r>
      <w:r>
        <w:rPr>
          <w:rFonts w:hint="eastAsia" w:ascii="黑体" w:hAnsi="黑体" w:eastAsia="黑体" w:cs="黑体"/>
          <w:color w:val="auto"/>
          <w:sz w:val="28"/>
          <w:szCs w:val="28"/>
        </w:rPr>
        <w:t>、乙方责任</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根据甲方确定的付印时间、交报时间（出版日6：00时前）、印数及质量要求、乙方安排好各工序的生产，并及时将报纸交付甲方。</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严格按照有效付印样进行制版和印刷，如发现问题要及时通知甲方编辑部门及出版发行部门，不得擅自作主。</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保证印刷质量，必须符合国家规定的印刷品报纸质量要求，</w:t>
      </w:r>
      <w:r>
        <w:rPr>
          <w:rFonts w:hint="eastAsia" w:ascii="仿宋_GB2312" w:hAnsi="仿宋_GB2312" w:eastAsia="仿宋_GB2312" w:cs="仿宋_GB2312"/>
          <w:color w:val="auto"/>
          <w:spacing w:val="-6"/>
          <w:sz w:val="28"/>
          <w:szCs w:val="28"/>
        </w:rPr>
        <w:t>做到墨色均匀、图片清晰、套印准确、题字色实、版面平整。</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由于乙方原因造成印刷差错或质量不合格及延误交报时间等问题，应立即重印并承担全部费用和由此产生的一切不良后果。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color w:val="auto"/>
          <w:sz w:val="28"/>
          <w:szCs w:val="28"/>
          <w:u w:val="none"/>
          <w:lang w:eastAsia="zh-CN"/>
        </w:rPr>
      </w:pPr>
      <w:r>
        <w:rPr>
          <w:rFonts w:hint="eastAsia" w:ascii="黑体" w:hAnsi="黑体" w:eastAsia="黑体" w:cs="黑体"/>
          <w:b w:val="0"/>
          <w:bCs w:val="0"/>
          <w:color w:val="auto"/>
          <w:sz w:val="28"/>
          <w:szCs w:val="28"/>
          <w:u w:val="none"/>
          <w:lang w:eastAsia="zh-CN"/>
        </w:rPr>
        <w:t>六、印刷产品技术、服务要求及质量标准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u w:val="none"/>
          <w:lang w:eastAsia="zh-CN"/>
        </w:rPr>
      </w:pPr>
      <w:r>
        <w:rPr>
          <w:rFonts w:hint="eastAsia" w:ascii="仿宋_GB2312" w:hAnsi="仿宋_GB2312" w:eastAsia="仿宋_GB2312" w:cs="仿宋_GB2312"/>
          <w:b/>
          <w:bCs/>
          <w:color w:val="auto"/>
          <w:sz w:val="28"/>
          <w:szCs w:val="28"/>
          <w:u w:val="none"/>
          <w:lang w:eastAsia="zh-CN"/>
        </w:rPr>
        <w:t>（一）印刷产品技术要求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标准参照GB/T17934.3-2003及中国报协印刷工作委员会《全国报纸印刷质量管理暂行办法》、《报纸印刷质量检测要求及检测办法》执行，具体要求如下：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1.</w:t>
      </w:r>
      <w:r>
        <w:rPr>
          <w:rFonts w:hint="eastAsia" w:ascii="仿宋" w:hAnsi="仿宋" w:eastAsia="仿宋" w:cs="仿宋"/>
          <w:b w:val="0"/>
          <w:bCs w:val="0"/>
          <w:color w:val="auto"/>
          <w:sz w:val="28"/>
          <w:szCs w:val="28"/>
          <w:u w:val="none"/>
          <w:lang w:eastAsia="zh-CN"/>
        </w:rPr>
        <w:t>中标人必须保证质量、保份数、保用纸、保邮发时间进行印刷，从制度和措施上保证不拖期，并做到质量不合格的报纸不出厂。如因废报出厂造成邮局追责，由乙方承担责任。中标人还应具有稳定新闻纸购买渠道，如遇紧急情况可能需中标人提供纸张，费用双方协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lang w:eastAsia="zh-CN"/>
        </w:rPr>
        <w:t>印刷质量必须符合国家现行规定的报纸印刷质量标准和要求，做到墨色均匀、图片清晰、套印准确、题字色实、版面平整，报纸无破损，无涂抹现象。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3.</w:t>
      </w:r>
      <w:r>
        <w:rPr>
          <w:rFonts w:hint="eastAsia" w:ascii="仿宋" w:hAnsi="仿宋" w:eastAsia="仿宋" w:cs="仿宋"/>
          <w:b w:val="0"/>
          <w:bCs w:val="0"/>
          <w:color w:val="auto"/>
          <w:sz w:val="28"/>
          <w:szCs w:val="28"/>
          <w:u w:val="none"/>
          <w:lang w:eastAsia="zh-CN"/>
        </w:rPr>
        <w:t>图片：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（1）网点清晰结实、不变形、不出龟纹、不缺色、不糊版。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（2）层次清楚分明，反差适中，图像不虚，清晰度好，基本还原自然色调。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（3）彩色图片套印准确，误差小于0.15mm，直观彩色照片边缘无漏色。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（4）图片网纹和实地不出鱼鳞块状和拉毛现象，无墨皮、压脏。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（5）图片不出现边缘及影响层次的绝网。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4.</w:t>
      </w:r>
      <w:r>
        <w:rPr>
          <w:rFonts w:hint="eastAsia" w:ascii="仿宋" w:hAnsi="仿宋" w:eastAsia="仿宋" w:cs="仿宋"/>
          <w:b w:val="0"/>
          <w:bCs w:val="0"/>
          <w:color w:val="auto"/>
          <w:sz w:val="28"/>
          <w:szCs w:val="28"/>
          <w:u w:val="none"/>
          <w:lang w:eastAsia="zh-CN"/>
        </w:rPr>
        <w:t>墨色：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（1）要求整版墨色均匀一致，横向实地密度误差±0.05，直观墨色深浅基本一致。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（2）彩色图片的墨色要饱满适中，色相纯正，不偏色。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5.</w:t>
      </w:r>
      <w:r>
        <w:rPr>
          <w:rFonts w:hint="eastAsia" w:ascii="仿宋" w:hAnsi="仿宋" w:eastAsia="仿宋" w:cs="仿宋"/>
          <w:b w:val="0"/>
          <w:bCs w:val="0"/>
          <w:color w:val="auto"/>
          <w:sz w:val="28"/>
          <w:szCs w:val="28"/>
          <w:u w:val="none"/>
          <w:lang w:eastAsia="zh-CN"/>
        </w:rPr>
        <w:t>文字：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文字清晰，无缺笔断划，无花白，无水迹，无残缺，无明显墨大或墨小，无虚影重影，无明显透印。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6.</w:t>
      </w:r>
      <w:r>
        <w:rPr>
          <w:rFonts w:hint="eastAsia" w:ascii="仿宋" w:hAnsi="仿宋" w:eastAsia="仿宋" w:cs="仿宋"/>
          <w:b w:val="0"/>
          <w:bCs w:val="0"/>
          <w:color w:val="auto"/>
          <w:sz w:val="28"/>
          <w:szCs w:val="28"/>
          <w:u w:val="none"/>
          <w:lang w:eastAsia="zh-CN"/>
        </w:rPr>
        <w:t>版面：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（1）报纸外观整洁、干净、无脏污、糊版、压合印迹及折皱，无透印。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（2）内容完整、文字清秀、色彩真实和谐、套印准确。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（3）版心左右居中，天头略大于地脚，正反版面套正，上下、左右误差不超过2mm。</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 w:val="28"/>
          <w:szCs w:val="28"/>
          <w:u w:val="none"/>
          <w:lang w:eastAsia="zh-CN"/>
        </w:rPr>
      </w:pPr>
      <w:r>
        <w:rPr>
          <w:rFonts w:hint="eastAsia" w:ascii="仿宋_GB2312" w:hAnsi="仿宋_GB2312" w:eastAsia="仿宋_GB2312" w:cs="仿宋_GB2312"/>
          <w:b/>
          <w:bCs/>
          <w:color w:val="auto"/>
          <w:sz w:val="28"/>
          <w:szCs w:val="28"/>
          <w:u w:val="none"/>
          <w:lang w:val="en-US" w:eastAsia="zh-CN"/>
        </w:rPr>
        <w:t>（二）</w:t>
      </w:r>
      <w:r>
        <w:rPr>
          <w:rFonts w:hint="eastAsia" w:ascii="仿宋_GB2312" w:hAnsi="仿宋_GB2312" w:eastAsia="仿宋_GB2312" w:cs="仿宋_GB2312"/>
          <w:b/>
          <w:bCs/>
          <w:color w:val="auto"/>
          <w:sz w:val="28"/>
          <w:szCs w:val="28"/>
          <w:u w:val="none"/>
          <w:lang w:eastAsia="zh-CN"/>
        </w:rPr>
        <w:t>服务相关要求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1</w:t>
      </w:r>
      <w:r>
        <w:rPr>
          <w:rFonts w:hint="eastAsia" w:ascii="仿宋" w:hAnsi="仿宋" w:eastAsia="仿宋" w:cs="仿宋"/>
          <w:b w:val="0"/>
          <w:bCs w:val="0"/>
          <w:color w:val="auto"/>
          <w:sz w:val="28"/>
          <w:szCs w:val="28"/>
          <w:u w:val="none"/>
          <w:lang w:eastAsia="zh-CN"/>
        </w:rPr>
        <w:t>）乙方应按甲方所传内容进行制版和印刷，如发现问题要及时通知甲方编辑部门及发行部门，不得擅做主张。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2</w:t>
      </w:r>
      <w:r>
        <w:rPr>
          <w:rFonts w:hint="eastAsia" w:ascii="仿宋" w:hAnsi="仿宋" w:eastAsia="仿宋" w:cs="仿宋"/>
          <w:b w:val="0"/>
          <w:bCs w:val="0"/>
          <w:color w:val="auto"/>
          <w:sz w:val="28"/>
          <w:szCs w:val="28"/>
          <w:u w:val="none"/>
          <w:lang w:eastAsia="zh-CN"/>
        </w:rPr>
        <w:t>）乙方应按照甲方印刷委托通知单或通过报刊发行局发出的报纸委印通知单的要求印刷，不得擅自加印、外发外传。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3</w:t>
      </w:r>
      <w:r>
        <w:rPr>
          <w:rFonts w:hint="eastAsia" w:ascii="仿宋" w:hAnsi="仿宋" w:eastAsia="仿宋" w:cs="仿宋"/>
          <w:b w:val="0"/>
          <w:bCs w:val="0"/>
          <w:color w:val="auto"/>
          <w:sz w:val="28"/>
          <w:szCs w:val="28"/>
          <w:u w:val="none"/>
          <w:lang w:eastAsia="zh-CN"/>
        </w:rPr>
        <w:t>）乙方需按照甲方要求进行相关配送，并保证及时无误。如甲方对印刷时间有特殊要求，应提前通知乙方，乙方应按甲方要求完成报纸的印刷及配送。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4</w:t>
      </w:r>
      <w:r>
        <w:rPr>
          <w:rFonts w:hint="eastAsia" w:ascii="仿宋" w:hAnsi="仿宋" w:eastAsia="仿宋" w:cs="仿宋"/>
          <w:b w:val="0"/>
          <w:bCs w:val="0"/>
          <w:color w:val="auto"/>
          <w:sz w:val="28"/>
          <w:szCs w:val="28"/>
          <w:u w:val="none"/>
          <w:lang w:eastAsia="zh-CN"/>
        </w:rPr>
        <w:t xml:space="preserve">）报纸下线后需双面垫纸，按照配送要求，免费提供打包材料并打包（双面垫纸，用塑料袋绳打包，包紧、包实，每包上外贴显著标识，以利区分），将成品报纸交付甲方指定发行单位查收。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5</w:t>
      </w:r>
      <w:r>
        <w:rPr>
          <w:rFonts w:hint="eastAsia" w:ascii="仿宋" w:hAnsi="仿宋" w:eastAsia="仿宋" w:cs="仿宋"/>
          <w:b w:val="0"/>
          <w:bCs w:val="0"/>
          <w:color w:val="auto"/>
          <w:sz w:val="28"/>
          <w:szCs w:val="28"/>
          <w:u w:val="none"/>
          <w:lang w:eastAsia="zh-CN"/>
        </w:rPr>
        <w:t>）乙方应保证不合格的报纸不出厂。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w:t>
      </w:r>
      <w:r>
        <w:rPr>
          <w:rFonts w:hint="eastAsia" w:ascii="仿宋" w:hAnsi="仿宋" w:eastAsia="仿宋" w:cs="仿宋"/>
          <w:b w:val="0"/>
          <w:bCs w:val="0"/>
          <w:color w:val="auto"/>
          <w:sz w:val="28"/>
          <w:szCs w:val="28"/>
          <w:u w:val="none"/>
          <w:lang w:val="en-US" w:eastAsia="zh-CN"/>
        </w:rPr>
        <w:t>6</w:t>
      </w:r>
      <w:r>
        <w:rPr>
          <w:rFonts w:hint="eastAsia" w:ascii="仿宋" w:hAnsi="仿宋" w:eastAsia="仿宋" w:cs="仿宋"/>
          <w:b w:val="0"/>
          <w:bCs w:val="0"/>
          <w:color w:val="auto"/>
          <w:sz w:val="28"/>
          <w:szCs w:val="28"/>
          <w:u w:val="none"/>
          <w:lang w:eastAsia="zh-CN"/>
        </w:rPr>
        <w:t>）由于乙方原因造成印刷差错或质量不合格及延误交报时间等问题，应立即重印并承担全部费用，同时赔偿甲方因此造成的全部损失。</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（三）包装要求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一般每250份（特殊情况由采购人确定份数）报纸打一包。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免费提供打包材料并打包（双面垫纸，用塑料绳打包，包紧、包实，每包上外贴显著标识，以利区分），保证包内报纸不受损。</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（四）仓储要求</w:t>
      </w:r>
      <w:bookmarkStart w:id="372" w:name="_Toc14925"/>
      <w:bookmarkStart w:id="373" w:name="_Toc29459"/>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本项目中采购人提供的新闻纸和报纸成品需由承担印刷任务的中标厂家短期储存保管，为此，承担印刷任务的中标厂家需无偿为采购人提供足够面积的具有防火、防水、防潮、防尘的专用库房，库房需由专人免费管理直至报纸交付完毕。</w:t>
      </w:r>
      <w:bookmarkEnd w:id="372"/>
      <w:bookmarkEnd w:id="373"/>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（五）运输或邮寄要求</w:t>
      </w:r>
      <w:bookmarkStart w:id="374" w:name="_Toc21022"/>
      <w:bookmarkStart w:id="375" w:name="_Toc1963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中标厂家必须能够将成品报纸交付采购人指定的发行单位查收，运输或邮寄过程中造成的产品的损坏、破裂等损失由中标厂家自行承担。</w:t>
      </w:r>
      <w:bookmarkEnd w:id="374"/>
      <w:bookmarkEnd w:id="375"/>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u w:val="none"/>
          <w:lang w:eastAsia="zh-CN"/>
        </w:rPr>
      </w:pPr>
      <w:r>
        <w:rPr>
          <w:rFonts w:hint="eastAsia" w:ascii="仿宋" w:hAnsi="仿宋" w:eastAsia="仿宋" w:cs="仿宋"/>
          <w:b/>
          <w:bCs/>
          <w:color w:val="auto"/>
          <w:sz w:val="28"/>
          <w:szCs w:val="28"/>
          <w:u w:val="none"/>
          <w:lang w:eastAsia="zh-CN"/>
        </w:rPr>
        <w:t>（六）其他服务要求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bookmarkStart w:id="376" w:name="_Toc23895"/>
      <w:bookmarkStart w:id="377" w:name="_Toc26596"/>
      <w:bookmarkStart w:id="378" w:name="_Toc16347"/>
      <w:bookmarkStart w:id="379" w:name="_Toc11563"/>
      <w:r>
        <w:rPr>
          <w:rFonts w:hint="eastAsia" w:ascii="仿宋" w:hAnsi="仿宋" w:eastAsia="仿宋" w:cs="仿宋"/>
          <w:b w:val="0"/>
          <w:bCs w:val="0"/>
          <w:color w:val="auto"/>
          <w:sz w:val="28"/>
          <w:szCs w:val="28"/>
          <w:u w:val="none"/>
          <w:lang w:eastAsia="zh-CN"/>
        </w:rPr>
        <w:t>1、</w:t>
      </w:r>
      <w:bookmarkEnd w:id="376"/>
      <w:bookmarkEnd w:id="377"/>
      <w:bookmarkEnd w:id="378"/>
      <w:bookmarkEnd w:id="379"/>
      <w:r>
        <w:rPr>
          <w:rFonts w:hint="eastAsia" w:ascii="仿宋" w:hAnsi="仿宋" w:eastAsia="仿宋" w:cs="仿宋"/>
          <w:b w:val="0"/>
          <w:bCs w:val="0"/>
          <w:color w:val="auto"/>
          <w:sz w:val="28"/>
          <w:szCs w:val="28"/>
          <w:u w:val="none"/>
          <w:lang w:eastAsia="zh-CN"/>
        </w:rPr>
        <w:t>采购人对中标人的服务提出修改意见时，中标人应快速反馈并提出解决办法。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2、印刷厂对电子传版文件需至少保留2个月，同时需保留印刷过程中相关交接手续，以便于查找。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3、每期样报每月汇总后寄送采购人检查。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4、供应商应按采购人所传内容进行制版和印刷，如发现问题要及时通知采购人编辑部门及发行部门，不得擅做主张。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5、投标商须提供针对特殊情况下的印刷实施方案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由于安全生产工作的特殊性和其它种种原因，会导致报纸签样延迟，因此要求投标人必须确保特殊情况下报纸的正常出版发行，必须确保传接版、印刷、发行、质量监控等重要环节专人专职专责。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投标人需要提供特殊情况下印刷实施保障方案。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6、投标人应按照采购人印刷委托通知单或通过报刊发行局发出的报纸委印通知单的要求印刷，不得擅自加印、外发外传。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7、如采购人对印刷时间及配送有特殊要求，应提前通知供应商，供应商应按采购人要求完成报纸的印刷及配送。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8</w:t>
      </w:r>
      <w:r>
        <w:rPr>
          <w:rFonts w:hint="eastAsia" w:ascii="仿宋" w:hAnsi="仿宋" w:eastAsia="仿宋" w:cs="仿宋"/>
          <w:b w:val="0"/>
          <w:bCs w:val="0"/>
          <w:color w:val="auto"/>
          <w:sz w:val="28"/>
          <w:szCs w:val="28"/>
          <w:u w:val="none"/>
          <w:lang w:eastAsia="zh-CN"/>
        </w:rPr>
        <w:t>、由于供应商原因造成印刷差错或质量不合格及延误交报时间等问题，应立即重印并承担全部费用，并按合同约定赔偿。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val="en-US" w:eastAsia="zh-CN"/>
        </w:rPr>
        <w:t>9</w:t>
      </w:r>
      <w:r>
        <w:rPr>
          <w:rFonts w:hint="eastAsia" w:ascii="仿宋" w:hAnsi="仿宋" w:eastAsia="仿宋" w:cs="仿宋"/>
          <w:b w:val="0"/>
          <w:bCs w:val="0"/>
          <w:color w:val="auto"/>
          <w:sz w:val="28"/>
          <w:szCs w:val="28"/>
          <w:u w:val="none"/>
          <w:lang w:eastAsia="zh-CN"/>
        </w:rPr>
        <w:t>、印刷品质量承诺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投标人须承诺中标后如出现以下问题，一切责任由其自身负责：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a.报纸纸张问题（没有使用招标中约定的纸张）。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b.图片由于印刷原因导致不清晰、不完整（印刷问题）。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c.字迹不清晰、有糊字、有脏点、墨色不一样。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d.报纸印刷误期。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lang w:eastAsia="zh-CN"/>
        </w:rPr>
        <w:t>e.供应商应保证报纸的印刷质量和应印的份数，如双方认定（按国家新闻纸印刷标准）印刷质量有问题或印刷份数不够，给采购人造成损失或影响，由供应商负责相应的经济赔偿并消除影响。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u w:val="none"/>
          <w:lang w:eastAsia="zh-CN"/>
        </w:rPr>
        <w:sectPr>
          <w:pgSz w:w="11906" w:h="16838"/>
          <w:pgMar w:top="1440" w:right="1080" w:bottom="1440" w:left="1080" w:header="709" w:footer="709" w:gutter="0"/>
          <w:pgNumType w:fmt="decimal"/>
          <w:cols w:space="720" w:num="1"/>
          <w:docGrid w:type="lines" w:linePitch="361" w:charSpace="0"/>
        </w:sectPr>
      </w:pPr>
      <w:r>
        <w:rPr>
          <w:rFonts w:hint="eastAsia" w:ascii="仿宋" w:hAnsi="仿宋" w:eastAsia="仿宋" w:cs="仿宋"/>
          <w:b w:val="0"/>
          <w:bCs w:val="0"/>
          <w:color w:val="auto"/>
          <w:sz w:val="28"/>
          <w:szCs w:val="28"/>
          <w:u w:val="none"/>
          <w:lang w:eastAsia="zh-CN"/>
        </w:rPr>
        <w:t>供应商可结合项目特点进一步作出相关质量承诺</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七</w:t>
      </w:r>
      <w:r>
        <w:rPr>
          <w:rFonts w:hint="eastAsia" w:ascii="黑体" w:hAnsi="黑体" w:eastAsia="黑体" w:cs="黑体"/>
          <w:color w:val="auto"/>
          <w:sz w:val="28"/>
          <w:szCs w:val="28"/>
        </w:rPr>
        <w:t>、结算方式及期限</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经双方约定，甲乙双方于次月5日前，电话或传真核对上月发生的各期印数及工价总额，核对无误后，即可由乙方业务人员将结算的结果通告或传送给甲方出版印务管理的负责人，当月10日前结清上月的全部印刷费。如果乙方在当月10日前没有收到或没有足额收到上月的印刷费，乙方将向甲方予以提示，并且每迟延付款一日按欠款额的3‰向甲方收取滞纳金。若甲方在一个月内仍未付齐上月的印刷费，乙方有权停印，因此而造成的一切损失和不良后果由甲方承担。</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八</w:t>
      </w:r>
      <w:r>
        <w:rPr>
          <w:rFonts w:hint="eastAsia" w:ascii="黑体" w:hAnsi="黑体" w:eastAsia="黑体" w:cs="黑体"/>
          <w:color w:val="auto"/>
          <w:sz w:val="28"/>
          <w:szCs w:val="28"/>
        </w:rPr>
        <w:t>、解决纠纷的方式</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双方协商解决合作过程中出现的问题，协商不成，任何一方有权向乙方所在地有管辖权的人民法院起诉。</w:t>
      </w:r>
    </w:p>
    <w:p>
      <w:pPr>
        <w:pStyle w:val="27"/>
        <w:keepNext w:val="0"/>
        <w:keepLines w:val="0"/>
        <w:pageBreakBefore w:val="0"/>
        <w:widowControl/>
        <w:shd w:val="clear" w:color="auto" w:fill="FFFFFF"/>
        <w:tabs>
          <w:tab w:val="left" w:pos="1326"/>
        </w:tabs>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九</w:t>
      </w:r>
      <w:r>
        <w:rPr>
          <w:rFonts w:hint="eastAsia" w:ascii="黑体" w:hAnsi="黑体" w:eastAsia="黑体" w:cs="黑体"/>
          <w:color w:val="auto"/>
          <w:sz w:val="28"/>
          <w:szCs w:val="28"/>
        </w:rPr>
        <w:t>、合同有效期</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851" w:leftChars="304" w:firstLine="0" w:firstLineChars="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本合同有效期</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年，自</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日起至</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日止，经双方签字盖章后生效。双方无异议，合同可以长期顺延执行。</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在合同执行中，如有重大事宜，需在下一年度变更合同，双方必须在当年度6月31日前以书面形式告知对方，双方协商一致后进行合同的变更。</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36" w:firstLineChars="200"/>
        <w:jc w:val="both"/>
        <w:textAlignment w:val="auto"/>
        <w:rPr>
          <w:rFonts w:hint="eastAsia" w:ascii="黑体" w:hAnsi="黑体" w:eastAsia="黑体" w:cs="黑体"/>
          <w:color w:val="auto"/>
          <w:spacing w:val="-6"/>
          <w:sz w:val="28"/>
          <w:szCs w:val="28"/>
        </w:rPr>
      </w:pPr>
      <w:r>
        <w:rPr>
          <w:rFonts w:hint="eastAsia" w:ascii="黑体" w:hAnsi="黑体" w:eastAsia="黑体" w:cs="黑体"/>
          <w:color w:val="auto"/>
          <w:spacing w:val="-6"/>
          <w:sz w:val="28"/>
          <w:szCs w:val="28"/>
          <w:lang w:eastAsia="zh-CN"/>
        </w:rPr>
        <w:t>十、</w:t>
      </w:r>
      <w:r>
        <w:rPr>
          <w:rFonts w:hint="eastAsia" w:ascii="黑体" w:hAnsi="黑体" w:eastAsia="黑体" w:cs="黑体"/>
          <w:color w:val="auto"/>
          <w:spacing w:val="-6"/>
          <w:sz w:val="28"/>
          <w:szCs w:val="28"/>
        </w:rPr>
        <w:t>本合同一式</w:t>
      </w:r>
      <w:r>
        <w:rPr>
          <w:rFonts w:hint="eastAsia" w:ascii="黑体" w:hAnsi="黑体" w:eastAsia="黑体" w:cs="黑体"/>
          <w:color w:val="auto"/>
          <w:spacing w:val="-6"/>
          <w:sz w:val="28"/>
          <w:szCs w:val="28"/>
          <w:lang w:eastAsia="zh-CN"/>
        </w:rPr>
        <w:t>陆</w:t>
      </w:r>
      <w:r>
        <w:rPr>
          <w:rFonts w:hint="eastAsia" w:ascii="黑体" w:hAnsi="黑体" w:eastAsia="黑体" w:cs="黑体"/>
          <w:color w:val="auto"/>
          <w:spacing w:val="-6"/>
          <w:sz w:val="28"/>
          <w:szCs w:val="28"/>
        </w:rPr>
        <w:t>份，双方各执</w:t>
      </w:r>
      <w:r>
        <w:rPr>
          <w:rFonts w:hint="eastAsia" w:ascii="黑体" w:hAnsi="黑体" w:eastAsia="黑体" w:cs="黑体"/>
          <w:color w:val="auto"/>
          <w:spacing w:val="-6"/>
          <w:sz w:val="28"/>
          <w:szCs w:val="28"/>
          <w:lang w:eastAsia="zh-CN"/>
        </w:rPr>
        <w:t>叁</w:t>
      </w:r>
      <w:r>
        <w:rPr>
          <w:rFonts w:hint="eastAsia" w:ascii="黑体" w:hAnsi="黑体" w:eastAsia="黑体" w:cs="黑体"/>
          <w:color w:val="auto"/>
          <w:spacing w:val="-6"/>
          <w:sz w:val="28"/>
          <w:szCs w:val="28"/>
        </w:rPr>
        <w:t>份，具有同等法律效力。</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乙方结算账户：</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开户行：</w:t>
      </w:r>
    </w:p>
    <w:p>
      <w:pPr>
        <w:pStyle w:val="2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账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号：</w:t>
      </w:r>
    </w:p>
    <w:p>
      <w:pPr>
        <w:pStyle w:val="26"/>
        <w:ind w:firstLine="480"/>
        <w:rPr>
          <w:color w:val="auto"/>
        </w:rPr>
      </w:pPr>
    </w:p>
    <w:p>
      <w:pPr>
        <w:pStyle w:val="26"/>
        <w:ind w:firstLine="480"/>
        <w:rPr>
          <w:color w:val="auto"/>
        </w:rPr>
      </w:pPr>
    </w:p>
    <w:p>
      <w:pPr>
        <w:pStyle w:val="26"/>
        <w:ind w:firstLine="480"/>
        <w:rPr>
          <w:color w:val="auto"/>
        </w:rPr>
      </w:pPr>
    </w:p>
    <w:p>
      <w:pPr>
        <w:pStyle w:val="3"/>
        <w:spacing w:line="500" w:lineRule="exact"/>
        <w:rPr>
          <w:rFonts w:ascii="宋体" w:hAnsi="宋体" w:cs="宋体"/>
          <w:color w:val="auto"/>
          <w:sz w:val="48"/>
          <w:szCs w:val="48"/>
        </w:rPr>
      </w:pPr>
      <w:bookmarkStart w:id="380" w:name="_Toc229198097"/>
      <w:bookmarkStart w:id="381" w:name="_Toc15509"/>
      <w:bookmarkStart w:id="382" w:name="_Toc17807"/>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3"/>
        <w:spacing w:line="500" w:lineRule="exact"/>
        <w:rPr>
          <w:rFonts w:hint="eastAsia" w:ascii="仿宋" w:hAnsi="仿宋" w:eastAsia="仿宋" w:cs="仿宋"/>
          <w:color w:val="auto"/>
          <w:sz w:val="44"/>
          <w:szCs w:val="44"/>
        </w:rPr>
      </w:pPr>
      <w:bookmarkStart w:id="383" w:name="_Toc3033"/>
      <w:r>
        <w:rPr>
          <w:rFonts w:hint="eastAsia" w:ascii="仿宋" w:hAnsi="仿宋" w:eastAsia="仿宋" w:cs="仿宋"/>
          <w:color w:val="auto"/>
          <w:sz w:val="44"/>
          <w:szCs w:val="44"/>
        </w:rPr>
        <w:t>第五章  附件</w:t>
      </w:r>
      <w:bookmarkEnd w:id="380"/>
      <w:bookmarkEnd w:id="381"/>
      <w:bookmarkEnd w:id="382"/>
      <w:bookmarkEnd w:id="383"/>
    </w:p>
    <w:p>
      <w:pPr>
        <w:spacing w:line="500" w:lineRule="exact"/>
        <w:ind w:firstLine="866" w:firstLineChars="196"/>
        <w:rPr>
          <w:rFonts w:hint="eastAsia" w:ascii="仿宋" w:hAnsi="仿宋" w:eastAsia="仿宋" w:cs="仿宋"/>
          <w:b/>
          <w:bCs/>
          <w:color w:val="auto"/>
          <w:kern w:val="0"/>
          <w:sz w:val="44"/>
          <w:szCs w:val="44"/>
        </w:rPr>
      </w:pPr>
    </w:p>
    <w:p>
      <w:pPr>
        <w:spacing w:line="500" w:lineRule="exact"/>
        <w:ind w:firstLine="551" w:firstLineChars="196"/>
        <w:rPr>
          <w:rFonts w:hint="eastAsia" w:ascii="仿宋" w:hAnsi="仿宋" w:eastAsia="仿宋" w:cs="仿宋"/>
          <w:b/>
          <w:bCs/>
          <w:color w:val="auto"/>
          <w:kern w:val="0"/>
          <w:sz w:val="28"/>
          <w:szCs w:val="28"/>
        </w:rPr>
      </w:pPr>
    </w:p>
    <w:p>
      <w:pPr>
        <w:spacing w:line="500" w:lineRule="exact"/>
        <w:ind w:firstLine="551" w:firstLineChars="196"/>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注：本章提供的附件只是投标文件的部分格式内容，供应商编制投标文件时除包含以下附件内容外，应按第二章供应商须知第10.2条款要求的内容及顺序编制投标文件。</w:t>
      </w:r>
    </w:p>
    <w:p>
      <w:pPr>
        <w:spacing w:line="500" w:lineRule="exact"/>
        <w:ind w:firstLine="551" w:firstLineChars="196"/>
        <w:rPr>
          <w:rFonts w:hint="eastAsia" w:ascii="仿宋" w:hAnsi="仿宋" w:eastAsia="仿宋" w:cs="仿宋"/>
          <w:b/>
          <w:bCs/>
          <w:color w:val="auto"/>
          <w:kern w:val="0"/>
          <w:sz w:val="28"/>
          <w:szCs w:val="28"/>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p>
      <w:pPr>
        <w:spacing w:line="500" w:lineRule="exact"/>
        <w:ind w:firstLine="472" w:firstLineChars="196"/>
        <w:rPr>
          <w:rFonts w:ascii="宋体" w:hAnsi="宋体" w:cs="宋体"/>
          <w:b/>
          <w:bCs/>
          <w:color w:val="auto"/>
          <w:kern w:val="0"/>
          <w:sz w:val="24"/>
        </w:rPr>
      </w:pPr>
    </w:p>
    <w:bookmarkEnd w:id="367"/>
    <w:bookmarkEnd w:id="368"/>
    <w:bookmarkEnd w:id="369"/>
    <w:bookmarkEnd w:id="370"/>
    <w:bookmarkEnd w:id="371"/>
    <w:p>
      <w:pPr>
        <w:rPr>
          <w:rFonts w:hint="eastAsia" w:ascii="仿宋" w:hAnsi="仿宋" w:eastAsia="仿宋" w:cs="仿宋"/>
          <w:color w:val="auto"/>
          <w:sz w:val="28"/>
          <w:szCs w:val="28"/>
        </w:rPr>
      </w:pPr>
      <w:bookmarkStart w:id="384" w:name="_Toc229198098"/>
      <w:bookmarkStart w:id="385" w:name="_Toc439687768"/>
      <w:r>
        <w:rPr>
          <w:rFonts w:hint="eastAsia" w:ascii="仿宋" w:hAnsi="仿宋" w:eastAsia="仿宋" w:cs="仿宋"/>
          <w:color w:val="auto"/>
          <w:sz w:val="28"/>
          <w:szCs w:val="28"/>
        </w:rPr>
        <w:br w:type="page"/>
      </w:r>
    </w:p>
    <w:p>
      <w:pPr>
        <w:pStyle w:val="6"/>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1． 投标函</w:t>
      </w:r>
      <w:bookmarkEnd w:id="384"/>
      <w:bookmarkEnd w:id="385"/>
    </w:p>
    <w:p>
      <w:pPr>
        <w:spacing w:line="500" w:lineRule="exact"/>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致：</w:t>
      </w:r>
      <w:r>
        <w:rPr>
          <w:rFonts w:hint="eastAsia" w:ascii="仿宋" w:hAnsi="仿宋" w:eastAsia="仿宋" w:cs="仿宋"/>
          <w:color w:val="auto"/>
          <w:sz w:val="28"/>
          <w:szCs w:val="28"/>
          <w:lang w:eastAsia="zh-CN"/>
        </w:rPr>
        <w:t>定西市政府采购中心</w:t>
      </w:r>
    </w:p>
    <w:p>
      <w:pPr>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根据贵方为</w:t>
      </w:r>
      <w:r>
        <w:rPr>
          <w:rFonts w:hint="eastAsia" w:ascii="仿宋" w:hAnsi="仿宋" w:eastAsia="仿宋" w:cs="仿宋"/>
          <w:color w:val="auto"/>
          <w:sz w:val="28"/>
          <w:szCs w:val="28"/>
          <w:u w:val="single"/>
        </w:rPr>
        <w:t xml:space="preserve">   （项目名称）   </w:t>
      </w:r>
      <w:r>
        <w:rPr>
          <w:rFonts w:hint="eastAsia" w:ascii="仿宋" w:hAnsi="仿宋" w:eastAsia="仿宋" w:cs="仿宋"/>
          <w:color w:val="auto"/>
          <w:sz w:val="28"/>
          <w:szCs w:val="28"/>
        </w:rPr>
        <w:t>的投标邀请</w:t>
      </w:r>
      <w:r>
        <w:rPr>
          <w:rFonts w:hint="eastAsia" w:ascii="仿宋" w:hAnsi="仿宋" w:eastAsia="仿宋" w:cs="仿宋"/>
          <w:color w:val="auto"/>
          <w:sz w:val="28"/>
          <w:szCs w:val="28"/>
          <w:u w:val="single"/>
        </w:rPr>
        <w:t xml:space="preserve">  （招标编号）  </w:t>
      </w:r>
      <w:r>
        <w:rPr>
          <w:rFonts w:hint="eastAsia" w:ascii="仿宋" w:hAnsi="仿宋" w:eastAsia="仿宋" w:cs="仿宋"/>
          <w:color w:val="auto"/>
          <w:sz w:val="28"/>
          <w:szCs w:val="28"/>
        </w:rPr>
        <w:t xml:space="preserve"> ，签字代表</w:t>
      </w:r>
      <w:r>
        <w:rPr>
          <w:rFonts w:hint="eastAsia" w:ascii="仿宋" w:hAnsi="仿宋" w:eastAsia="仿宋" w:cs="仿宋"/>
          <w:color w:val="auto"/>
          <w:sz w:val="28"/>
          <w:szCs w:val="28"/>
          <w:u w:val="single"/>
        </w:rPr>
        <w:t xml:space="preserve">   （全名、职务）  </w:t>
      </w:r>
      <w:r>
        <w:rPr>
          <w:rFonts w:hint="eastAsia" w:ascii="仿宋" w:hAnsi="仿宋" w:eastAsia="仿宋" w:cs="仿宋"/>
          <w:color w:val="auto"/>
          <w:sz w:val="28"/>
          <w:szCs w:val="28"/>
        </w:rPr>
        <w:t>经正式授权并代表供应商</w:t>
      </w:r>
      <w:r>
        <w:rPr>
          <w:rFonts w:hint="eastAsia" w:ascii="仿宋" w:hAnsi="仿宋" w:eastAsia="仿宋" w:cs="仿宋"/>
          <w:color w:val="auto"/>
          <w:sz w:val="28"/>
          <w:szCs w:val="28"/>
          <w:u w:val="single"/>
        </w:rPr>
        <w:t xml:space="preserve">   （供应商名称、地址）   </w:t>
      </w:r>
      <w:r>
        <w:rPr>
          <w:rFonts w:hint="eastAsia" w:ascii="仿宋" w:hAnsi="仿宋" w:eastAsia="仿宋" w:cs="仿宋"/>
          <w:color w:val="auto"/>
          <w:sz w:val="28"/>
          <w:szCs w:val="28"/>
        </w:rPr>
        <w:t>提交下述投标文件。</w:t>
      </w:r>
    </w:p>
    <w:p>
      <w:pPr>
        <w:pStyle w:val="16"/>
        <w:numPr>
          <w:ilvl w:val="0"/>
          <w:numId w:val="22"/>
        </w:numPr>
        <w:spacing w:line="500" w:lineRule="exact"/>
        <w:ind w:left="560" w:leftChars="200"/>
        <w:rPr>
          <w:rFonts w:hint="eastAsia" w:ascii="仿宋" w:hAnsi="仿宋" w:eastAsia="仿宋" w:cs="仿宋"/>
          <w:color w:val="auto"/>
          <w:sz w:val="28"/>
          <w:szCs w:val="28"/>
        </w:rPr>
      </w:pPr>
      <w:r>
        <w:rPr>
          <w:rFonts w:hint="eastAsia" w:ascii="仿宋" w:hAnsi="仿宋" w:eastAsia="仿宋" w:cs="仿宋"/>
          <w:color w:val="auto"/>
          <w:sz w:val="28"/>
          <w:szCs w:val="28"/>
        </w:rPr>
        <w:t>资格证明文件</w:t>
      </w:r>
    </w:p>
    <w:p>
      <w:pPr>
        <w:pStyle w:val="16"/>
        <w:numPr>
          <w:ilvl w:val="0"/>
          <w:numId w:val="22"/>
        </w:numPr>
        <w:spacing w:line="500" w:lineRule="exact"/>
        <w:ind w:left="560" w:leftChars="200"/>
        <w:rPr>
          <w:rFonts w:hint="eastAsia" w:ascii="仿宋" w:hAnsi="仿宋" w:eastAsia="仿宋" w:cs="仿宋"/>
          <w:color w:val="auto"/>
          <w:sz w:val="28"/>
          <w:szCs w:val="28"/>
        </w:rPr>
      </w:pPr>
      <w:r>
        <w:rPr>
          <w:rFonts w:hint="eastAsia" w:ascii="仿宋" w:hAnsi="仿宋" w:eastAsia="仿宋" w:cs="仿宋"/>
          <w:color w:val="auto"/>
          <w:sz w:val="28"/>
          <w:szCs w:val="28"/>
        </w:rPr>
        <w:t>商务文件</w:t>
      </w:r>
    </w:p>
    <w:p>
      <w:pPr>
        <w:pStyle w:val="16"/>
        <w:numPr>
          <w:ilvl w:val="0"/>
          <w:numId w:val="22"/>
        </w:numPr>
        <w:spacing w:line="500" w:lineRule="exact"/>
        <w:ind w:left="560" w:leftChars="200"/>
        <w:rPr>
          <w:rFonts w:hint="eastAsia" w:ascii="仿宋" w:hAnsi="仿宋" w:eastAsia="仿宋" w:cs="仿宋"/>
          <w:color w:val="auto"/>
          <w:sz w:val="28"/>
          <w:szCs w:val="28"/>
        </w:rPr>
      </w:pPr>
      <w:r>
        <w:rPr>
          <w:rFonts w:hint="eastAsia" w:ascii="仿宋" w:hAnsi="仿宋" w:eastAsia="仿宋" w:cs="仿宋"/>
          <w:color w:val="auto"/>
          <w:sz w:val="28"/>
          <w:szCs w:val="28"/>
        </w:rPr>
        <w:t>技术文件</w:t>
      </w:r>
    </w:p>
    <w:p>
      <w:pPr>
        <w:spacing w:line="500" w:lineRule="exact"/>
        <w:ind w:left="-142" w:firstLine="655" w:firstLineChars="234"/>
        <w:jc w:val="left"/>
        <w:rPr>
          <w:rFonts w:hint="eastAsia" w:ascii="仿宋" w:hAnsi="仿宋" w:eastAsia="仿宋" w:cs="仿宋"/>
          <w:color w:val="auto"/>
          <w:sz w:val="28"/>
          <w:szCs w:val="28"/>
        </w:rPr>
      </w:pPr>
      <w:r>
        <w:rPr>
          <w:rFonts w:hint="eastAsia" w:ascii="仿宋" w:hAnsi="仿宋" w:eastAsia="仿宋" w:cs="仿宋"/>
          <w:color w:val="auto"/>
          <w:sz w:val="28"/>
          <w:szCs w:val="28"/>
        </w:rPr>
        <w:t>据此函，签字代表宣布同意如下：</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后附“开标一览表”中所涉及的货物和服务为我方参加此次投标响应的全部范围。供应商完全理解并同意贵方在开标时根据“开标一览表”（用于唱标）唱标，并完全同意如果“开标一览表”（用于唱标）上的价格与投标文件中的价格不一致，以“开标一览表”（用于唱标）上的价格为准。供应商完全理解并同意开标时未宣读和记录的投标价格和折扣声明在评标时将不予考虑。</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供应商将按招标文件的规定履行合同责任和义务。</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供应商已详细审查全部招标文件，包括第</w:t>
      </w:r>
      <w:r>
        <w:rPr>
          <w:rFonts w:hint="eastAsia" w:ascii="仿宋" w:hAnsi="仿宋" w:eastAsia="仿宋" w:cs="仿宋"/>
          <w:color w:val="auto"/>
          <w:sz w:val="28"/>
          <w:szCs w:val="28"/>
          <w:u w:val="single"/>
        </w:rPr>
        <w:t xml:space="preserve"> （插入编号） </w:t>
      </w:r>
      <w:r>
        <w:rPr>
          <w:rFonts w:hint="eastAsia" w:ascii="仿宋" w:hAnsi="仿宋" w:eastAsia="仿宋" w:cs="仿宋"/>
          <w:color w:val="auto"/>
          <w:sz w:val="28"/>
          <w:szCs w:val="28"/>
        </w:rPr>
        <w:t>（如果有的话）。我们完全理解并同意放弃对这方面有不明及误解的权力。</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本投标有效期为投标截止时间起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个日历日。</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根据供应商须知第2条规定，我方承诺，与采购人聘请的为此项目提供咨询服务的公司及任何附属机构均无关联，我方不是买方或采购人的附属机构。</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供应商同意提供按照贵方要求与其投标有关的一切数据或资料，并保证数据和资料的真实性和合法性；完全理解贵方不一定接受最低价的投标或收到的任何投标。</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供应商是所供硬件和软件的知识产权的合法所有人，或已从其所有人那里得到了适当的授权。</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如我方中标，同意按招标文件的规定向采购代理机构缴纳代理服务费。</w:t>
      </w:r>
    </w:p>
    <w:p>
      <w:pPr>
        <w:numPr>
          <w:ilvl w:val="0"/>
          <w:numId w:val="23"/>
        </w:numPr>
        <w:spacing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rPr>
        <w:t>与本投标有关的一切正式往来信函请寄：</w:t>
      </w:r>
    </w:p>
    <w:p>
      <w:pPr>
        <w:spacing w:line="500" w:lineRule="exact"/>
        <w:jc w:val="left"/>
        <w:rPr>
          <w:rFonts w:hint="eastAsia" w:ascii="仿宋" w:hAnsi="仿宋" w:eastAsia="仿宋" w:cs="仿宋"/>
          <w:color w:val="auto"/>
          <w:sz w:val="28"/>
          <w:szCs w:val="28"/>
        </w:rPr>
      </w:pPr>
    </w:p>
    <w:tbl>
      <w:tblPr>
        <w:tblStyle w:val="30"/>
        <w:tblW w:w="6203" w:type="dxa"/>
        <w:tblInd w:w="843" w:type="dxa"/>
        <w:tblLayout w:type="fixed"/>
        <w:tblCellMar>
          <w:top w:w="0" w:type="dxa"/>
          <w:left w:w="108" w:type="dxa"/>
          <w:bottom w:w="0" w:type="dxa"/>
          <w:right w:w="108" w:type="dxa"/>
        </w:tblCellMar>
      </w:tblPr>
      <w:tblGrid>
        <w:gridCol w:w="3368"/>
        <w:gridCol w:w="2835"/>
      </w:tblGrid>
      <w:tr>
        <w:tblPrEx>
          <w:tblCellMar>
            <w:top w:w="0" w:type="dxa"/>
            <w:left w:w="108" w:type="dxa"/>
            <w:bottom w:w="0" w:type="dxa"/>
            <w:right w:w="108" w:type="dxa"/>
          </w:tblCellMar>
        </w:tblPrEx>
        <w:trPr>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 xml:space="preserve">   地址：</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邮编：</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电话：</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传真：</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电子邮件：</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cantSplit/>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供应商授权代表签字：</w:t>
            </w:r>
          </w:p>
        </w:tc>
        <w:tc>
          <w:tcPr>
            <w:tcW w:w="2835" w:type="dxa"/>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cantSplit/>
          <w:trHeight w:val="500" w:hRule="atLeast"/>
        </w:trPr>
        <w:tc>
          <w:tcPr>
            <w:tcW w:w="3368" w:type="dxa"/>
            <w:vAlign w:val="bottom"/>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供应商授权代表姓名、职务：</w:t>
            </w:r>
          </w:p>
        </w:tc>
        <w:tc>
          <w:tcPr>
            <w:tcW w:w="2835" w:type="dxa"/>
            <w:tcBorders>
              <w:top w:val="single" w:color="auto" w:sz="4" w:space="0"/>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cantSplit/>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供应商名称：</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r>
        <w:tblPrEx>
          <w:tblCellMar>
            <w:top w:w="0" w:type="dxa"/>
            <w:left w:w="108" w:type="dxa"/>
            <w:bottom w:w="0" w:type="dxa"/>
            <w:right w:w="108" w:type="dxa"/>
          </w:tblCellMar>
        </w:tblPrEx>
        <w:trPr>
          <w:cantSplit/>
          <w:trHeight w:val="500" w:hRule="atLeast"/>
        </w:trPr>
        <w:tc>
          <w:tcPr>
            <w:tcW w:w="3368" w:type="dxa"/>
            <w:vAlign w:val="bottom"/>
          </w:tcPr>
          <w:p>
            <w:pPr>
              <w:spacing w:line="500" w:lineRule="exact"/>
              <w:jc w:val="right"/>
              <w:rPr>
                <w:rFonts w:hint="eastAsia" w:ascii="仿宋" w:hAnsi="仿宋" w:eastAsia="仿宋" w:cs="仿宋"/>
                <w:color w:val="auto"/>
                <w:sz w:val="28"/>
                <w:szCs w:val="28"/>
              </w:rPr>
            </w:pPr>
            <w:r>
              <w:rPr>
                <w:rFonts w:hint="eastAsia" w:ascii="仿宋" w:hAnsi="仿宋" w:eastAsia="仿宋" w:cs="仿宋"/>
                <w:color w:val="auto"/>
                <w:sz w:val="28"/>
                <w:szCs w:val="28"/>
              </w:rPr>
              <w:t>公      章：</w:t>
            </w:r>
          </w:p>
        </w:tc>
        <w:tc>
          <w:tcPr>
            <w:tcW w:w="2835" w:type="dxa"/>
            <w:tcBorders>
              <w:bottom w:val="single" w:color="auto" w:sz="4" w:space="0"/>
            </w:tcBorders>
            <w:vAlign w:val="center"/>
          </w:tcPr>
          <w:p>
            <w:pPr>
              <w:spacing w:line="500" w:lineRule="exact"/>
              <w:jc w:val="left"/>
              <w:rPr>
                <w:rFonts w:hint="eastAsia" w:ascii="仿宋" w:hAnsi="仿宋" w:eastAsia="仿宋" w:cs="仿宋"/>
                <w:color w:val="auto"/>
                <w:sz w:val="28"/>
                <w:szCs w:val="28"/>
              </w:rPr>
            </w:pPr>
          </w:p>
        </w:tc>
      </w:tr>
    </w:tbl>
    <w:p>
      <w:pPr>
        <w:spacing w:line="500" w:lineRule="exact"/>
        <w:ind w:left="420"/>
        <w:jc w:val="left"/>
        <w:rPr>
          <w:rFonts w:hint="eastAsia" w:ascii="仿宋" w:hAnsi="仿宋" w:eastAsia="仿宋" w:cs="仿宋"/>
          <w:color w:val="auto"/>
          <w:sz w:val="28"/>
          <w:szCs w:val="28"/>
        </w:rPr>
      </w:pPr>
    </w:p>
    <w:p>
      <w:pPr>
        <w:spacing w:line="500" w:lineRule="exact"/>
        <w:ind w:left="420"/>
        <w:jc w:val="left"/>
        <w:rPr>
          <w:rFonts w:hint="eastAsia" w:ascii="仿宋" w:hAnsi="仿宋" w:eastAsia="仿宋" w:cs="仿宋"/>
          <w:color w:val="auto"/>
          <w:sz w:val="28"/>
          <w:szCs w:val="28"/>
        </w:rPr>
      </w:pPr>
    </w:p>
    <w:p>
      <w:pPr>
        <w:spacing w:line="500" w:lineRule="exact"/>
        <w:ind w:left="420"/>
        <w:jc w:val="left"/>
        <w:rPr>
          <w:rFonts w:hint="eastAsia" w:ascii="仿宋" w:hAnsi="仿宋" w:eastAsia="仿宋" w:cs="仿宋"/>
          <w:color w:val="auto"/>
          <w:sz w:val="28"/>
          <w:szCs w:val="28"/>
        </w:rPr>
      </w:pPr>
    </w:p>
    <w:p>
      <w:pPr>
        <w:spacing w:line="500" w:lineRule="exact"/>
        <w:ind w:left="420"/>
        <w:jc w:val="left"/>
        <w:rPr>
          <w:rFonts w:hint="eastAsia" w:ascii="仿宋" w:hAnsi="仿宋" w:eastAsia="仿宋" w:cs="仿宋"/>
          <w:color w:val="auto"/>
          <w:sz w:val="28"/>
          <w:szCs w:val="28"/>
        </w:rPr>
      </w:pPr>
    </w:p>
    <w:p>
      <w:pPr>
        <w:pStyle w:val="6"/>
        <w:spacing w:line="500" w:lineRule="exact"/>
        <w:jc w:val="both"/>
        <w:rPr>
          <w:rFonts w:hint="eastAsia" w:ascii="仿宋" w:hAnsi="仿宋" w:eastAsia="仿宋" w:cs="仿宋"/>
          <w:color w:val="auto"/>
          <w:sz w:val="28"/>
          <w:szCs w:val="28"/>
        </w:rPr>
        <w:sectPr>
          <w:pgSz w:w="11906" w:h="16838"/>
          <w:pgMar w:top="1440" w:right="1803" w:bottom="1440" w:left="1803" w:header="709" w:footer="709" w:gutter="0"/>
          <w:pgNumType w:fmt="decimal"/>
          <w:cols w:space="0" w:num="1"/>
          <w:rtlGutter w:val="0"/>
          <w:docGrid w:type="lines" w:linePitch="360" w:charSpace="0"/>
        </w:sectPr>
      </w:pPr>
      <w:bookmarkStart w:id="386" w:name="_Toc89058607"/>
      <w:bookmarkStart w:id="387" w:name="_Toc139343631"/>
      <w:bookmarkStart w:id="388" w:name="_Toc229198099"/>
      <w:bookmarkStart w:id="389" w:name="_Toc91477342"/>
      <w:bookmarkStart w:id="390" w:name="_Toc149714223"/>
    </w:p>
    <w:p>
      <w:pPr>
        <w:pStyle w:val="6"/>
        <w:spacing w:line="500" w:lineRule="exact"/>
        <w:jc w:val="center"/>
        <w:rPr>
          <w:rFonts w:ascii="宋体" w:hAnsi="宋体" w:cs="宋体"/>
          <w:color w:val="auto"/>
        </w:rPr>
      </w:pPr>
      <w:bookmarkStart w:id="391" w:name="_Toc439687769"/>
      <w:r>
        <w:rPr>
          <w:rFonts w:hint="eastAsia" w:ascii="宋体" w:hAnsi="宋体" w:cs="宋体"/>
          <w:color w:val="auto"/>
        </w:rPr>
        <w:t>2． 开标一览表</w:t>
      </w:r>
      <w:bookmarkEnd w:id="386"/>
      <w:bookmarkEnd w:id="387"/>
      <w:bookmarkEnd w:id="388"/>
      <w:bookmarkEnd w:id="389"/>
      <w:bookmarkEnd w:id="390"/>
      <w:bookmarkEnd w:id="391"/>
    </w:p>
    <w:p>
      <w:pPr>
        <w:spacing w:line="500" w:lineRule="exact"/>
        <w:ind w:left="314" w:leftChars="112"/>
        <w:jc w:val="left"/>
        <w:rPr>
          <w:rFonts w:hint="default" w:ascii="宋体" w:hAnsi="宋体" w:eastAsia="宋体" w:cs="宋体"/>
          <w:color w:val="auto"/>
          <w:sz w:val="24"/>
          <w:u w:val="single"/>
          <w:lang w:val="en-US" w:eastAsia="zh-CN"/>
        </w:rPr>
      </w:pPr>
      <w:r>
        <w:rPr>
          <w:rFonts w:hint="eastAsia" w:ascii="宋体" w:hAnsi="宋体" w:cs="宋体"/>
          <w:color w:val="auto"/>
          <w:sz w:val="24"/>
        </w:rPr>
        <w:t xml:space="preserve">项目名称：  </w:t>
      </w:r>
      <w:r>
        <w:rPr>
          <w:rFonts w:hint="eastAsia" w:ascii="宋体" w:hAnsi="宋体" w:cs="宋体"/>
          <w:color w:val="auto"/>
          <w:sz w:val="24"/>
          <w:u w:val="single"/>
        </w:rPr>
        <w:t xml:space="preserve">                       </w:t>
      </w:r>
      <w:r>
        <w:rPr>
          <w:rFonts w:hint="eastAsia" w:ascii="宋体" w:hAnsi="宋体" w:cs="宋体"/>
          <w:color w:val="auto"/>
          <w:sz w:val="24"/>
        </w:rPr>
        <w:t xml:space="preserve">          招标编号：</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p>
    <w:p>
      <w:pPr>
        <w:spacing w:line="500" w:lineRule="exact"/>
        <w:ind w:left="314" w:leftChars="112"/>
        <w:jc w:val="left"/>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w:t>
      </w:r>
      <w:r>
        <w:rPr>
          <w:rFonts w:hint="eastAsia" w:ascii="宋体" w:hAnsi="宋体" w:cs="宋体"/>
          <w:color w:val="auto"/>
          <w:sz w:val="24"/>
        </w:rPr>
        <w:t xml:space="preserve">           价格单位：人民币元              </w:t>
      </w:r>
    </w:p>
    <w:tbl>
      <w:tblPr>
        <w:tblStyle w:val="30"/>
        <w:tblpPr w:leftFromText="180" w:rightFromText="180" w:vertAnchor="text" w:horzAnchor="page" w:tblpXSpec="center" w:tblpY="321"/>
        <w:tblOverlap w:val="never"/>
        <w:tblW w:w="13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3067"/>
        <w:gridCol w:w="4533"/>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Align w:val="center"/>
          </w:tcPr>
          <w:p>
            <w:pPr>
              <w:spacing w:line="360" w:lineRule="auto"/>
              <w:jc w:val="center"/>
              <w:rPr>
                <w:rFonts w:ascii="宋体" w:hAnsi="宋体" w:cs="宋体"/>
                <w:color w:val="auto"/>
                <w:sz w:val="24"/>
              </w:rPr>
            </w:pPr>
            <w:r>
              <w:rPr>
                <w:rFonts w:hint="eastAsia" w:ascii="宋体" w:hAnsi="宋体" w:cs="宋体"/>
                <w:color w:val="auto"/>
                <w:sz w:val="24"/>
              </w:rPr>
              <w:t>序号</w:t>
            </w:r>
          </w:p>
        </w:tc>
        <w:tc>
          <w:tcPr>
            <w:tcW w:w="3067" w:type="dxa"/>
            <w:vAlign w:val="center"/>
          </w:tcPr>
          <w:p>
            <w:pPr>
              <w:spacing w:line="360" w:lineRule="auto"/>
              <w:jc w:val="center"/>
              <w:rPr>
                <w:rFonts w:ascii="宋体" w:hAnsi="宋体" w:cs="宋体"/>
                <w:color w:val="auto"/>
                <w:sz w:val="24"/>
              </w:rPr>
            </w:pPr>
            <w:r>
              <w:rPr>
                <w:rFonts w:hint="eastAsia" w:ascii="宋体" w:hAnsi="宋体" w:cs="宋体"/>
                <w:color w:val="auto"/>
                <w:sz w:val="24"/>
              </w:rPr>
              <w:t>采购人</w:t>
            </w:r>
          </w:p>
        </w:tc>
        <w:tc>
          <w:tcPr>
            <w:tcW w:w="4533" w:type="dxa"/>
            <w:vAlign w:val="center"/>
          </w:tcPr>
          <w:p>
            <w:pPr>
              <w:jc w:val="center"/>
              <w:rPr>
                <w:rFonts w:ascii="宋体" w:hAnsi="宋体" w:cs="宋体"/>
                <w:color w:val="auto"/>
                <w:sz w:val="24"/>
              </w:rPr>
            </w:pPr>
            <w:r>
              <w:rPr>
                <w:rFonts w:hint="eastAsia" w:ascii="宋体" w:hAnsi="宋体" w:cs="宋体"/>
                <w:color w:val="auto"/>
                <w:sz w:val="24"/>
              </w:rPr>
              <w:t>投标总报价</w:t>
            </w:r>
          </w:p>
          <w:p>
            <w:pPr>
              <w:spacing w:line="360" w:lineRule="auto"/>
              <w:jc w:val="center"/>
              <w:rPr>
                <w:rFonts w:ascii="宋体" w:hAnsi="宋体" w:cs="宋体"/>
                <w:color w:val="auto"/>
                <w:sz w:val="24"/>
              </w:rPr>
            </w:pPr>
            <w:r>
              <w:rPr>
                <w:rFonts w:hint="eastAsia" w:ascii="宋体" w:hAnsi="宋体" w:cs="宋体"/>
                <w:color w:val="auto"/>
                <w:sz w:val="24"/>
              </w:rPr>
              <w:t>（人民币/元）</w:t>
            </w:r>
          </w:p>
        </w:tc>
        <w:tc>
          <w:tcPr>
            <w:tcW w:w="4538" w:type="dxa"/>
            <w:vAlign w:val="center"/>
          </w:tcPr>
          <w:p>
            <w:pPr>
              <w:spacing w:line="360" w:lineRule="auto"/>
              <w:jc w:val="center"/>
              <w:rPr>
                <w:rFonts w:ascii="宋体" w:hAnsi="宋体" w:cs="宋体"/>
                <w:color w:val="auto"/>
                <w:sz w:val="24"/>
              </w:rPr>
            </w:pPr>
            <w:r>
              <w:rPr>
                <w:rFonts w:hint="eastAsia" w:ascii="宋体" w:hAnsi="宋体" w:cs="宋体"/>
                <w:color w:val="auto"/>
                <w:sz w:val="24"/>
              </w:rPr>
              <w:t>供货完成时间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38"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3067" w:type="dxa"/>
            <w:vAlign w:val="center"/>
          </w:tcPr>
          <w:p>
            <w:pPr>
              <w:spacing w:line="360" w:lineRule="auto"/>
              <w:jc w:val="center"/>
              <w:rPr>
                <w:rFonts w:ascii="宋体" w:hAnsi="宋体" w:cs="宋体"/>
                <w:color w:val="auto"/>
                <w:sz w:val="24"/>
              </w:rPr>
            </w:pPr>
          </w:p>
        </w:tc>
        <w:tc>
          <w:tcPr>
            <w:tcW w:w="4533" w:type="dxa"/>
            <w:vAlign w:val="center"/>
          </w:tcPr>
          <w:p>
            <w:pPr>
              <w:spacing w:line="360" w:lineRule="auto"/>
              <w:jc w:val="center"/>
              <w:rPr>
                <w:rFonts w:ascii="宋体" w:hAnsi="宋体" w:cs="宋体"/>
                <w:color w:val="auto"/>
                <w:sz w:val="24"/>
              </w:rPr>
            </w:pPr>
          </w:p>
        </w:tc>
        <w:tc>
          <w:tcPr>
            <w:tcW w:w="453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3476" w:type="dxa"/>
            <w:gridSpan w:val="4"/>
          </w:tcPr>
          <w:p>
            <w:pPr>
              <w:spacing w:line="360" w:lineRule="auto"/>
              <w:rPr>
                <w:rFonts w:ascii="宋体" w:hAnsi="宋体" w:cs="宋体"/>
                <w:color w:val="auto"/>
                <w:sz w:val="24"/>
              </w:rPr>
            </w:pPr>
            <w:r>
              <w:rPr>
                <w:rFonts w:hint="eastAsia" w:ascii="宋体" w:hAnsi="宋体" w:cs="宋体"/>
                <w:color w:val="auto"/>
                <w:sz w:val="24"/>
              </w:rPr>
              <w:t>总报价（大写）：</w:t>
            </w:r>
          </w:p>
        </w:tc>
      </w:tr>
    </w:tbl>
    <w:p>
      <w:pPr>
        <w:spacing w:line="400" w:lineRule="exact"/>
        <w:ind w:left="-20" w:leftChars="-50" w:hanging="120" w:hangingChars="50"/>
        <w:jc w:val="left"/>
        <w:rPr>
          <w:rFonts w:ascii="宋体" w:hAnsi="宋体" w:cs="宋体"/>
          <w:color w:val="auto"/>
          <w:sz w:val="24"/>
        </w:rPr>
      </w:pPr>
    </w:p>
    <w:p>
      <w:pPr>
        <w:spacing w:line="400" w:lineRule="exact"/>
        <w:rPr>
          <w:rFonts w:ascii="宋体" w:hAnsi="宋体" w:cs="宋体"/>
          <w:color w:val="auto"/>
          <w:sz w:val="24"/>
          <w:u w:val="single"/>
        </w:rPr>
      </w:pPr>
      <w:r>
        <w:rPr>
          <w:rFonts w:hint="eastAsia" w:ascii="宋体" w:hAnsi="宋体" w:cs="宋体"/>
          <w:color w:val="auto"/>
          <w:sz w:val="24"/>
        </w:rPr>
        <w:t>供应商授权代表签字加盖公章：</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spacing w:line="400" w:lineRule="exact"/>
        <w:ind w:left="-20" w:leftChars="-50" w:hanging="120" w:hangingChars="50"/>
        <w:jc w:val="left"/>
        <w:rPr>
          <w:rFonts w:ascii="宋体" w:hAnsi="宋体" w:cs="宋体"/>
          <w:color w:val="auto"/>
          <w:sz w:val="24"/>
          <w:u w:val="single"/>
        </w:rPr>
        <w:sectPr>
          <w:pgSz w:w="16838" w:h="11906" w:orient="landscape"/>
          <w:pgMar w:top="1803" w:right="1440" w:bottom="1803" w:left="1440" w:header="709" w:footer="709" w:gutter="0"/>
          <w:pgNumType w:fmt="decimal"/>
          <w:cols w:space="0" w:num="1"/>
          <w:rtlGutter w:val="0"/>
          <w:docGrid w:type="lines" w:linePitch="360" w:charSpace="0"/>
        </w:sectPr>
      </w:pPr>
      <w:bookmarkStart w:id="392" w:name="_Toc149714224"/>
      <w:bookmarkStart w:id="393" w:name="_Toc91477343"/>
      <w:bookmarkStart w:id="394" w:name="_Toc89058608"/>
      <w:bookmarkStart w:id="395" w:name="_Toc139343632"/>
      <w:bookmarkStart w:id="396" w:name="_Toc469850123"/>
      <w:r>
        <w:rPr>
          <w:rFonts w:hint="eastAsia" w:ascii="宋体" w:hAnsi="宋体" w:cs="宋体"/>
          <w:color w:val="auto"/>
          <w:sz w:val="24"/>
        </w:rPr>
        <w:t xml:space="preserve"> 日  期：</w:t>
      </w:r>
      <w:r>
        <w:rPr>
          <w:rFonts w:hint="eastAsia" w:ascii="宋体" w:hAnsi="宋体" w:cs="宋体"/>
          <w:color w:val="auto"/>
          <w:sz w:val="24"/>
          <w:u w:val="single"/>
        </w:rPr>
        <w:t xml:space="preserve">                  </w:t>
      </w:r>
    </w:p>
    <w:p>
      <w:pPr>
        <w:pStyle w:val="6"/>
        <w:spacing w:line="500" w:lineRule="exact"/>
        <w:ind w:left="141" w:hanging="141" w:hangingChars="44"/>
        <w:jc w:val="center"/>
        <w:rPr>
          <w:rFonts w:ascii="宋体" w:hAnsi="宋体" w:cs="宋体"/>
          <w:color w:val="auto"/>
        </w:rPr>
      </w:pPr>
      <w:bookmarkStart w:id="397" w:name="_Toc229198100"/>
      <w:bookmarkStart w:id="398" w:name="_Toc439687770"/>
      <w:r>
        <w:rPr>
          <w:rFonts w:hint="eastAsia" w:ascii="宋体" w:hAnsi="宋体" w:cs="宋体"/>
          <w:color w:val="auto"/>
          <w:lang w:val="en-US" w:eastAsia="zh-CN"/>
        </w:rPr>
        <w:t>3.</w:t>
      </w:r>
      <w:r>
        <w:rPr>
          <w:rFonts w:hint="eastAsia" w:ascii="宋体" w:hAnsi="宋体" w:cs="宋体"/>
          <w:color w:val="auto"/>
        </w:rPr>
        <w:t>投标分项报价表</w:t>
      </w:r>
      <w:bookmarkEnd w:id="392"/>
      <w:bookmarkEnd w:id="393"/>
      <w:bookmarkEnd w:id="394"/>
      <w:bookmarkEnd w:id="395"/>
      <w:bookmarkEnd w:id="396"/>
      <w:bookmarkEnd w:id="397"/>
      <w:bookmarkEnd w:id="398"/>
    </w:p>
    <w:p>
      <w:pPr>
        <w:pStyle w:val="16"/>
        <w:ind w:left="106" w:right="-521" w:rightChars="-186" w:hanging="105" w:hangingChars="44"/>
        <w:rPr>
          <w:rFonts w:hAnsi="宋体" w:cs="宋体"/>
          <w:color w:val="auto"/>
        </w:rPr>
      </w:pPr>
      <w:r>
        <w:rPr>
          <w:rFonts w:hint="eastAsia" w:hAnsi="宋体" w:cs="宋体"/>
          <w:color w:val="auto"/>
        </w:rPr>
        <w:t>项目名称：</w:t>
      </w:r>
      <w:r>
        <w:rPr>
          <w:rFonts w:hint="eastAsia" w:hAnsi="宋体" w:cs="宋体"/>
          <w:color w:val="auto"/>
          <w:u w:val="single"/>
        </w:rPr>
        <w:t xml:space="preserve">                       </w:t>
      </w:r>
      <w:r>
        <w:rPr>
          <w:rFonts w:hint="eastAsia" w:hAnsi="宋体" w:cs="宋体"/>
          <w:color w:val="auto"/>
        </w:rPr>
        <w:t xml:space="preserve">                             招标编号：</w:t>
      </w:r>
      <w:r>
        <w:rPr>
          <w:rFonts w:hint="eastAsia" w:hAnsi="宋体" w:cs="宋体"/>
          <w:color w:val="auto"/>
          <w:u w:val="single"/>
        </w:rPr>
        <w:t xml:space="preserve">              </w:t>
      </w:r>
      <w:r>
        <w:rPr>
          <w:rFonts w:hint="eastAsia" w:hAnsi="宋体" w:cs="宋体"/>
          <w:color w:val="auto"/>
        </w:rPr>
        <w:t xml:space="preserve">      </w:t>
      </w:r>
    </w:p>
    <w:p>
      <w:pPr>
        <w:pStyle w:val="16"/>
        <w:ind w:right="-521" w:rightChars="-186"/>
        <w:rPr>
          <w:rFonts w:hint="eastAsia" w:hAnsi="宋体" w:cs="宋体"/>
          <w:color w:val="auto"/>
        </w:rPr>
      </w:pPr>
      <w:r>
        <w:rPr>
          <w:rFonts w:hint="eastAsia" w:hAnsi="宋体" w:cs="宋体"/>
          <w:color w:val="auto"/>
        </w:rPr>
        <w:t>供应商名称：</w:t>
      </w:r>
      <w:r>
        <w:rPr>
          <w:rFonts w:hint="eastAsia" w:hAnsi="宋体" w:cs="宋体"/>
          <w:color w:val="auto"/>
          <w:u w:val="single"/>
        </w:rPr>
        <w:t xml:space="preserve">                   </w:t>
      </w:r>
      <w:r>
        <w:rPr>
          <w:rFonts w:hint="eastAsia" w:hAnsi="宋体" w:cs="宋体"/>
          <w:color w:val="auto"/>
        </w:rPr>
        <w:t xml:space="preserve">                               价格单位：</w:t>
      </w:r>
      <w:r>
        <w:rPr>
          <w:rFonts w:hint="eastAsia" w:hAnsi="宋体" w:cs="宋体"/>
          <w:color w:val="auto"/>
          <w:u w:val="single"/>
        </w:rPr>
        <w:t xml:space="preserve">人民币元  </w:t>
      </w:r>
      <w:r>
        <w:rPr>
          <w:rFonts w:hint="eastAsia" w:hAnsi="宋体" w:cs="宋体"/>
          <w:color w:val="auto"/>
        </w:rPr>
        <w:t xml:space="preserve">        </w:t>
      </w:r>
    </w:p>
    <w:p>
      <w:pPr>
        <w:pStyle w:val="11"/>
        <w:rPr>
          <w:rFonts w:hint="eastAsia"/>
          <w:color w:val="auto"/>
        </w:rPr>
      </w:pPr>
    </w:p>
    <w:tbl>
      <w:tblPr>
        <w:tblStyle w:val="30"/>
        <w:tblW w:w="137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9"/>
        <w:gridCol w:w="2569"/>
        <w:gridCol w:w="1761"/>
        <w:gridCol w:w="1761"/>
        <w:gridCol w:w="1416"/>
        <w:gridCol w:w="1474"/>
        <w:gridCol w:w="1870"/>
        <w:gridCol w:w="993"/>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货物名称</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品牌</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规格/型号</w:t>
            </w: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生产厂家</w:t>
            </w: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数量</w:t>
            </w: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单价</w:t>
            </w:r>
          </w:p>
        </w:tc>
        <w:tc>
          <w:tcPr>
            <w:tcW w:w="993" w:type="dxa"/>
            <w:tcBorders>
              <w:top w:val="single" w:color="auto" w:sz="4" w:space="0"/>
              <w:left w:val="single" w:color="auto" w:sz="4" w:space="0"/>
              <w:bottom w:val="single" w:color="auto" w:sz="4" w:space="0"/>
            </w:tcBorders>
            <w:vAlign w:val="center"/>
          </w:tcPr>
          <w:p>
            <w:pPr>
              <w:spacing w:line="420" w:lineRule="exact"/>
              <w:ind w:left="420" w:hanging="480" w:hangingChars="200"/>
              <w:jc w:val="center"/>
              <w:rPr>
                <w:rFonts w:ascii="宋体" w:hAnsi="宋体" w:cs="宋体"/>
                <w:color w:val="auto"/>
                <w:sz w:val="24"/>
                <w:szCs w:val="24"/>
              </w:rPr>
            </w:pPr>
            <w:r>
              <w:rPr>
                <w:rFonts w:hint="eastAsia" w:ascii="宋体" w:hAnsi="宋体" w:cs="宋体"/>
                <w:color w:val="auto"/>
                <w:sz w:val="24"/>
                <w:szCs w:val="24"/>
              </w:rPr>
              <w:t>总价</w:t>
            </w:r>
          </w:p>
        </w:tc>
        <w:tc>
          <w:tcPr>
            <w:tcW w:w="993" w:type="dxa"/>
            <w:tcBorders>
              <w:top w:val="single" w:color="auto" w:sz="4" w:space="0"/>
              <w:left w:val="single" w:color="auto" w:sz="4" w:space="0"/>
              <w:bottom w:val="single" w:color="auto" w:sz="4" w:space="0"/>
            </w:tcBorders>
            <w:vAlign w:val="center"/>
          </w:tcPr>
          <w:p>
            <w:pPr>
              <w:widowControl/>
              <w:spacing w:line="420" w:lineRule="exact"/>
              <w:jc w:val="center"/>
              <w:rPr>
                <w:rFonts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ind w:left="834" w:hanging="715" w:hangingChars="298"/>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税费</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运输费（含保险）</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19" w:type="dxa"/>
            <w:tcBorders>
              <w:top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256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其他</w:t>
            </w: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76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47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187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c>
          <w:tcPr>
            <w:tcW w:w="993" w:type="dxa"/>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488" w:type="dxa"/>
            <w:gridSpan w:val="2"/>
            <w:tcBorders>
              <w:top w:val="single" w:color="auto" w:sz="4" w:space="0"/>
              <w:bottom w:val="single" w:color="auto" w:sz="4" w:space="0"/>
              <w:right w:val="single" w:color="auto" w:sz="4" w:space="0"/>
            </w:tcBorders>
            <w:vAlign w:val="center"/>
          </w:tcPr>
          <w:p>
            <w:pPr>
              <w:spacing w:line="420" w:lineRule="exact"/>
              <w:jc w:val="center"/>
              <w:rPr>
                <w:rFonts w:ascii="宋体" w:hAnsi="宋体" w:cs="宋体"/>
                <w:b/>
                <w:color w:val="auto"/>
                <w:sz w:val="24"/>
                <w:szCs w:val="24"/>
              </w:rPr>
            </w:pPr>
            <w:r>
              <w:rPr>
                <w:rFonts w:hint="eastAsia" w:ascii="宋体" w:hAnsi="宋体" w:cs="宋体"/>
                <w:b/>
                <w:color w:val="auto"/>
                <w:sz w:val="24"/>
                <w:szCs w:val="24"/>
              </w:rPr>
              <w:t>投标总价（人民币元）</w:t>
            </w:r>
          </w:p>
        </w:tc>
        <w:tc>
          <w:tcPr>
            <w:tcW w:w="10268" w:type="dxa"/>
            <w:gridSpan w:val="7"/>
            <w:tcBorders>
              <w:top w:val="single" w:color="auto" w:sz="4" w:space="0"/>
              <w:left w:val="single" w:color="auto" w:sz="4" w:space="0"/>
              <w:bottom w:val="single" w:color="auto" w:sz="4" w:space="0"/>
            </w:tcBorders>
            <w:vAlign w:val="center"/>
          </w:tcPr>
          <w:p>
            <w:pPr>
              <w:spacing w:line="420" w:lineRule="exact"/>
              <w:jc w:val="center"/>
              <w:rPr>
                <w:rFonts w:ascii="宋体" w:hAnsi="宋体" w:cs="宋体"/>
                <w:color w:val="auto"/>
                <w:sz w:val="24"/>
                <w:szCs w:val="24"/>
              </w:rPr>
            </w:pPr>
            <w:r>
              <w:rPr>
                <w:rFonts w:hint="eastAsia" w:ascii="宋体" w:hAnsi="宋体" w:cs="宋体"/>
                <w:color w:val="auto"/>
                <w:sz w:val="24"/>
                <w:szCs w:val="24"/>
              </w:rPr>
              <w:t>大写（小写）</w:t>
            </w:r>
          </w:p>
        </w:tc>
      </w:tr>
    </w:tbl>
    <w:p>
      <w:pPr>
        <w:pStyle w:val="16"/>
        <w:ind w:right="-521" w:rightChars="-186"/>
        <w:rPr>
          <w:rFonts w:hAnsi="宋体" w:cs="宋体"/>
          <w:color w:val="auto"/>
          <w:u w:val="single"/>
        </w:rPr>
      </w:pPr>
      <w:r>
        <w:rPr>
          <w:rFonts w:hint="eastAsia" w:hAnsi="宋体" w:cs="宋体"/>
          <w:color w:val="auto"/>
        </w:rPr>
        <w:t xml:space="preserve">   </w:t>
      </w:r>
    </w:p>
    <w:p>
      <w:pPr>
        <w:tabs>
          <w:tab w:val="left" w:pos="315"/>
        </w:tabs>
        <w:ind w:left="39" w:leftChars="14" w:firstLine="240" w:firstLineChars="100"/>
        <w:rPr>
          <w:rFonts w:ascii="宋体" w:hAnsi="宋体" w:cs="宋体"/>
          <w:color w:val="auto"/>
          <w:sz w:val="24"/>
        </w:rPr>
      </w:pPr>
      <w:bookmarkStart w:id="399" w:name="_Toc439687771"/>
      <w:r>
        <w:rPr>
          <w:rFonts w:hint="eastAsia" w:ascii="宋体" w:hAnsi="宋体" w:cs="宋体"/>
          <w:color w:val="auto"/>
          <w:sz w:val="24"/>
        </w:rPr>
        <w:t>注：1.如果按单价计算的结果与总价不一致，以单价为准修正总价。</w:t>
      </w:r>
    </w:p>
    <w:p>
      <w:pPr>
        <w:ind w:left="-120" w:leftChars="-43" w:firstLine="360" w:firstLineChars="150"/>
        <w:rPr>
          <w:rFonts w:ascii="宋体" w:hAnsi="宋体" w:cs="宋体"/>
          <w:color w:val="auto"/>
          <w:sz w:val="24"/>
        </w:rPr>
      </w:pPr>
      <w:r>
        <w:rPr>
          <w:rFonts w:hint="eastAsia" w:ascii="宋体" w:hAnsi="宋体" w:cs="宋体"/>
          <w:color w:val="auto"/>
          <w:sz w:val="24"/>
        </w:rPr>
        <w:t xml:space="preserve">    2.如果不提供详细分项报价将视为没有实质性响应招标文件。</w:t>
      </w:r>
    </w:p>
    <w:p>
      <w:pPr>
        <w:ind w:left="-120" w:leftChars="-43" w:firstLine="360" w:firstLineChars="150"/>
        <w:rPr>
          <w:rFonts w:hint="default" w:ascii="宋体" w:hAnsi="宋体" w:eastAsia="宋体" w:cs="宋体"/>
          <w:color w:val="auto"/>
          <w:sz w:val="24"/>
          <w:lang w:val="en-US" w:eastAsia="zh-CN"/>
        </w:rPr>
      </w:pPr>
      <w:r>
        <w:rPr>
          <w:rFonts w:hint="eastAsia" w:ascii="宋体" w:hAnsi="宋体" w:cs="宋体"/>
          <w:color w:val="auto"/>
          <w:sz w:val="24"/>
          <w:lang w:val="en-US" w:eastAsia="zh-CN"/>
        </w:rPr>
        <w:t xml:space="preserve">    3.可根据实际情况适当调整表格</w:t>
      </w:r>
    </w:p>
    <w:p>
      <w:pPr>
        <w:ind w:left="-120" w:leftChars="-43" w:firstLine="360" w:firstLineChars="150"/>
        <w:rPr>
          <w:rFonts w:ascii="宋体" w:hAnsi="宋体" w:cs="宋体"/>
          <w:color w:val="auto"/>
          <w:sz w:val="24"/>
          <w:u w:val="single"/>
        </w:rPr>
      </w:pPr>
      <w:r>
        <w:rPr>
          <w:rFonts w:hint="eastAsia" w:ascii="宋体" w:hAnsi="宋体" w:cs="宋体"/>
          <w:color w:val="auto"/>
          <w:sz w:val="24"/>
        </w:rPr>
        <w:t>供应商授权代表签字加盖公章：</w:t>
      </w:r>
      <w:r>
        <w:rPr>
          <w:rFonts w:hint="eastAsia" w:ascii="宋体" w:hAnsi="宋体" w:cs="宋体"/>
          <w:color w:val="auto"/>
          <w:sz w:val="24"/>
          <w:u w:val="single"/>
        </w:rPr>
        <w:t xml:space="preserve">                   </w:t>
      </w:r>
    </w:p>
    <w:p>
      <w:pPr>
        <w:tabs>
          <w:tab w:val="left" w:pos="315"/>
        </w:tabs>
        <w:ind w:left="39" w:leftChars="14" w:firstLine="240" w:firstLineChars="100"/>
        <w:rPr>
          <w:rFonts w:ascii="宋体" w:hAnsi="宋体" w:cs="宋体"/>
          <w:color w:val="auto"/>
          <w:sz w:val="24"/>
          <w:u w:val="single"/>
        </w:rPr>
      </w:pPr>
      <w:r>
        <w:rPr>
          <w:rFonts w:hint="eastAsia" w:ascii="宋体" w:hAnsi="宋体" w:cs="宋体"/>
          <w:color w:val="auto"/>
          <w:sz w:val="24"/>
        </w:rPr>
        <w:t>日期：</w:t>
      </w:r>
      <w:r>
        <w:rPr>
          <w:rFonts w:hint="eastAsia" w:ascii="宋体" w:hAnsi="宋体" w:cs="宋体"/>
          <w:color w:val="auto"/>
          <w:sz w:val="24"/>
          <w:u w:val="single"/>
        </w:rPr>
        <w:t xml:space="preserve">                </w:t>
      </w:r>
    </w:p>
    <w:p>
      <w:pPr>
        <w:tabs>
          <w:tab w:val="left" w:pos="315"/>
        </w:tabs>
        <w:ind w:left="39" w:leftChars="14" w:firstLine="240" w:firstLineChars="100"/>
        <w:rPr>
          <w:rFonts w:ascii="宋体" w:hAnsi="宋体" w:cs="宋体"/>
          <w:color w:val="auto"/>
          <w:sz w:val="24"/>
          <w:u w:val="single"/>
        </w:rPr>
        <w:sectPr>
          <w:headerReference r:id="rId11" w:type="first"/>
          <w:pgSz w:w="16838" w:h="11906" w:orient="landscape"/>
          <w:pgMar w:top="1803" w:right="1440" w:bottom="1803" w:left="1440" w:header="709" w:footer="709" w:gutter="0"/>
          <w:pgNumType w:fmt="decimal"/>
          <w:cols w:space="0" w:num="1"/>
          <w:rtlGutter w:val="0"/>
          <w:docGrid w:type="lines" w:linePitch="360" w:charSpace="0"/>
        </w:sectPr>
      </w:pPr>
    </w:p>
    <w:p>
      <w:pPr>
        <w:pStyle w:val="6"/>
        <w:spacing w:line="380" w:lineRule="exact"/>
        <w:jc w:val="center"/>
        <w:rPr>
          <w:rFonts w:ascii="宋体" w:hAnsi="宋体" w:cs="宋体"/>
          <w:color w:val="auto"/>
        </w:rPr>
      </w:pPr>
      <w:r>
        <w:rPr>
          <w:rFonts w:hint="eastAsia" w:ascii="宋体" w:hAnsi="宋体" w:cs="宋体"/>
          <w:color w:val="auto"/>
        </w:rPr>
        <w:t>4． 法定代表人身份证明和法定代表人授权书</w:t>
      </w:r>
      <w:bookmarkEnd w:id="399"/>
    </w:p>
    <w:p>
      <w:pPr>
        <w:spacing w:line="380" w:lineRule="exact"/>
        <w:jc w:val="center"/>
        <w:rPr>
          <w:rFonts w:ascii="宋体" w:hAnsi="宋体" w:cs="宋体"/>
          <w:b/>
          <w:bCs/>
          <w:color w:val="auto"/>
          <w:sz w:val="32"/>
          <w:szCs w:val="32"/>
        </w:rPr>
      </w:pPr>
    </w:p>
    <w:p>
      <w:pPr>
        <w:spacing w:line="380" w:lineRule="exact"/>
        <w:jc w:val="center"/>
        <w:rPr>
          <w:rFonts w:ascii="宋体" w:hAnsi="宋体" w:cs="宋体"/>
          <w:b/>
          <w:bCs/>
          <w:color w:val="auto"/>
          <w:sz w:val="32"/>
          <w:szCs w:val="32"/>
        </w:rPr>
      </w:pPr>
      <w:r>
        <w:rPr>
          <w:rFonts w:hint="eastAsia" w:ascii="宋体" w:hAnsi="宋体" w:cs="宋体"/>
          <w:b/>
          <w:bCs/>
          <w:color w:val="auto"/>
          <w:sz w:val="32"/>
          <w:szCs w:val="32"/>
        </w:rPr>
        <w:t>（一）法定代表人身份证明</w:t>
      </w:r>
    </w:p>
    <w:p>
      <w:pPr>
        <w:pStyle w:val="12"/>
        <w:tabs>
          <w:tab w:val="left" w:pos="4778"/>
        </w:tabs>
        <w:spacing w:line="380" w:lineRule="exact"/>
        <w:ind w:left="158"/>
        <w:rPr>
          <w:rFonts w:ascii="宋体" w:hAnsi="宋体" w:cs="宋体"/>
          <w:color w:val="auto"/>
        </w:rPr>
      </w:pPr>
    </w:p>
    <w:p>
      <w:pPr>
        <w:pStyle w:val="12"/>
        <w:tabs>
          <w:tab w:val="left" w:pos="4778"/>
        </w:tabs>
        <w:spacing w:line="300" w:lineRule="exact"/>
        <w:ind w:left="158"/>
        <w:rPr>
          <w:rFonts w:ascii="宋体" w:hAnsi="宋体" w:cs="宋体"/>
          <w:color w:val="auto"/>
        </w:rPr>
      </w:pPr>
      <w:r>
        <w:rPr>
          <w:rFonts w:hint="eastAsia" w:ascii="宋体" w:hAnsi="宋体" w:cs="宋体"/>
          <w:color w:val="auto"/>
        </w:rPr>
        <w:t>供应商名称：</w:t>
      </w:r>
      <w:r>
        <w:rPr>
          <w:rFonts w:hint="eastAsia" w:ascii="宋体" w:hAnsi="宋体" w:cs="宋体"/>
          <w:color w:val="auto"/>
          <w:u w:val="single"/>
        </w:rPr>
        <w:tab/>
      </w:r>
    </w:p>
    <w:p>
      <w:pPr>
        <w:pStyle w:val="12"/>
        <w:spacing w:line="300" w:lineRule="exact"/>
        <w:rPr>
          <w:rFonts w:ascii="宋体" w:hAnsi="宋体" w:cs="宋体"/>
          <w:color w:val="auto"/>
          <w:sz w:val="13"/>
        </w:rPr>
      </w:pPr>
    </w:p>
    <w:p>
      <w:pPr>
        <w:pStyle w:val="12"/>
        <w:tabs>
          <w:tab w:val="left" w:pos="4778"/>
        </w:tabs>
        <w:spacing w:before="36" w:line="300" w:lineRule="exact"/>
        <w:ind w:left="158"/>
        <w:rPr>
          <w:rFonts w:ascii="宋体" w:hAnsi="宋体" w:cs="宋体"/>
          <w:color w:val="auto"/>
        </w:rPr>
      </w:pPr>
      <w:r>
        <w:rPr>
          <w:rFonts w:hint="eastAsia" w:ascii="宋体" w:hAnsi="宋体" w:cs="宋体"/>
          <w:color w:val="auto"/>
        </w:rPr>
        <w:t>单位性质：</w:t>
      </w:r>
      <w:r>
        <w:rPr>
          <w:rFonts w:hint="eastAsia" w:ascii="宋体" w:hAnsi="宋体" w:cs="宋体"/>
          <w:color w:val="auto"/>
          <w:u w:val="single"/>
        </w:rPr>
        <w:tab/>
      </w:r>
    </w:p>
    <w:p>
      <w:pPr>
        <w:pStyle w:val="12"/>
        <w:spacing w:line="300" w:lineRule="exact"/>
        <w:rPr>
          <w:rFonts w:ascii="宋体" w:hAnsi="宋体" w:cs="宋体"/>
          <w:color w:val="auto"/>
          <w:sz w:val="13"/>
        </w:rPr>
      </w:pPr>
    </w:p>
    <w:p>
      <w:pPr>
        <w:pStyle w:val="12"/>
        <w:tabs>
          <w:tab w:val="left" w:pos="789"/>
          <w:tab w:val="left" w:pos="4778"/>
        </w:tabs>
        <w:spacing w:before="36" w:line="300" w:lineRule="exact"/>
        <w:ind w:left="158"/>
        <w:rPr>
          <w:rFonts w:ascii="宋体" w:hAnsi="宋体" w:cs="宋体"/>
          <w:color w:val="auto"/>
        </w:rPr>
      </w:pPr>
      <w:r>
        <w:rPr>
          <w:rFonts w:hint="eastAsia" w:ascii="宋体" w:hAnsi="宋体" w:cs="宋体"/>
          <w:color w:val="auto"/>
        </w:rPr>
        <w:t>地</w:t>
      </w:r>
      <w:r>
        <w:rPr>
          <w:rFonts w:hint="eastAsia" w:ascii="宋体" w:hAnsi="宋体" w:cs="宋体"/>
          <w:color w:val="auto"/>
        </w:rPr>
        <w:tab/>
      </w:r>
      <w:r>
        <w:rPr>
          <w:rFonts w:hint="eastAsia" w:ascii="宋体" w:hAnsi="宋体" w:cs="宋体"/>
          <w:color w:val="auto"/>
        </w:rPr>
        <w:t>址：</w:t>
      </w:r>
      <w:r>
        <w:rPr>
          <w:rFonts w:hint="eastAsia" w:ascii="宋体" w:hAnsi="宋体" w:cs="宋体"/>
          <w:color w:val="auto"/>
          <w:u w:val="single"/>
        </w:rPr>
        <w:tab/>
      </w:r>
    </w:p>
    <w:p>
      <w:pPr>
        <w:pStyle w:val="12"/>
        <w:spacing w:line="300" w:lineRule="exact"/>
        <w:rPr>
          <w:rFonts w:ascii="宋体" w:hAnsi="宋体" w:cs="宋体"/>
          <w:color w:val="auto"/>
          <w:sz w:val="13"/>
        </w:rPr>
      </w:pPr>
    </w:p>
    <w:p>
      <w:pPr>
        <w:pStyle w:val="12"/>
        <w:tabs>
          <w:tab w:val="left" w:pos="2370"/>
          <w:tab w:val="left" w:pos="3525"/>
        </w:tabs>
        <w:spacing w:before="36" w:line="300" w:lineRule="exact"/>
        <w:ind w:left="158"/>
        <w:rPr>
          <w:rFonts w:ascii="宋体" w:hAnsi="宋体" w:cs="宋体"/>
          <w:color w:val="auto"/>
        </w:rPr>
      </w:pPr>
      <w:r>
        <w:rPr>
          <w:rFonts w:hint="eastAsia" w:ascii="宋体" w:hAnsi="宋体" w:cs="宋体"/>
          <w:color w:val="auto"/>
        </w:rPr>
        <w:t>成立时间：</w:t>
      </w:r>
      <w:r>
        <w:rPr>
          <w:rFonts w:hint="eastAsia" w:ascii="宋体" w:hAnsi="宋体" w:cs="宋体"/>
          <w:color w:val="auto"/>
          <w:u w:val="single"/>
        </w:rPr>
        <w:tab/>
      </w:r>
      <w:r>
        <w:rPr>
          <w:rFonts w:hint="eastAsia" w:ascii="宋体" w:hAnsi="宋体" w:cs="宋体"/>
          <w:color w:val="auto"/>
        </w:rPr>
        <w:t xml:space="preserve">年 </w:t>
      </w:r>
      <w:r>
        <w:rPr>
          <w:rFonts w:hint="eastAsia" w:ascii="宋体" w:hAnsi="宋体" w:cs="宋体"/>
          <w:color w:val="auto"/>
          <w:u w:val="single"/>
        </w:rPr>
        <w:tab/>
      </w:r>
      <w:r>
        <w:rPr>
          <w:rFonts w:hint="eastAsia" w:ascii="宋体" w:hAnsi="宋体" w:cs="宋体"/>
          <w:color w:val="auto"/>
        </w:rPr>
        <w:t>月</w:t>
      </w:r>
      <w:r>
        <w:rPr>
          <w:rFonts w:hint="eastAsia" w:ascii="宋体" w:hAnsi="宋体" w:cs="宋体"/>
          <w:color w:val="auto"/>
          <w:u w:val="single"/>
        </w:rPr>
        <w:tab/>
      </w:r>
      <w:r>
        <w:rPr>
          <w:rFonts w:hint="eastAsia" w:ascii="宋体" w:hAnsi="宋体" w:cs="宋体"/>
          <w:color w:val="auto"/>
          <w:u w:val="single"/>
        </w:rPr>
        <w:t xml:space="preserve">        </w:t>
      </w:r>
      <w:r>
        <w:rPr>
          <w:rFonts w:hint="eastAsia" w:ascii="宋体" w:hAnsi="宋体" w:cs="宋体"/>
          <w:color w:val="auto"/>
        </w:rPr>
        <w:t>日</w:t>
      </w:r>
    </w:p>
    <w:p>
      <w:pPr>
        <w:pStyle w:val="12"/>
        <w:spacing w:before="5" w:line="300" w:lineRule="exact"/>
        <w:rPr>
          <w:rFonts w:ascii="宋体" w:hAnsi="宋体" w:cs="宋体"/>
          <w:color w:val="auto"/>
          <w:sz w:val="11"/>
        </w:rPr>
      </w:pPr>
    </w:p>
    <w:p>
      <w:pPr>
        <w:pStyle w:val="12"/>
        <w:tabs>
          <w:tab w:val="left" w:pos="2783"/>
          <w:tab w:val="left" w:pos="3945"/>
          <w:tab w:val="left" w:pos="4995"/>
          <w:tab w:val="left" w:pos="6775"/>
        </w:tabs>
        <w:spacing w:before="37" w:line="300" w:lineRule="exact"/>
        <w:ind w:left="158"/>
        <w:rPr>
          <w:rFonts w:ascii="宋体" w:hAnsi="宋体" w:cs="宋体"/>
          <w:color w:val="auto"/>
        </w:rPr>
      </w:pPr>
      <w:r>
        <w:rPr>
          <w:rFonts w:hint="eastAsia" w:ascii="宋体" w:hAnsi="宋体" w:cs="宋体"/>
          <w:color w:val="auto"/>
        </w:rPr>
        <w:t>姓名：</w:t>
      </w:r>
      <w:r>
        <w:rPr>
          <w:rFonts w:hint="eastAsia" w:ascii="宋体" w:hAnsi="宋体" w:cs="宋体"/>
          <w:color w:val="auto"/>
          <w:u w:val="single"/>
        </w:rPr>
        <w:tab/>
      </w:r>
      <w:r>
        <w:rPr>
          <w:rFonts w:hint="eastAsia" w:ascii="宋体" w:hAnsi="宋体" w:cs="宋体"/>
          <w:color w:val="auto"/>
        </w:rPr>
        <w:t>性别：</w:t>
      </w:r>
      <w:r>
        <w:rPr>
          <w:rFonts w:hint="eastAsia" w:ascii="宋体" w:hAnsi="宋体" w:cs="宋体"/>
          <w:color w:val="auto"/>
          <w:u w:val="single"/>
        </w:rPr>
        <w:tab/>
      </w:r>
      <w:r>
        <w:rPr>
          <w:rFonts w:hint="eastAsia" w:ascii="宋体" w:hAnsi="宋体" w:cs="宋体"/>
          <w:color w:val="auto"/>
          <w:u w:val="single"/>
          <w:lang w:val="en-US" w:eastAsia="zh-CN"/>
        </w:rPr>
        <w:t xml:space="preserve">     </w:t>
      </w:r>
      <w:r>
        <w:rPr>
          <w:rFonts w:hint="eastAsia" w:ascii="宋体" w:hAnsi="宋体" w:cs="宋体"/>
          <w:color w:val="auto"/>
        </w:rPr>
        <w:t>年龄：</w:t>
      </w:r>
      <w:r>
        <w:rPr>
          <w:rFonts w:hint="eastAsia" w:ascii="宋体" w:hAnsi="宋体" w:cs="宋体"/>
          <w:color w:val="auto"/>
          <w:u w:val="single"/>
        </w:rPr>
        <w:tab/>
      </w:r>
      <w:r>
        <w:rPr>
          <w:rFonts w:hint="eastAsia" w:ascii="宋体" w:hAnsi="宋体" w:cs="宋体"/>
          <w:color w:val="auto"/>
        </w:rPr>
        <w:t>职务：</w:t>
      </w:r>
      <w:r>
        <w:rPr>
          <w:rFonts w:hint="eastAsia" w:ascii="宋体" w:hAnsi="宋体" w:cs="宋体"/>
          <w:color w:val="auto"/>
          <w:u w:val="single"/>
        </w:rPr>
        <w:tab/>
      </w:r>
    </w:p>
    <w:p>
      <w:pPr>
        <w:pStyle w:val="12"/>
        <w:spacing w:line="300" w:lineRule="exact"/>
        <w:rPr>
          <w:rFonts w:ascii="宋体" w:hAnsi="宋体" w:cs="宋体"/>
          <w:color w:val="auto"/>
          <w:sz w:val="13"/>
        </w:rPr>
      </w:pPr>
    </w:p>
    <w:p>
      <w:pPr>
        <w:pStyle w:val="12"/>
        <w:tabs>
          <w:tab w:val="left" w:pos="2363"/>
        </w:tabs>
        <w:spacing w:before="36" w:line="300" w:lineRule="exact"/>
        <w:ind w:left="158"/>
        <w:rPr>
          <w:rFonts w:ascii="宋体" w:hAnsi="宋体" w:cs="宋体"/>
          <w:color w:val="auto"/>
        </w:rPr>
      </w:pPr>
      <w:r>
        <w:rPr>
          <w:rFonts w:hint="eastAsia" w:ascii="宋体" w:hAnsi="宋体" w:cs="宋体"/>
          <w:color w:val="auto"/>
        </w:rPr>
        <w:t>系</w:t>
      </w:r>
      <w:r>
        <w:rPr>
          <w:rFonts w:hint="eastAsia" w:ascii="宋体" w:hAnsi="宋体" w:cs="宋体"/>
          <w:color w:val="auto"/>
          <w:u w:val="single"/>
        </w:rPr>
        <w:tab/>
      </w:r>
      <w:r>
        <w:rPr>
          <w:rFonts w:hint="eastAsia" w:ascii="宋体" w:hAnsi="宋体" w:cs="宋体"/>
          <w:color w:val="auto"/>
          <w:u w:val="single"/>
        </w:rPr>
        <w:t>（供应商名称）</w:t>
      </w:r>
      <w:r>
        <w:rPr>
          <w:rFonts w:hint="eastAsia" w:ascii="宋体" w:hAnsi="宋体" w:cs="宋体"/>
          <w:color w:val="auto"/>
        </w:rPr>
        <w:t>的法定代表人。</w:t>
      </w:r>
    </w:p>
    <w:p>
      <w:pPr>
        <w:spacing w:line="300" w:lineRule="exact"/>
        <w:rPr>
          <w:rFonts w:ascii="宋体" w:hAnsi="宋体" w:cs="宋体"/>
          <w:color w:val="auto"/>
        </w:rPr>
      </w:pPr>
    </w:p>
    <w:p>
      <w:pPr>
        <w:pStyle w:val="12"/>
        <w:spacing w:before="36" w:line="300" w:lineRule="exact"/>
        <w:ind w:left="158"/>
        <w:rPr>
          <w:rFonts w:ascii="宋体" w:hAnsi="宋体" w:cs="宋体"/>
          <w:color w:val="auto"/>
        </w:rPr>
      </w:pPr>
      <w:r>
        <w:rPr>
          <w:rFonts w:hint="eastAsia" w:ascii="宋体" w:hAnsi="宋体" w:cs="宋体"/>
          <w:color w:val="auto"/>
        </w:rPr>
        <w:t>特此证明。</w:t>
      </w:r>
    </w:p>
    <w:p>
      <w:pPr>
        <w:pStyle w:val="12"/>
        <w:spacing w:line="300" w:lineRule="exact"/>
        <w:rPr>
          <w:rFonts w:ascii="宋体" w:hAnsi="宋体" w:cs="宋体"/>
          <w:color w:val="auto"/>
          <w:sz w:val="20"/>
        </w:rPr>
      </w:pPr>
    </w:p>
    <w:p>
      <w:pPr>
        <w:pStyle w:val="12"/>
        <w:tabs>
          <w:tab w:val="left" w:pos="6458"/>
        </w:tabs>
        <w:spacing w:before="37" w:line="300" w:lineRule="exact"/>
        <w:ind w:left="3518"/>
        <w:rPr>
          <w:rFonts w:ascii="宋体" w:hAnsi="宋体" w:cs="宋体"/>
          <w:color w:val="auto"/>
        </w:rPr>
      </w:pPr>
      <w:r>
        <w:rPr>
          <w:rFonts w:hint="eastAsia" w:ascii="宋体" w:hAnsi="宋体" w:cs="宋体"/>
          <w:color w:val="auto"/>
        </w:rPr>
        <w:t>供应商：</w:t>
      </w:r>
      <w:r>
        <w:rPr>
          <w:rFonts w:hint="eastAsia" w:ascii="宋体" w:hAnsi="宋体" w:cs="宋体"/>
          <w:color w:val="auto"/>
          <w:u w:val="single"/>
        </w:rPr>
        <w:tab/>
      </w:r>
      <w:r>
        <w:rPr>
          <w:rFonts w:hint="eastAsia" w:ascii="宋体" w:hAnsi="宋体" w:cs="宋体"/>
          <w:color w:val="auto"/>
        </w:rPr>
        <w:t>（盖单位章）</w:t>
      </w:r>
    </w:p>
    <w:p>
      <w:pPr>
        <w:pStyle w:val="12"/>
        <w:spacing w:line="300" w:lineRule="exact"/>
        <w:rPr>
          <w:rFonts w:ascii="宋体" w:hAnsi="宋体" w:cs="宋体"/>
          <w:color w:val="auto"/>
          <w:sz w:val="20"/>
        </w:rPr>
      </w:pPr>
    </w:p>
    <w:p>
      <w:pPr>
        <w:pStyle w:val="12"/>
        <w:tabs>
          <w:tab w:val="left" w:pos="6040"/>
          <w:tab w:val="left" w:pos="6885"/>
          <w:tab w:val="left" w:pos="7725"/>
        </w:tabs>
        <w:spacing w:before="37" w:line="300" w:lineRule="exact"/>
        <w:ind w:firstLine="5520" w:firstLineChars="2300"/>
        <w:rPr>
          <w:rFonts w:ascii="宋体" w:hAnsi="宋体" w:cs="宋体"/>
          <w:color w:val="auto"/>
        </w:rPr>
      </w:pPr>
      <w:r>
        <w:rPr>
          <w:rFonts w:hint="eastAsia" w:ascii="宋体" w:hAnsi="宋体" w:cs="宋体"/>
          <w:color w:val="auto"/>
          <w:u w:val="single"/>
        </w:rPr>
        <w:tab/>
      </w:r>
      <w:r>
        <w:rPr>
          <w:rFonts w:hint="eastAsia" w:ascii="宋体" w:hAnsi="宋体" w:cs="宋体"/>
          <w:color w:val="auto"/>
          <w:spacing w:val="-3"/>
        </w:rPr>
        <w:t>年</w:t>
      </w:r>
      <w:r>
        <w:rPr>
          <w:rFonts w:hint="eastAsia" w:ascii="宋体" w:hAnsi="宋体" w:cs="宋体"/>
          <w:color w:val="auto"/>
          <w:spacing w:val="-3"/>
          <w:u w:val="single"/>
        </w:rPr>
        <w:tab/>
      </w:r>
      <w:r>
        <w:rPr>
          <w:rFonts w:hint="eastAsia" w:ascii="宋体" w:hAnsi="宋体" w:cs="宋体"/>
          <w:color w:val="auto"/>
        </w:rPr>
        <w:t>月</w:t>
      </w:r>
      <w:r>
        <w:rPr>
          <w:rFonts w:hint="eastAsia" w:ascii="宋体" w:hAnsi="宋体" w:cs="宋体"/>
          <w:color w:val="auto"/>
          <w:u w:val="single"/>
        </w:rPr>
        <w:tab/>
      </w:r>
      <w:r>
        <w:rPr>
          <w:rFonts w:hint="eastAsia" w:ascii="宋体" w:hAnsi="宋体" w:cs="宋体"/>
          <w:color w:val="auto"/>
        </w:rPr>
        <w:t>日</w:t>
      </w:r>
    </w:p>
    <w:p>
      <w:pPr>
        <w:pStyle w:val="12"/>
        <w:spacing w:before="5" w:line="380" w:lineRule="exact"/>
        <w:rPr>
          <w:rFonts w:ascii="宋体" w:hAnsi="宋体" w:cs="宋体"/>
          <w:color w:val="auto"/>
          <w:sz w:val="11"/>
        </w:rPr>
      </w:pPr>
    </w:p>
    <w:p>
      <w:pPr>
        <w:pStyle w:val="12"/>
        <w:spacing w:before="37"/>
        <w:ind w:left="158"/>
        <w:rPr>
          <w:rFonts w:ascii="宋体" w:hAnsi="宋体" w:cs="宋体"/>
          <w:color w:val="auto"/>
        </w:rPr>
      </w:pPr>
      <w:r>
        <w:rPr>
          <w:rFonts w:hint="eastAsia" w:ascii="宋体" w:hAnsi="宋体" w:cs="宋体"/>
          <w:color w:val="auto"/>
        </w:rPr>
        <w:t>法定</w:t>
      </w:r>
      <w:r>
        <w:rPr>
          <w:rFonts w:hint="eastAsia" w:ascii="宋体" w:hAnsi="宋体" w:cs="宋体"/>
          <w:color w:val="auto"/>
          <w:spacing w:val="-3"/>
        </w:rPr>
        <w:t>代</w:t>
      </w:r>
      <w:r>
        <w:rPr>
          <w:rFonts w:hint="eastAsia" w:ascii="宋体" w:hAnsi="宋体" w:cs="宋体"/>
          <w:color w:val="auto"/>
        </w:rPr>
        <w:t>表</w:t>
      </w:r>
      <w:r>
        <w:rPr>
          <w:rFonts w:hint="eastAsia" w:ascii="宋体" w:hAnsi="宋体" w:cs="宋体"/>
          <w:color w:val="auto"/>
          <w:spacing w:val="-3"/>
        </w:rPr>
        <w:t>人</w:t>
      </w:r>
      <w:r>
        <w:rPr>
          <w:rFonts w:hint="eastAsia" w:ascii="宋体" w:hAnsi="宋体" w:cs="宋体"/>
          <w:color w:val="auto"/>
        </w:rPr>
        <w:t>身</w:t>
      </w:r>
      <w:r>
        <w:rPr>
          <w:rFonts w:hint="eastAsia" w:ascii="宋体" w:hAnsi="宋体" w:cs="宋体"/>
          <w:color w:val="auto"/>
          <w:spacing w:val="-3"/>
        </w:rPr>
        <w:t>份</w:t>
      </w:r>
      <w:r>
        <w:rPr>
          <w:rFonts w:hint="eastAsia" w:ascii="宋体" w:hAnsi="宋体" w:cs="宋体"/>
          <w:color w:val="auto"/>
        </w:rPr>
        <w:t>证</w:t>
      </w:r>
      <w:r>
        <w:rPr>
          <w:rFonts w:hint="eastAsia" w:ascii="宋体" w:hAnsi="宋体" w:cs="宋体"/>
          <w:color w:val="auto"/>
          <w:spacing w:val="-3"/>
        </w:rPr>
        <w:t>复</w:t>
      </w:r>
      <w:r>
        <w:rPr>
          <w:rFonts w:hint="eastAsia" w:ascii="宋体" w:hAnsi="宋体" w:cs="宋体"/>
          <w:color w:val="auto"/>
        </w:rPr>
        <w:t>印</w:t>
      </w:r>
      <w:r>
        <w:rPr>
          <w:rFonts w:hint="eastAsia" w:ascii="宋体" w:hAnsi="宋体" w:cs="宋体"/>
          <w:color w:val="auto"/>
          <w:spacing w:val="-3"/>
        </w:rPr>
        <w:t>件</w:t>
      </w:r>
      <w:r>
        <w:rPr>
          <w:rFonts w:hint="eastAsia" w:ascii="宋体" w:hAnsi="宋体" w:cs="宋体"/>
          <w:color w:val="auto"/>
        </w:rPr>
        <w:t>（正</w:t>
      </w:r>
      <w:r>
        <w:rPr>
          <w:rFonts w:hint="eastAsia" w:ascii="宋体" w:hAnsi="宋体" w:cs="宋体"/>
          <w:color w:val="auto"/>
          <w:spacing w:val="-3"/>
        </w:rPr>
        <w:t>反</w:t>
      </w:r>
      <w:r>
        <w:rPr>
          <w:rFonts w:hint="eastAsia" w:ascii="宋体" w:hAnsi="宋体" w:cs="宋体"/>
          <w:color w:val="auto"/>
        </w:rPr>
        <w:t>面</w:t>
      </w:r>
      <w:r>
        <w:rPr>
          <w:rFonts w:hint="eastAsia" w:ascii="宋体" w:hAnsi="宋体" w:cs="宋体"/>
          <w:color w:val="auto"/>
          <w:spacing w:val="-108"/>
        </w:rPr>
        <w:t>）</w:t>
      </w:r>
      <w:r>
        <w:rPr>
          <w:rFonts w:hint="eastAsia" w:ascii="宋体" w:hAnsi="宋体" w:cs="宋体"/>
          <w:color w:val="auto"/>
        </w:rPr>
        <w:t>：</w:t>
      </w:r>
    </w:p>
    <w:p>
      <w:pPr>
        <w:pStyle w:val="12"/>
        <w:rPr>
          <w:rFonts w:ascii="宋体" w:hAnsi="宋体" w:cs="宋体"/>
          <w:color w:val="auto"/>
          <w:sz w:val="20"/>
        </w:rPr>
      </w:pPr>
    </w:p>
    <w:p>
      <w:pPr>
        <w:pStyle w:val="12"/>
        <w:spacing w:before="12"/>
        <w:rPr>
          <w:rFonts w:ascii="宋体" w:hAnsi="宋体" w:cs="宋体"/>
          <w:color w:val="auto"/>
          <w:sz w:val="10"/>
        </w:rPr>
      </w:pPr>
      <w:r>
        <w:rPr>
          <w:rFonts w:ascii="宋体" w:hAnsi="宋体" w:cs="宋体"/>
          <w:color w:val="auto"/>
          <w:sz w:val="21"/>
        </w:rPr>
        <mc:AlternateContent>
          <mc:Choice Requires="wps">
            <w:drawing>
              <wp:anchor distT="0" distB="0" distL="114300" distR="114300" simplePos="0" relativeHeight="251660288" behindDoc="0" locked="0" layoutInCell="1" allowOverlap="1">
                <wp:simplePos x="0" y="0"/>
                <wp:positionH relativeFrom="page">
                  <wp:posOffset>4208145</wp:posOffset>
                </wp:positionH>
                <wp:positionV relativeFrom="paragraph">
                  <wp:posOffset>120650</wp:posOffset>
                </wp:positionV>
                <wp:extent cx="2675255" cy="1979930"/>
                <wp:effectExtent l="4445" t="4445" r="6350" b="15875"/>
                <wp:wrapTopAndBottom/>
                <wp:docPr id="2" name="自选图形 2"/>
                <wp:cNvGraphicFramePr/>
                <a:graphic xmlns:a="http://schemas.openxmlformats.org/drawingml/2006/main">
                  <a:graphicData uri="http://schemas.microsoft.com/office/word/2010/wordprocessingShape">
                    <wps:wsp>
                      <wps:cNvSpPr/>
                      <wps:spPr>
                        <a:xfrm>
                          <a:off x="0" y="0"/>
                          <a:ext cx="2675255" cy="1979930"/>
                        </a:xfrm>
                        <a:custGeom>
                          <a:avLst/>
                          <a:gdLst>
                            <a:gd name="A1" fmla="val 0"/>
                            <a:gd name="A2" fmla="val 0"/>
                          </a:gdLst>
                          <a:ahLst/>
                          <a:cxnLst/>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2" o:spid="_x0000_s1026" o:spt="100" style="position:absolute;left:0pt;margin-left:331.35pt;margin-top:9.5pt;height:155.9pt;width:210.65pt;mso-position-horizontal-relative:page;mso-wrap-distance-bottom:0pt;mso-wrap-distance-top:0pt;z-index:251660288;mso-width-relative:page;mso-height-relative:page;" filled="f" stroked="t" coordsize="5102,3118" o:gfxdata="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YXXJCNoAAAALAQAADwAAAAAAAAABACAAAAAiAAAAZHJzL2Rvd25yZXYueG1s&#10;UEsBAhQAFAAAAAgAh07iQK0KGRy+AwAAYQwAAA4AAAAAAAAAAQAgAAAAKQEAAGRycy9lMm9Eb2Mu&#10;eG1sUEsFBgAAAAAGAAYAWQEAAFkHA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textboxrect="0,0,5102,3118"/>
                <v:fill on="f" focussize="0,0"/>
                <v:stroke color="#000000" joinstyle="round"/>
                <v:imagedata o:title=""/>
                <o:lock v:ext="edit" aspectratio="f"/>
                <v:textbox>
                  <w:txbxContent>
                    <w:p/>
                  </w:txbxContent>
                </v:textbox>
                <w10:wrap type="topAndBottom"/>
              </v:shape>
            </w:pict>
          </mc:Fallback>
        </mc:AlternateContent>
      </w:r>
      <w:r>
        <w:rPr>
          <w:rFonts w:ascii="宋体" w:hAnsi="宋体" w:cs="宋体"/>
          <w:color w:val="auto"/>
          <w:sz w:val="21"/>
        </w:rPr>
        <mc:AlternateContent>
          <mc:Choice Requires="wps">
            <w:drawing>
              <wp:anchor distT="0" distB="0" distL="114300" distR="114300" simplePos="0" relativeHeight="251659264" behindDoc="0" locked="0" layoutInCell="1" allowOverlap="1">
                <wp:simplePos x="0" y="0"/>
                <wp:positionH relativeFrom="page">
                  <wp:posOffset>1193800</wp:posOffset>
                </wp:positionH>
                <wp:positionV relativeFrom="paragraph">
                  <wp:posOffset>120650</wp:posOffset>
                </wp:positionV>
                <wp:extent cx="2590800" cy="1979930"/>
                <wp:effectExtent l="4445" t="5080" r="14605" b="15240"/>
                <wp:wrapTopAndBottom/>
                <wp:docPr id="1" name="自选图形 6"/>
                <wp:cNvGraphicFramePr/>
                <a:graphic xmlns:a="http://schemas.openxmlformats.org/drawingml/2006/main">
                  <a:graphicData uri="http://schemas.microsoft.com/office/word/2010/wordprocessingShape">
                    <wps:wsp>
                      <wps:cNvSpPr/>
                      <wps:spPr>
                        <a:xfrm>
                          <a:off x="0" y="0"/>
                          <a:ext cx="2590800" cy="1979930"/>
                        </a:xfrm>
                        <a:custGeom>
                          <a:avLst/>
                          <a:gdLst>
                            <a:gd name="A1" fmla="val 0"/>
                            <a:gd name="A2" fmla="val 0"/>
                          </a:gdLst>
                          <a:ahLst/>
                          <a:cxnLst/>
                          <a:pathLst>
                            <a:path w="5102" h="3118">
                              <a:moveTo>
                                <a:pt x="0" y="519"/>
                              </a:moveTo>
                              <a:lnTo>
                                <a:pt x="6" y="442"/>
                              </a:lnTo>
                              <a:lnTo>
                                <a:pt x="22" y="369"/>
                              </a:lnTo>
                              <a:lnTo>
                                <a:pt x="48" y="300"/>
                              </a:lnTo>
                              <a:lnTo>
                                <a:pt x="84" y="236"/>
                              </a:lnTo>
                              <a:lnTo>
                                <a:pt x="127" y="178"/>
                              </a:lnTo>
                              <a:lnTo>
                                <a:pt x="179" y="127"/>
                              </a:lnTo>
                              <a:lnTo>
                                <a:pt x="237" y="83"/>
                              </a:lnTo>
                              <a:lnTo>
                                <a:pt x="301" y="48"/>
                              </a:lnTo>
                              <a:lnTo>
                                <a:pt x="370" y="22"/>
                              </a:lnTo>
                              <a:lnTo>
                                <a:pt x="443" y="5"/>
                              </a:lnTo>
                              <a:lnTo>
                                <a:pt x="520" y="0"/>
                              </a:lnTo>
                              <a:lnTo>
                                <a:pt x="4582" y="0"/>
                              </a:lnTo>
                              <a:lnTo>
                                <a:pt x="4659" y="5"/>
                              </a:lnTo>
                              <a:lnTo>
                                <a:pt x="4732" y="22"/>
                              </a:lnTo>
                              <a:lnTo>
                                <a:pt x="4801" y="48"/>
                              </a:lnTo>
                              <a:lnTo>
                                <a:pt x="4865" y="83"/>
                              </a:lnTo>
                              <a:lnTo>
                                <a:pt x="4923" y="127"/>
                              </a:lnTo>
                              <a:lnTo>
                                <a:pt x="4975" y="178"/>
                              </a:lnTo>
                              <a:lnTo>
                                <a:pt x="5018" y="236"/>
                              </a:lnTo>
                              <a:lnTo>
                                <a:pt x="5054" y="300"/>
                              </a:lnTo>
                              <a:lnTo>
                                <a:pt x="5080" y="369"/>
                              </a:lnTo>
                              <a:lnTo>
                                <a:pt x="5096" y="442"/>
                              </a:lnTo>
                              <a:lnTo>
                                <a:pt x="5102" y="519"/>
                              </a:lnTo>
                              <a:lnTo>
                                <a:pt x="5102" y="2598"/>
                              </a:lnTo>
                              <a:lnTo>
                                <a:pt x="5096" y="2675"/>
                              </a:lnTo>
                              <a:lnTo>
                                <a:pt x="5080" y="2748"/>
                              </a:lnTo>
                              <a:lnTo>
                                <a:pt x="5054" y="2817"/>
                              </a:lnTo>
                              <a:lnTo>
                                <a:pt x="5018" y="2881"/>
                              </a:lnTo>
                              <a:lnTo>
                                <a:pt x="4975" y="2939"/>
                              </a:lnTo>
                              <a:lnTo>
                                <a:pt x="4923" y="2990"/>
                              </a:lnTo>
                              <a:lnTo>
                                <a:pt x="4865" y="3034"/>
                              </a:lnTo>
                              <a:lnTo>
                                <a:pt x="4801" y="3069"/>
                              </a:lnTo>
                              <a:lnTo>
                                <a:pt x="4732" y="3096"/>
                              </a:lnTo>
                              <a:lnTo>
                                <a:pt x="4659" y="3112"/>
                              </a:lnTo>
                              <a:lnTo>
                                <a:pt x="4582" y="3118"/>
                              </a:lnTo>
                              <a:lnTo>
                                <a:pt x="520" y="3118"/>
                              </a:lnTo>
                              <a:lnTo>
                                <a:pt x="443" y="3112"/>
                              </a:lnTo>
                              <a:lnTo>
                                <a:pt x="370" y="3096"/>
                              </a:lnTo>
                              <a:lnTo>
                                <a:pt x="301" y="3069"/>
                              </a:lnTo>
                              <a:lnTo>
                                <a:pt x="237" y="3034"/>
                              </a:lnTo>
                              <a:lnTo>
                                <a:pt x="179" y="2990"/>
                              </a:lnTo>
                              <a:lnTo>
                                <a:pt x="127" y="2939"/>
                              </a:lnTo>
                              <a:lnTo>
                                <a:pt x="84" y="2881"/>
                              </a:lnTo>
                              <a:lnTo>
                                <a:pt x="48" y="2817"/>
                              </a:lnTo>
                              <a:lnTo>
                                <a:pt x="22" y="2748"/>
                              </a:lnTo>
                              <a:lnTo>
                                <a:pt x="6" y="2675"/>
                              </a:lnTo>
                              <a:lnTo>
                                <a:pt x="0" y="2598"/>
                              </a:lnTo>
                              <a:lnTo>
                                <a:pt x="0" y="519"/>
                              </a:lnTo>
                              <a:close/>
                            </a:path>
                          </a:pathLst>
                        </a:custGeom>
                        <a:noFill/>
                        <a:ln w="9525"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6" o:spid="_x0000_s1026" o:spt="100" style="position:absolute;left:0pt;margin-left:94pt;margin-top:9.5pt;height:155.9pt;width:204pt;mso-position-horizontal-relative:page;mso-wrap-distance-bottom:0pt;mso-wrap-distance-top:0pt;z-index:251659264;mso-width-relative:page;mso-height-relative:page;" filled="f" stroked="t" coordsize="5102,3118" o:gfxdata="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4sEC/2AAAAAoBAAAPAAAAAAAAAAEAIAAAACIAAABkcnMvZG93bnJldi54bWxQSwECFAAUAAAA&#10;CACHTuJAoufuZrYDAABhDAAADgAAAAAAAAABACAAAAAnAQAAZHJzL2Uyb0RvYy54bWxQSwUGAAAA&#10;AAYABgBZAQAATwcAAAAA&#10;" path="m0,519l6,442,22,369,48,300,84,236,127,178,179,127,237,83,301,48,370,22,443,5,520,0,4582,0,4659,5,4732,22,4801,48,4865,83,4923,127,4975,178,5018,236,5054,300,5080,369,5096,442,5102,519,5102,2598,5096,2675,5080,2748,5054,2817,5018,2881,4975,2939,4923,2990,4865,3034,4801,3069,4732,3096,4659,3112,4582,3118,520,3118,443,3112,370,3096,301,3069,237,3034,179,2990,127,2939,84,2881,48,2817,22,2748,6,2675,0,2598,0,519xe">
                <v:path textboxrect="0,0,5102,3118"/>
                <v:fill on="f" focussize="0,0"/>
                <v:stroke color="#000000" joinstyle="round"/>
                <v:imagedata o:title=""/>
                <o:lock v:ext="edit" aspectratio="f"/>
                <v:textbox>
                  <w:txbxContent>
                    <w:p/>
                  </w:txbxContent>
                </v:textbox>
                <w10:wrap type="topAndBottom"/>
              </v:shape>
            </w:pict>
          </mc:Fallback>
        </mc:AlternateContent>
      </w:r>
      <w:r>
        <w:rPr>
          <w:rFonts w:hint="eastAsia" w:ascii="宋体" w:hAnsi="宋体" w:cs="宋体"/>
          <w:color w:val="auto"/>
          <w:sz w:val="10"/>
        </w:rPr>
        <w:t xml:space="preserve">                                                                                                                                                                 </w:t>
      </w:r>
    </w:p>
    <w:p>
      <w:pPr>
        <w:pStyle w:val="12"/>
        <w:spacing w:before="116" w:line="360" w:lineRule="auto"/>
        <w:ind w:right="106"/>
        <w:rPr>
          <w:rFonts w:ascii="宋体" w:hAnsi="宋体" w:cs="宋体"/>
          <w:b/>
          <w:color w:val="auto"/>
        </w:rPr>
      </w:pPr>
    </w:p>
    <w:p>
      <w:pPr>
        <w:rPr>
          <w:rFonts w:ascii="宋体" w:hAnsi="宋体" w:cs="宋体"/>
          <w:b/>
          <w:color w:val="auto"/>
        </w:rPr>
      </w:pPr>
    </w:p>
    <w:p>
      <w:pPr>
        <w:pStyle w:val="8"/>
        <w:rPr>
          <w:color w:val="auto"/>
        </w:rPr>
      </w:pPr>
    </w:p>
    <w:p>
      <w:pPr>
        <w:spacing w:line="500" w:lineRule="exact"/>
        <w:jc w:val="center"/>
        <w:rPr>
          <w:rFonts w:ascii="宋体" w:hAnsi="宋体" w:cs="宋体"/>
          <w:b/>
          <w:bCs/>
          <w:color w:val="auto"/>
          <w:sz w:val="32"/>
          <w:szCs w:val="32"/>
        </w:rPr>
      </w:pPr>
      <w:r>
        <w:rPr>
          <w:rFonts w:hint="eastAsia" w:ascii="宋体" w:hAnsi="宋体" w:cs="宋体"/>
          <w:b/>
          <w:bCs/>
          <w:color w:val="auto"/>
          <w:sz w:val="32"/>
          <w:szCs w:val="32"/>
        </w:rPr>
        <w:t>（二）法定代表人授权书</w:t>
      </w:r>
    </w:p>
    <w:p>
      <w:pPr>
        <w:spacing w:line="500" w:lineRule="exact"/>
        <w:jc w:val="center"/>
        <w:rPr>
          <w:rFonts w:ascii="宋体" w:hAnsi="宋体" w:cs="宋体"/>
          <w:b/>
          <w:bCs/>
          <w:color w:val="auto"/>
          <w:sz w:val="32"/>
          <w:szCs w:val="32"/>
        </w:rPr>
      </w:pPr>
    </w:p>
    <w:p>
      <w:pPr>
        <w:spacing w:line="500" w:lineRule="exact"/>
        <w:ind w:firstLine="480" w:firstLineChars="200"/>
        <w:jc w:val="left"/>
        <w:rPr>
          <w:rFonts w:ascii="宋体" w:hAnsi="宋体" w:cs="宋体"/>
          <w:color w:val="auto"/>
          <w:sz w:val="24"/>
        </w:rPr>
      </w:pPr>
      <w:r>
        <w:rPr>
          <w:rFonts w:hint="eastAsia" w:ascii="宋体" w:hAnsi="宋体" w:cs="宋体"/>
          <w:color w:val="auto"/>
          <w:sz w:val="24"/>
        </w:rPr>
        <w:t>本授权书声明：注册于</w:t>
      </w:r>
      <w:r>
        <w:rPr>
          <w:rFonts w:hint="eastAsia" w:ascii="宋体" w:hAnsi="宋体" w:cs="宋体"/>
          <w:color w:val="auto"/>
          <w:sz w:val="24"/>
          <w:u w:val="single"/>
        </w:rPr>
        <w:t xml:space="preserve">   （国家或地区的名称）   </w:t>
      </w:r>
      <w:r>
        <w:rPr>
          <w:rFonts w:hint="eastAsia" w:ascii="宋体" w:hAnsi="宋体" w:cs="宋体"/>
          <w:color w:val="auto"/>
          <w:sz w:val="24"/>
        </w:rPr>
        <w:t>的</w:t>
      </w:r>
      <w:r>
        <w:rPr>
          <w:rFonts w:hint="eastAsia" w:ascii="宋体" w:hAnsi="宋体" w:cs="宋体"/>
          <w:color w:val="auto"/>
          <w:sz w:val="24"/>
          <w:u w:val="single"/>
        </w:rPr>
        <w:t xml:space="preserve">  （公司名称）  </w:t>
      </w:r>
      <w:r>
        <w:rPr>
          <w:rFonts w:hint="eastAsia" w:ascii="宋体" w:hAnsi="宋体" w:cs="宋体"/>
          <w:color w:val="auto"/>
          <w:sz w:val="24"/>
        </w:rPr>
        <w:t xml:space="preserve">的在下面签字的法定代表人 </w:t>
      </w:r>
      <w:r>
        <w:rPr>
          <w:rFonts w:hint="eastAsia" w:ascii="宋体" w:hAnsi="宋体" w:cs="宋体"/>
          <w:color w:val="auto"/>
          <w:sz w:val="24"/>
          <w:u w:val="single"/>
        </w:rPr>
        <w:t xml:space="preserve">   （职务、姓名）    </w:t>
      </w:r>
      <w:r>
        <w:rPr>
          <w:rFonts w:hint="eastAsia" w:ascii="宋体" w:hAnsi="宋体" w:cs="宋体"/>
          <w:color w:val="auto"/>
          <w:sz w:val="24"/>
        </w:rPr>
        <w:t xml:space="preserve">代表本公司授权 </w:t>
      </w:r>
      <w:r>
        <w:rPr>
          <w:rFonts w:hint="eastAsia" w:ascii="宋体" w:hAnsi="宋体" w:cs="宋体"/>
          <w:color w:val="auto"/>
          <w:sz w:val="24"/>
          <w:u w:val="single"/>
        </w:rPr>
        <w:t xml:space="preserve">   （公司名称）   </w:t>
      </w:r>
      <w:r>
        <w:rPr>
          <w:rFonts w:hint="eastAsia" w:ascii="宋体" w:hAnsi="宋体" w:cs="宋体"/>
          <w:color w:val="auto"/>
          <w:sz w:val="24"/>
        </w:rPr>
        <w:t xml:space="preserve"> 的在下面签字的被授权人</w:t>
      </w:r>
      <w:r>
        <w:rPr>
          <w:rFonts w:hint="eastAsia" w:ascii="宋体" w:hAnsi="宋体" w:cs="宋体"/>
          <w:color w:val="auto"/>
          <w:sz w:val="24"/>
          <w:u w:val="single"/>
        </w:rPr>
        <w:t xml:space="preserve">    （职务、姓名）    </w:t>
      </w:r>
      <w:r>
        <w:rPr>
          <w:rFonts w:hint="eastAsia" w:ascii="宋体" w:hAnsi="宋体" w:cs="宋体"/>
          <w:color w:val="auto"/>
          <w:sz w:val="24"/>
        </w:rPr>
        <w:t>为本公司的合法代理人，就</w:t>
      </w:r>
      <w:r>
        <w:rPr>
          <w:rFonts w:hint="eastAsia" w:ascii="宋体" w:hAnsi="宋体" w:cs="宋体"/>
          <w:color w:val="auto"/>
          <w:sz w:val="24"/>
          <w:u w:val="single"/>
        </w:rPr>
        <w:t xml:space="preserve">    （项目名称）     </w:t>
      </w:r>
      <w:r>
        <w:rPr>
          <w:rFonts w:hint="eastAsia" w:ascii="宋体" w:hAnsi="宋体" w:cs="宋体"/>
          <w:color w:val="auto"/>
          <w:sz w:val="24"/>
        </w:rPr>
        <w:t>的</w:t>
      </w:r>
      <w:r>
        <w:rPr>
          <w:rFonts w:hint="eastAsia" w:ascii="宋体" w:hAnsi="宋体" w:cs="宋体"/>
          <w:color w:val="auto"/>
          <w:sz w:val="24"/>
          <w:u w:val="single"/>
        </w:rPr>
        <w:t xml:space="preserve">    （合同名称）     </w:t>
      </w:r>
      <w:r>
        <w:rPr>
          <w:rFonts w:hint="eastAsia" w:ascii="宋体" w:hAnsi="宋体" w:cs="宋体"/>
          <w:color w:val="auto"/>
          <w:sz w:val="24"/>
        </w:rPr>
        <w:t>投标，以本公司名义处理一切与之有关的事务。</w:t>
      </w:r>
    </w:p>
    <w:p>
      <w:pPr>
        <w:spacing w:line="500" w:lineRule="exact"/>
        <w:ind w:firstLine="480" w:firstLineChars="200"/>
        <w:jc w:val="left"/>
        <w:rPr>
          <w:rFonts w:ascii="宋体" w:hAnsi="宋体" w:cs="宋体"/>
          <w:color w:val="auto"/>
          <w:sz w:val="24"/>
        </w:rPr>
      </w:pPr>
      <w:r>
        <w:rPr>
          <w:rFonts w:hint="eastAsia" w:ascii="宋体" w:hAnsi="宋体" w:cs="宋体"/>
          <w:color w:val="auto"/>
          <w:sz w:val="24"/>
        </w:rPr>
        <w:t>被授权人无转授权。</w:t>
      </w:r>
    </w:p>
    <w:p>
      <w:pPr>
        <w:spacing w:line="400" w:lineRule="exact"/>
        <w:ind w:firstLine="480" w:firstLineChars="200"/>
        <w:rPr>
          <w:rFonts w:ascii="宋体" w:hAnsi="宋体" w:cs="宋体"/>
          <w:color w:val="auto"/>
          <w:sz w:val="24"/>
        </w:rPr>
      </w:pPr>
      <w:r>
        <w:rPr>
          <w:rFonts w:hint="eastAsia" w:ascii="宋体" w:hAnsi="宋体" w:cs="宋体"/>
          <w:color w:val="auto"/>
          <w:sz w:val="24"/>
        </w:rPr>
        <w:t>本授权书于</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 特此声明。</w:t>
      </w:r>
    </w:p>
    <w:p>
      <w:pPr>
        <w:spacing w:line="400" w:lineRule="exact"/>
        <w:rPr>
          <w:rFonts w:ascii="宋体" w:hAnsi="宋体" w:cs="宋体"/>
          <w:color w:val="auto"/>
          <w:sz w:val="24"/>
        </w:rPr>
      </w:pPr>
    </w:p>
    <w:p>
      <w:pPr>
        <w:spacing w:line="400" w:lineRule="exact"/>
        <w:rPr>
          <w:rFonts w:ascii="宋体" w:hAnsi="宋体" w:cs="宋体"/>
          <w:color w:val="auto"/>
          <w:sz w:val="24"/>
          <w:u w:val="single"/>
        </w:rPr>
      </w:pPr>
      <w:r>
        <w:rPr>
          <w:rFonts w:hint="eastAsia" w:ascii="宋体" w:hAnsi="宋体" w:cs="宋体"/>
          <w:color w:val="auto"/>
          <w:sz w:val="24"/>
        </w:rPr>
        <w:t>法定代表人签字：</w:t>
      </w:r>
      <w:r>
        <w:rPr>
          <w:rFonts w:hint="eastAsia" w:ascii="宋体" w:hAnsi="宋体" w:cs="宋体"/>
          <w:color w:val="auto"/>
          <w:sz w:val="24"/>
          <w:u w:val="single"/>
        </w:rPr>
        <w:t xml:space="preserve">                     </w:t>
      </w:r>
    </w:p>
    <w:p>
      <w:pPr>
        <w:spacing w:line="400" w:lineRule="exact"/>
        <w:rPr>
          <w:rFonts w:ascii="宋体" w:hAnsi="宋体" w:cs="宋体"/>
          <w:color w:val="auto"/>
          <w:sz w:val="24"/>
        </w:rPr>
      </w:pPr>
    </w:p>
    <w:p>
      <w:pPr>
        <w:spacing w:line="400" w:lineRule="exact"/>
        <w:rPr>
          <w:rFonts w:ascii="宋体" w:hAnsi="宋体" w:cs="宋体"/>
          <w:color w:val="auto"/>
          <w:sz w:val="24"/>
          <w:u w:val="single"/>
        </w:rPr>
      </w:pPr>
      <w:r>
        <w:rPr>
          <w:rFonts w:hint="eastAsia" w:ascii="宋体" w:hAnsi="宋体" w:cs="宋体"/>
          <w:color w:val="auto"/>
          <w:sz w:val="24"/>
        </w:rPr>
        <w:t>被授权人签字：</w:t>
      </w:r>
      <w:r>
        <w:rPr>
          <w:rFonts w:hint="eastAsia" w:ascii="宋体" w:hAnsi="宋体" w:cs="宋体"/>
          <w:color w:val="auto"/>
          <w:sz w:val="24"/>
          <w:u w:val="single"/>
        </w:rPr>
        <w:t xml:space="preserve">                     </w:t>
      </w:r>
    </w:p>
    <w:p>
      <w:pPr>
        <w:spacing w:line="400" w:lineRule="exact"/>
        <w:rPr>
          <w:rFonts w:ascii="宋体" w:hAnsi="宋体" w:cs="宋体"/>
          <w:color w:val="auto"/>
          <w:sz w:val="24"/>
          <w:u w:val="single"/>
        </w:rPr>
      </w:pPr>
    </w:p>
    <w:p>
      <w:pPr>
        <w:spacing w:line="400" w:lineRule="exact"/>
        <w:rPr>
          <w:rFonts w:ascii="宋体" w:hAnsi="宋体" w:cs="宋体"/>
          <w:color w:val="auto"/>
          <w:sz w:val="24"/>
        </w:rPr>
      </w:pPr>
      <w:r>
        <w:rPr>
          <w:rFonts w:hint="eastAsia" w:ascii="宋体" w:hAnsi="宋体" w:cs="宋体"/>
          <w:color w:val="auto"/>
          <w:sz w:val="24"/>
        </w:rPr>
        <w:t xml:space="preserve">供应商名称（加盖公章）： </w:t>
      </w:r>
      <w:r>
        <w:rPr>
          <w:rFonts w:hint="eastAsia" w:ascii="宋体" w:hAnsi="宋体" w:cs="宋体"/>
          <w:color w:val="auto"/>
          <w:sz w:val="24"/>
          <w:u w:val="single"/>
        </w:rPr>
        <w:t xml:space="preserve">                     </w:t>
      </w:r>
    </w:p>
    <w:p>
      <w:pPr>
        <w:pStyle w:val="12"/>
        <w:spacing w:before="36" w:line="400" w:lineRule="exact"/>
        <w:ind w:left="538" w:right="1123"/>
        <w:rPr>
          <w:rFonts w:ascii="宋体" w:hAnsi="宋体" w:cs="宋体"/>
          <w:color w:val="auto"/>
          <w:u w:val="single"/>
        </w:rPr>
      </w:pPr>
    </w:p>
    <w:p>
      <w:pPr>
        <w:pStyle w:val="12"/>
        <w:spacing w:before="36" w:line="400" w:lineRule="exact"/>
        <w:ind w:right="1123"/>
        <w:rPr>
          <w:rFonts w:ascii="宋体" w:hAnsi="宋体" w:cs="宋体"/>
          <w:color w:val="auto"/>
          <w:sz w:val="20"/>
        </w:rPr>
      </w:pPr>
      <w:r>
        <w:rPr>
          <w:rFonts w:hint="eastAsia" w:ascii="宋体" w:hAnsi="宋体" w:cs="宋体"/>
          <w:color w:val="auto"/>
        </w:rPr>
        <w:t>委托代理</w:t>
      </w:r>
      <w:r>
        <w:rPr>
          <w:rFonts w:hint="eastAsia" w:ascii="宋体" w:hAnsi="宋体" w:cs="宋体"/>
          <w:color w:val="auto"/>
          <w:spacing w:val="-3"/>
        </w:rPr>
        <w:t>人</w:t>
      </w:r>
      <w:r>
        <w:rPr>
          <w:rFonts w:hint="eastAsia" w:ascii="宋体" w:hAnsi="宋体" w:cs="宋体"/>
          <w:color w:val="auto"/>
        </w:rPr>
        <w:t>身</w:t>
      </w:r>
      <w:r>
        <w:rPr>
          <w:rFonts w:hint="eastAsia" w:ascii="宋体" w:hAnsi="宋体" w:cs="宋体"/>
          <w:color w:val="auto"/>
          <w:spacing w:val="-3"/>
        </w:rPr>
        <w:t>份</w:t>
      </w:r>
      <w:r>
        <w:rPr>
          <w:rFonts w:hint="eastAsia" w:ascii="宋体" w:hAnsi="宋体" w:cs="宋体"/>
          <w:color w:val="auto"/>
        </w:rPr>
        <w:t>证</w:t>
      </w:r>
      <w:r>
        <w:rPr>
          <w:rFonts w:hint="eastAsia" w:ascii="宋体" w:hAnsi="宋体" w:cs="宋体"/>
          <w:color w:val="auto"/>
          <w:spacing w:val="-3"/>
        </w:rPr>
        <w:t>复</w:t>
      </w:r>
      <w:r>
        <w:rPr>
          <w:rFonts w:hint="eastAsia" w:ascii="宋体" w:hAnsi="宋体" w:cs="宋体"/>
          <w:color w:val="auto"/>
        </w:rPr>
        <w:t>印</w:t>
      </w:r>
      <w:r>
        <w:rPr>
          <w:rFonts w:hint="eastAsia" w:ascii="宋体" w:hAnsi="宋体" w:cs="宋体"/>
          <w:color w:val="auto"/>
          <w:spacing w:val="-3"/>
        </w:rPr>
        <w:t>件</w:t>
      </w:r>
      <w:r>
        <w:rPr>
          <w:rFonts w:hint="eastAsia" w:ascii="宋体" w:hAnsi="宋体" w:cs="宋体"/>
          <w:color w:val="auto"/>
        </w:rPr>
        <w:t>（</w:t>
      </w:r>
      <w:r>
        <w:rPr>
          <w:rFonts w:hint="eastAsia" w:ascii="宋体" w:hAnsi="宋体" w:cs="宋体"/>
          <w:color w:val="auto"/>
          <w:spacing w:val="-3"/>
        </w:rPr>
        <w:t>正</w:t>
      </w:r>
      <w:r>
        <w:rPr>
          <w:rFonts w:hint="eastAsia" w:ascii="宋体" w:hAnsi="宋体" w:cs="宋体"/>
          <w:color w:val="auto"/>
        </w:rPr>
        <w:t>反面</w:t>
      </w:r>
      <w:r>
        <w:rPr>
          <w:rFonts w:hint="eastAsia" w:ascii="宋体" w:hAnsi="宋体" w:cs="宋体"/>
          <w:color w:val="auto"/>
          <w:spacing w:val="-108"/>
        </w:rPr>
        <w:t>）</w:t>
      </w:r>
      <w:r>
        <w:rPr>
          <w:rFonts w:hint="eastAsia" w:ascii="宋体" w:hAnsi="宋体" w:cs="宋体"/>
          <w:color w:val="auto"/>
        </w:rPr>
        <w:t>：</w:t>
      </w:r>
    </w:p>
    <w:p>
      <w:pPr>
        <w:pStyle w:val="12"/>
        <w:spacing w:before="3"/>
        <w:rPr>
          <w:rFonts w:ascii="宋体" w:hAnsi="宋体" w:cs="宋体"/>
          <w:color w:val="auto"/>
          <w:sz w:val="10"/>
        </w:rPr>
      </w:pPr>
      <w:r>
        <w:rPr>
          <w:rFonts w:ascii="宋体" w:hAnsi="宋体" w:cs="宋体"/>
          <w:color w:val="auto"/>
          <w:sz w:val="21"/>
        </w:rPr>
        <mc:AlternateContent>
          <mc:Choice Requires="wps">
            <w:drawing>
              <wp:anchor distT="0" distB="0" distL="114300" distR="114300" simplePos="0" relativeHeight="251661312" behindDoc="0" locked="0" layoutInCell="1" allowOverlap="1">
                <wp:simplePos x="0" y="0"/>
                <wp:positionH relativeFrom="page">
                  <wp:posOffset>770255</wp:posOffset>
                </wp:positionH>
                <wp:positionV relativeFrom="paragraph">
                  <wp:posOffset>114935</wp:posOffset>
                </wp:positionV>
                <wp:extent cx="2823845" cy="1887220"/>
                <wp:effectExtent l="4445" t="4445" r="10160" b="13335"/>
                <wp:wrapTopAndBottom/>
                <wp:docPr id="3" name="自选图形 5"/>
                <wp:cNvGraphicFramePr/>
                <a:graphic xmlns:a="http://schemas.openxmlformats.org/drawingml/2006/main">
                  <a:graphicData uri="http://schemas.microsoft.com/office/word/2010/wordprocessingShape">
                    <wps:wsp>
                      <wps:cNvSpPr/>
                      <wps:spPr>
                        <a:xfrm>
                          <a:off x="0" y="0"/>
                          <a:ext cx="2823845" cy="1887220"/>
                        </a:xfrm>
                        <a:custGeom>
                          <a:avLst/>
                          <a:gdLst>
                            <a:gd name="A1" fmla="val 0"/>
                            <a:gd name="A2" fmla="val 0"/>
                          </a:gdLst>
                          <a:ahLst/>
                          <a:cxnLst/>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5" o:spid="_x0000_s1026" o:spt="100" style="position:absolute;left:0pt;margin-left:60.65pt;margin-top:9.05pt;height:148.6pt;width:222.35pt;mso-position-horizontal-relative:page;mso-wrap-distance-bottom:0pt;mso-wrap-distance-top:0pt;z-index:251661312;mso-width-relative:page;mso-height-relative:page;" filled="f" stroked="t" coordsize="5102,3118" o:gfxdata="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DO06F92AAA&#10;AAoBAAAPAAAAAAAAAAEAIAAAACIAAABkcnMvZG93bnJldi54bWxQSwECFAAUAAAACACHTuJA9m6J&#10;fa0DAABhDAAADgAAAAAAAAABACAAAAAnAQAAZHJzL2Uyb0RvYy54bWxQSwUGAAAAAAYABgBZAQAA&#10;Rgc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textboxrect="0,0,5102,3118"/>
                <v:fill on="f" focussize="0,0"/>
                <v:stroke color="#000000" joinstyle="round"/>
                <v:imagedata o:title=""/>
                <o:lock v:ext="edit" aspectratio="f"/>
                <v:textbox>
                  <w:txbxContent>
                    <w:p/>
                  </w:txbxContent>
                </v:textbox>
                <w10:wrap type="topAndBottom"/>
              </v:shape>
            </w:pict>
          </mc:Fallback>
        </mc:AlternateContent>
      </w:r>
      <w:r>
        <w:rPr>
          <w:rFonts w:ascii="宋体" w:hAnsi="宋体" w:cs="宋体"/>
          <w:color w:val="auto"/>
          <w:sz w:val="21"/>
        </w:rPr>
        <mc:AlternateContent>
          <mc:Choice Requires="wps">
            <w:drawing>
              <wp:anchor distT="0" distB="0" distL="114300" distR="114300" simplePos="0" relativeHeight="251662336" behindDoc="0" locked="0" layoutInCell="1" allowOverlap="1">
                <wp:simplePos x="0" y="0"/>
                <wp:positionH relativeFrom="page">
                  <wp:posOffset>3954145</wp:posOffset>
                </wp:positionH>
                <wp:positionV relativeFrom="paragraph">
                  <wp:posOffset>114935</wp:posOffset>
                </wp:positionV>
                <wp:extent cx="2783205" cy="1887220"/>
                <wp:effectExtent l="4445" t="4445" r="12700" b="13335"/>
                <wp:wrapTopAndBottom/>
                <wp:docPr id="4" name="自选图形 4"/>
                <wp:cNvGraphicFramePr/>
                <a:graphic xmlns:a="http://schemas.openxmlformats.org/drawingml/2006/main">
                  <a:graphicData uri="http://schemas.microsoft.com/office/word/2010/wordprocessingShape">
                    <wps:wsp>
                      <wps:cNvSpPr/>
                      <wps:spPr>
                        <a:xfrm>
                          <a:off x="0" y="0"/>
                          <a:ext cx="2783205" cy="1887220"/>
                        </a:xfrm>
                        <a:custGeom>
                          <a:avLst/>
                          <a:gdLst>
                            <a:gd name="A1" fmla="val 0"/>
                            <a:gd name="A2" fmla="val 0"/>
                          </a:gdLst>
                          <a:ahLst/>
                          <a:cxnLst/>
                          <a:pathLst>
                            <a:path w="5102" h="3118">
                              <a:moveTo>
                                <a:pt x="0" y="520"/>
                              </a:moveTo>
                              <a:lnTo>
                                <a:pt x="6" y="443"/>
                              </a:lnTo>
                              <a:lnTo>
                                <a:pt x="22" y="370"/>
                              </a:lnTo>
                              <a:lnTo>
                                <a:pt x="48" y="301"/>
                              </a:lnTo>
                              <a:lnTo>
                                <a:pt x="84" y="237"/>
                              </a:lnTo>
                              <a:lnTo>
                                <a:pt x="127" y="179"/>
                              </a:lnTo>
                              <a:lnTo>
                                <a:pt x="179" y="128"/>
                              </a:lnTo>
                              <a:lnTo>
                                <a:pt x="237" y="84"/>
                              </a:lnTo>
                              <a:lnTo>
                                <a:pt x="301" y="49"/>
                              </a:lnTo>
                              <a:lnTo>
                                <a:pt x="370" y="22"/>
                              </a:lnTo>
                              <a:lnTo>
                                <a:pt x="443" y="6"/>
                              </a:lnTo>
                              <a:lnTo>
                                <a:pt x="520" y="0"/>
                              </a:lnTo>
                              <a:lnTo>
                                <a:pt x="4582" y="0"/>
                              </a:lnTo>
                              <a:lnTo>
                                <a:pt x="4659" y="6"/>
                              </a:lnTo>
                              <a:lnTo>
                                <a:pt x="4732" y="22"/>
                              </a:lnTo>
                              <a:lnTo>
                                <a:pt x="4801" y="49"/>
                              </a:lnTo>
                              <a:lnTo>
                                <a:pt x="4865" y="84"/>
                              </a:lnTo>
                              <a:lnTo>
                                <a:pt x="4923" y="128"/>
                              </a:lnTo>
                              <a:lnTo>
                                <a:pt x="4975" y="179"/>
                              </a:lnTo>
                              <a:lnTo>
                                <a:pt x="5018" y="237"/>
                              </a:lnTo>
                              <a:lnTo>
                                <a:pt x="5054" y="301"/>
                              </a:lnTo>
                              <a:lnTo>
                                <a:pt x="5080" y="370"/>
                              </a:lnTo>
                              <a:lnTo>
                                <a:pt x="5096" y="443"/>
                              </a:lnTo>
                              <a:lnTo>
                                <a:pt x="5102" y="520"/>
                              </a:lnTo>
                              <a:lnTo>
                                <a:pt x="5102" y="2599"/>
                              </a:lnTo>
                              <a:lnTo>
                                <a:pt x="5096" y="2675"/>
                              </a:lnTo>
                              <a:lnTo>
                                <a:pt x="5080" y="2749"/>
                              </a:lnTo>
                              <a:lnTo>
                                <a:pt x="5054" y="2818"/>
                              </a:lnTo>
                              <a:lnTo>
                                <a:pt x="5018" y="2882"/>
                              </a:lnTo>
                              <a:lnTo>
                                <a:pt x="4975" y="2940"/>
                              </a:lnTo>
                              <a:lnTo>
                                <a:pt x="4923" y="2991"/>
                              </a:lnTo>
                              <a:lnTo>
                                <a:pt x="4865" y="3035"/>
                              </a:lnTo>
                              <a:lnTo>
                                <a:pt x="4801" y="3070"/>
                              </a:lnTo>
                              <a:lnTo>
                                <a:pt x="4732" y="3096"/>
                              </a:lnTo>
                              <a:lnTo>
                                <a:pt x="4659" y="3113"/>
                              </a:lnTo>
                              <a:lnTo>
                                <a:pt x="4582" y="3118"/>
                              </a:lnTo>
                              <a:lnTo>
                                <a:pt x="520" y="3118"/>
                              </a:lnTo>
                              <a:lnTo>
                                <a:pt x="443" y="3113"/>
                              </a:lnTo>
                              <a:lnTo>
                                <a:pt x="370" y="3096"/>
                              </a:lnTo>
                              <a:lnTo>
                                <a:pt x="301" y="3070"/>
                              </a:lnTo>
                              <a:lnTo>
                                <a:pt x="237" y="3035"/>
                              </a:lnTo>
                              <a:lnTo>
                                <a:pt x="179" y="2991"/>
                              </a:lnTo>
                              <a:lnTo>
                                <a:pt x="127" y="2940"/>
                              </a:lnTo>
                              <a:lnTo>
                                <a:pt x="84" y="2882"/>
                              </a:lnTo>
                              <a:lnTo>
                                <a:pt x="48" y="2818"/>
                              </a:lnTo>
                              <a:lnTo>
                                <a:pt x="22" y="2749"/>
                              </a:lnTo>
                              <a:lnTo>
                                <a:pt x="6" y="2675"/>
                              </a:lnTo>
                              <a:lnTo>
                                <a:pt x="0" y="2599"/>
                              </a:lnTo>
                              <a:lnTo>
                                <a:pt x="0" y="520"/>
                              </a:lnTo>
                              <a:close/>
                            </a:path>
                          </a:pathLst>
                        </a:custGeom>
                        <a:noFill/>
                        <a:ln w="9525"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4" o:spid="_x0000_s1026" o:spt="100" style="position:absolute;left:0pt;margin-left:311.35pt;margin-top:9.05pt;height:148.6pt;width:219.15pt;mso-position-horizontal-relative:page;mso-wrap-distance-bottom:0pt;mso-wrap-distance-top:0pt;z-index:251662336;mso-width-relative:page;mso-height-relative:page;" filled="f" stroked="t" coordsize="5102,3118" o:gfxdata="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NCV693Z&#10;AAAACwEAAA8AAAAAAAAAAQAgAAAAIgAAAGRycy9kb3ducmV2LnhtbFBLAQIUABQAAAAIAIdO4kBP&#10;J0iJrgMAAGEMAAAOAAAAAAAAAAEAIAAAACgBAABkcnMvZTJvRG9jLnhtbFBLBQYAAAAABgAGAFkB&#10;AABIBwAAAAA=&#10;" path="m0,520l6,443,22,370,48,301,84,237,127,179,179,128,237,84,301,49,370,22,443,6,520,0,4582,0,4659,6,4732,22,4801,49,4865,84,4923,128,4975,179,5018,237,5054,301,5080,370,5096,443,5102,520,5102,2599,5096,2675,5080,2749,5054,2818,5018,2882,4975,2940,4923,2991,4865,3035,4801,3070,4732,3096,4659,3113,4582,3118,520,3118,443,3113,370,3096,301,3070,237,3035,179,2991,127,2940,84,2882,48,2818,22,2749,6,2675,0,2599,0,520xe">
                <v:path textboxrect="0,0,5102,3118"/>
                <v:fill on="f" focussize="0,0"/>
                <v:stroke color="#000000" joinstyle="round"/>
                <v:imagedata o:title=""/>
                <o:lock v:ext="edit" aspectratio="f"/>
                <v:textbox>
                  <w:txbxContent>
                    <w:p/>
                  </w:txbxContent>
                </v:textbox>
                <w10:wrap type="topAndBottom"/>
              </v:shape>
            </w:pict>
          </mc:Fallback>
        </mc:AlternateContent>
      </w:r>
      <w:r>
        <w:rPr>
          <w:rFonts w:hint="eastAsia" w:ascii="宋体" w:hAnsi="宋体" w:cs="宋体"/>
          <w:color w:val="auto"/>
          <w:sz w:val="10"/>
        </w:rPr>
        <w:t xml:space="preserve">                                                                                                                                                  </w:t>
      </w:r>
    </w:p>
    <w:p>
      <w:pPr>
        <w:pStyle w:val="16"/>
        <w:rPr>
          <w:rFonts w:hAnsi="宋体" w:cs="宋体"/>
          <w:color w:val="auto"/>
          <w:sz w:val="18"/>
        </w:rPr>
        <w:sectPr>
          <w:pgSz w:w="11906" w:h="16838"/>
          <w:pgMar w:top="1440" w:right="1803" w:bottom="1440" w:left="1803" w:header="709" w:footer="709" w:gutter="0"/>
          <w:pgNumType w:fmt="decimal"/>
          <w:cols w:space="0" w:num="1"/>
          <w:rtlGutter w:val="0"/>
          <w:docGrid w:type="lines" w:linePitch="360" w:charSpace="0"/>
        </w:sectPr>
      </w:pPr>
      <w:bookmarkStart w:id="400" w:name="_Toc139343633"/>
      <w:bookmarkStart w:id="401" w:name="_Toc149714225"/>
      <w:bookmarkStart w:id="402" w:name="_Toc91477344"/>
      <w:bookmarkStart w:id="403" w:name="_Toc89058610"/>
      <w:bookmarkStart w:id="404" w:name="_Toc469850126"/>
    </w:p>
    <w:bookmarkEnd w:id="400"/>
    <w:bookmarkEnd w:id="401"/>
    <w:bookmarkEnd w:id="402"/>
    <w:bookmarkEnd w:id="403"/>
    <w:bookmarkEnd w:id="404"/>
    <w:p>
      <w:pPr>
        <w:pStyle w:val="6"/>
        <w:spacing w:line="500" w:lineRule="exact"/>
        <w:jc w:val="center"/>
        <w:rPr>
          <w:rFonts w:ascii="宋体" w:hAnsi="宋体" w:cs="宋体"/>
          <w:color w:val="auto"/>
          <w:sz w:val="24"/>
          <w:szCs w:val="24"/>
        </w:rPr>
      </w:pPr>
      <w:bookmarkStart w:id="405" w:name="_Toc439687772"/>
      <w:bookmarkStart w:id="406" w:name="_Toc229198101"/>
      <w:r>
        <w:rPr>
          <w:rFonts w:hint="eastAsia" w:ascii="宋体" w:hAnsi="宋体" w:cs="宋体"/>
          <w:color w:val="auto"/>
        </w:rPr>
        <w:t>5．</w:t>
      </w:r>
      <w:bookmarkEnd w:id="405"/>
      <w:r>
        <w:rPr>
          <w:rFonts w:hint="eastAsia" w:ascii="宋体" w:hAnsi="宋体" w:cs="宋体"/>
          <w:color w:val="auto"/>
        </w:rPr>
        <w:t>中小企业声明函（货物）</w:t>
      </w:r>
      <w:r>
        <w:rPr>
          <w:rFonts w:hint="eastAsia" w:ascii="宋体" w:hAnsi="宋体" w:cs="宋体"/>
          <w:color w:val="auto"/>
          <w:sz w:val="24"/>
          <w:szCs w:val="24"/>
        </w:rPr>
        <w:t xml:space="preserve"> </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采购活动，提供的货物全部由符合政策要求的中小企业制造。相关企业（含联合体中的中小企业、签订分包意向协议的中小企业）的具体情况如下：</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（采购文件中明确的所属行业）行业</w:t>
      </w:r>
      <w:r>
        <w:rPr>
          <w:rFonts w:hint="eastAsia" w:ascii="宋体" w:hAnsi="宋体" w:cs="宋体"/>
          <w:color w:val="auto"/>
          <w:sz w:val="24"/>
        </w:rPr>
        <w:t>；制造商为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万元①，属于</w:t>
      </w:r>
      <w:r>
        <w:rPr>
          <w:rFonts w:hint="eastAsia" w:ascii="宋体" w:hAnsi="宋体" w:cs="宋体"/>
          <w:color w:val="auto"/>
          <w:sz w:val="24"/>
          <w:u w:val="single"/>
        </w:rPr>
        <w:t>（中型企业、小 型企业、微型企业）</w:t>
      </w:r>
      <w:r>
        <w:rPr>
          <w:rFonts w:hint="eastAsia" w:ascii="宋体" w:hAnsi="宋体" w:cs="宋体"/>
          <w:color w:val="auto"/>
          <w:sz w:val="24"/>
        </w:rPr>
        <w:t xml:space="preserve">； </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（采购文件中明确的所属行业）行业</w:t>
      </w:r>
      <w:r>
        <w:rPr>
          <w:rFonts w:hint="eastAsia" w:ascii="宋体" w:hAnsi="宋体" w:cs="宋体"/>
          <w:color w:val="auto"/>
          <w:sz w:val="24"/>
        </w:rPr>
        <w:t>；制造商为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万元①，属于</w:t>
      </w:r>
      <w:r>
        <w:rPr>
          <w:rFonts w:hint="eastAsia" w:ascii="宋体" w:hAnsi="宋体" w:cs="宋体"/>
          <w:color w:val="auto"/>
          <w:sz w:val="24"/>
          <w:u w:val="single"/>
        </w:rPr>
        <w:t>（中型企业、小 型企业、微型企业）</w:t>
      </w:r>
      <w:r>
        <w:rPr>
          <w:rFonts w:hint="eastAsia" w:ascii="宋体" w:hAnsi="宋体" w:cs="宋体"/>
          <w:color w:val="auto"/>
          <w:sz w:val="24"/>
        </w:rPr>
        <w:t xml:space="preserve">； </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before="216" w:beforeLines="60" w:after="216" w:afterLines="60" w:line="360" w:lineRule="auto"/>
        <w:ind w:firstLine="480"/>
        <w:rPr>
          <w:rFonts w:ascii="宋体" w:hAnsi="宋体" w:cs="宋体"/>
          <w:color w:val="auto"/>
          <w:sz w:val="24"/>
        </w:rPr>
      </w:pPr>
      <w:r>
        <w:rPr>
          <w:rFonts w:hint="eastAsia" w:ascii="宋体" w:hAnsi="宋体" w:cs="宋体"/>
          <w:color w:val="auto"/>
          <w:sz w:val="24"/>
        </w:rPr>
        <w:t xml:space="preserve">本企业对上述声明内容的真实性负责。如有虚假，将依法承担相应责任。  </w:t>
      </w:r>
    </w:p>
    <w:p>
      <w:pPr>
        <w:spacing w:before="216" w:beforeLines="60" w:after="216" w:afterLines="60" w:line="360" w:lineRule="auto"/>
        <w:ind w:firstLine="4560" w:firstLineChars="1900"/>
        <w:rPr>
          <w:rFonts w:ascii="宋体" w:hAnsi="宋体" w:cs="宋体"/>
          <w:color w:val="auto"/>
          <w:sz w:val="24"/>
        </w:rPr>
      </w:pPr>
      <w:r>
        <w:rPr>
          <w:rFonts w:hint="eastAsia" w:ascii="宋体" w:hAnsi="宋体" w:cs="宋体"/>
          <w:color w:val="auto"/>
          <w:sz w:val="24"/>
        </w:rPr>
        <w:t xml:space="preserve">企业名称（盖章）： </w:t>
      </w:r>
    </w:p>
    <w:p>
      <w:pPr>
        <w:spacing w:before="216" w:beforeLines="60" w:after="216" w:afterLines="60" w:line="360" w:lineRule="auto"/>
        <w:ind w:firstLine="4560" w:firstLineChars="1900"/>
        <w:rPr>
          <w:rFonts w:ascii="宋体" w:hAnsi="宋体" w:cs="宋体"/>
          <w:color w:val="auto"/>
          <w:sz w:val="24"/>
        </w:rPr>
      </w:pPr>
      <w:r>
        <w:rPr>
          <w:rFonts w:hint="eastAsia" w:ascii="宋体" w:hAnsi="宋体" w:cs="宋体"/>
          <w:color w:val="auto"/>
          <w:sz w:val="24"/>
        </w:rPr>
        <w:t xml:space="preserve">日 期： </w:t>
      </w:r>
    </w:p>
    <w:p>
      <w:pPr>
        <w:spacing w:before="216" w:beforeLines="60" w:after="216" w:afterLines="60"/>
        <w:ind w:firstLine="480"/>
        <w:rPr>
          <w:rFonts w:ascii="宋体" w:hAnsi="宋体" w:cs="宋体"/>
          <w:color w:val="auto"/>
          <w:sz w:val="24"/>
        </w:rPr>
      </w:pPr>
    </w:p>
    <w:p>
      <w:pPr>
        <w:spacing w:before="216" w:beforeLines="60" w:after="216" w:afterLines="60"/>
        <w:ind w:firstLine="480"/>
        <w:rPr>
          <w:rFonts w:ascii="宋体" w:hAnsi="宋体" w:cs="宋体"/>
          <w:color w:val="auto"/>
          <w:sz w:val="18"/>
          <w:szCs w:val="18"/>
        </w:rPr>
      </w:pPr>
      <w:r>
        <w:rPr>
          <w:rFonts w:hint="eastAsia" w:ascii="宋体" w:hAnsi="宋体" w:cs="宋体"/>
          <w:color w:val="auto"/>
          <w:sz w:val="24"/>
        </w:rPr>
        <w:t>①</w:t>
      </w:r>
      <w:r>
        <w:rPr>
          <w:rFonts w:hint="eastAsia" w:ascii="宋体" w:hAnsi="宋体" w:cs="宋体"/>
          <w:color w:val="auto"/>
          <w:sz w:val="18"/>
          <w:szCs w:val="18"/>
        </w:rPr>
        <w:t>从业人员、营业收入、资产总额填报上一年度数据，无上一年度数据的新成立企业可不填报。</w:t>
      </w:r>
    </w:p>
    <w:p>
      <w:pPr>
        <w:pStyle w:val="27"/>
        <w:spacing w:line="375" w:lineRule="atLeast"/>
        <w:rPr>
          <w:color w:val="auto"/>
        </w:rPr>
      </w:pPr>
    </w:p>
    <w:p>
      <w:pPr>
        <w:pStyle w:val="27"/>
        <w:spacing w:line="375" w:lineRule="atLeast"/>
        <w:rPr>
          <w:color w:val="auto"/>
        </w:rPr>
      </w:pPr>
    </w:p>
    <w:p>
      <w:pPr>
        <w:pStyle w:val="6"/>
        <w:spacing w:line="500" w:lineRule="exact"/>
        <w:jc w:val="center"/>
        <w:rPr>
          <w:rFonts w:ascii="宋体" w:hAnsi="宋体" w:cs="宋体"/>
          <w:color w:val="auto"/>
        </w:rPr>
      </w:pPr>
      <w:bookmarkStart w:id="407" w:name="_Toc439687773"/>
      <w:r>
        <w:rPr>
          <w:rFonts w:hint="eastAsia" w:ascii="宋体" w:hAnsi="宋体" w:cs="宋体"/>
          <w:color w:val="auto"/>
        </w:rPr>
        <w:t>6． 商务条款偏离表</w:t>
      </w:r>
      <w:bookmarkEnd w:id="406"/>
      <w:bookmarkEnd w:id="407"/>
    </w:p>
    <w:p>
      <w:pPr>
        <w:spacing w:line="500" w:lineRule="exact"/>
        <w:rPr>
          <w:rFonts w:ascii="宋体" w:hAnsi="宋体" w:cs="宋体"/>
          <w:color w:val="auto"/>
          <w:u w:val="single"/>
        </w:rPr>
      </w:pPr>
      <w:r>
        <w:rPr>
          <w:rFonts w:hint="eastAsia" w:ascii="宋体" w:hAnsi="宋体" w:cs="宋体"/>
          <w:color w:val="auto"/>
          <w:sz w:val="24"/>
        </w:rPr>
        <w:t>项目名称：</w:t>
      </w:r>
      <w:r>
        <w:rPr>
          <w:rFonts w:hint="eastAsia" w:ascii="宋体" w:hAnsi="宋体" w:cs="宋体"/>
          <w:color w:val="auto"/>
          <w:sz w:val="24"/>
          <w:u w:val="single"/>
        </w:rPr>
        <w:t xml:space="preserve">                      </w:t>
      </w:r>
      <w:r>
        <w:rPr>
          <w:rFonts w:hint="eastAsia" w:ascii="宋体" w:hAnsi="宋体" w:cs="宋体"/>
          <w:color w:val="auto"/>
          <w:sz w:val="24"/>
          <w:u w:val="none"/>
          <w:lang w:val="en-US" w:eastAsia="zh-CN"/>
        </w:rPr>
        <w:t xml:space="preserve">     </w:t>
      </w:r>
      <w:r>
        <w:rPr>
          <w:rFonts w:hint="eastAsia" w:ascii="宋体" w:hAnsi="宋体" w:cs="宋体"/>
          <w:color w:val="auto"/>
          <w:sz w:val="24"/>
        </w:rPr>
        <w:t>招标编号：</w:t>
      </w:r>
      <w:r>
        <w:rPr>
          <w:rFonts w:hint="eastAsia" w:ascii="宋体" w:hAnsi="宋体" w:cs="宋体"/>
          <w:color w:val="auto"/>
          <w:sz w:val="24"/>
          <w:u w:val="single"/>
        </w:rPr>
        <w:t xml:space="preserve">                   </w:t>
      </w:r>
    </w:p>
    <w:p>
      <w:pPr>
        <w:spacing w:line="500" w:lineRule="exact"/>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u w:val="single"/>
        </w:rPr>
        <w:t xml:space="preserve">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p>
    <w:tbl>
      <w:tblPr>
        <w:tblStyle w:val="30"/>
        <w:tblW w:w="9125" w:type="dxa"/>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1010"/>
        <w:gridCol w:w="1815"/>
        <w:gridCol w:w="2520"/>
        <w:gridCol w:w="2415"/>
        <w:gridCol w:w="136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Borders>
              <w:top w:val="double" w:color="auto" w:sz="4" w:space="0"/>
            </w:tcBorders>
            <w:vAlign w:val="center"/>
          </w:tcPr>
          <w:p>
            <w:pPr>
              <w:spacing w:before="120" w:line="500" w:lineRule="exact"/>
              <w:jc w:val="center"/>
              <w:rPr>
                <w:rFonts w:ascii="宋体" w:hAnsi="宋体" w:cs="宋体"/>
                <w:color w:val="auto"/>
                <w:sz w:val="24"/>
              </w:rPr>
            </w:pPr>
            <w:r>
              <w:rPr>
                <w:rFonts w:hint="eastAsia" w:ascii="宋体" w:hAnsi="宋体" w:cs="宋体"/>
                <w:color w:val="auto"/>
                <w:sz w:val="24"/>
              </w:rPr>
              <w:t>序号</w:t>
            </w:r>
          </w:p>
        </w:tc>
        <w:tc>
          <w:tcPr>
            <w:tcW w:w="1815" w:type="dxa"/>
            <w:tcBorders>
              <w:top w:val="double" w:color="auto" w:sz="4" w:space="0"/>
            </w:tcBorders>
            <w:vAlign w:val="center"/>
          </w:tcPr>
          <w:p>
            <w:pPr>
              <w:spacing w:before="120" w:line="500" w:lineRule="exact"/>
              <w:jc w:val="center"/>
              <w:rPr>
                <w:rFonts w:ascii="宋体" w:hAnsi="宋体" w:cs="宋体"/>
                <w:color w:val="auto"/>
                <w:sz w:val="24"/>
              </w:rPr>
            </w:pPr>
            <w:r>
              <w:rPr>
                <w:rFonts w:hint="eastAsia" w:ascii="宋体" w:hAnsi="宋体" w:cs="宋体"/>
                <w:color w:val="auto"/>
                <w:sz w:val="24"/>
              </w:rPr>
              <w:t>招标文件条目号</w:t>
            </w:r>
          </w:p>
        </w:tc>
        <w:tc>
          <w:tcPr>
            <w:tcW w:w="2520" w:type="dxa"/>
            <w:tcBorders>
              <w:top w:val="double" w:color="auto" w:sz="4" w:space="0"/>
            </w:tcBorders>
            <w:vAlign w:val="center"/>
          </w:tcPr>
          <w:p>
            <w:pPr>
              <w:spacing w:before="120" w:line="500" w:lineRule="exact"/>
              <w:jc w:val="center"/>
              <w:rPr>
                <w:rFonts w:ascii="宋体" w:hAnsi="宋体" w:cs="宋体"/>
                <w:color w:val="auto"/>
                <w:sz w:val="24"/>
              </w:rPr>
            </w:pPr>
            <w:r>
              <w:rPr>
                <w:rFonts w:hint="eastAsia" w:ascii="宋体" w:hAnsi="宋体" w:cs="宋体"/>
                <w:color w:val="auto"/>
                <w:sz w:val="24"/>
              </w:rPr>
              <w:t>招标文件的商务要求</w:t>
            </w:r>
          </w:p>
        </w:tc>
        <w:tc>
          <w:tcPr>
            <w:tcW w:w="2415" w:type="dxa"/>
            <w:tcBorders>
              <w:top w:val="double" w:color="auto" w:sz="4" w:space="0"/>
            </w:tcBorders>
            <w:vAlign w:val="center"/>
          </w:tcPr>
          <w:p>
            <w:pPr>
              <w:spacing w:before="120" w:line="500" w:lineRule="exact"/>
              <w:jc w:val="center"/>
              <w:rPr>
                <w:rFonts w:ascii="宋体" w:hAnsi="宋体" w:cs="宋体"/>
                <w:color w:val="auto"/>
                <w:sz w:val="24"/>
              </w:rPr>
            </w:pPr>
            <w:r>
              <w:rPr>
                <w:rFonts w:hint="eastAsia" w:ascii="宋体" w:hAnsi="宋体" w:cs="宋体"/>
                <w:color w:val="auto"/>
                <w:sz w:val="24"/>
              </w:rPr>
              <w:t>投标文件的商务响应</w:t>
            </w:r>
          </w:p>
        </w:tc>
        <w:tc>
          <w:tcPr>
            <w:tcW w:w="1365" w:type="dxa"/>
            <w:tcBorders>
              <w:top w:val="double" w:color="auto" w:sz="4" w:space="0"/>
            </w:tcBorders>
            <w:vAlign w:val="center"/>
          </w:tcPr>
          <w:p>
            <w:pPr>
              <w:spacing w:before="120" w:line="500" w:lineRule="exact"/>
              <w:jc w:val="center"/>
              <w:rPr>
                <w:rFonts w:ascii="宋体" w:hAnsi="宋体" w:cs="宋体"/>
                <w:color w:val="auto"/>
                <w:sz w:val="24"/>
              </w:rPr>
            </w:pPr>
            <w:r>
              <w:rPr>
                <w:rFonts w:hint="eastAsia" w:ascii="宋体" w:hAnsi="宋体" w:cs="宋体"/>
                <w:color w:val="auto"/>
                <w:sz w:val="24"/>
              </w:rPr>
              <w:t>偏离说明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Pr>
          <w:p>
            <w:pPr>
              <w:spacing w:line="500" w:lineRule="exact"/>
              <w:rPr>
                <w:rFonts w:ascii="宋体" w:hAnsi="宋体" w:cs="宋体"/>
                <w:color w:val="auto"/>
                <w:sz w:val="24"/>
              </w:rPr>
            </w:pPr>
          </w:p>
        </w:tc>
        <w:tc>
          <w:tcPr>
            <w:tcW w:w="1815" w:type="dxa"/>
          </w:tcPr>
          <w:p>
            <w:pPr>
              <w:spacing w:line="500" w:lineRule="exact"/>
              <w:rPr>
                <w:rFonts w:ascii="宋体" w:hAnsi="宋体" w:cs="宋体"/>
                <w:color w:val="auto"/>
                <w:sz w:val="24"/>
              </w:rPr>
            </w:pPr>
          </w:p>
        </w:tc>
        <w:tc>
          <w:tcPr>
            <w:tcW w:w="2520" w:type="dxa"/>
          </w:tcPr>
          <w:p>
            <w:pPr>
              <w:spacing w:line="500" w:lineRule="exact"/>
              <w:rPr>
                <w:rFonts w:ascii="宋体" w:hAnsi="宋体" w:cs="宋体"/>
                <w:color w:val="auto"/>
                <w:sz w:val="24"/>
              </w:rPr>
            </w:pPr>
          </w:p>
        </w:tc>
        <w:tc>
          <w:tcPr>
            <w:tcW w:w="2415" w:type="dxa"/>
          </w:tcPr>
          <w:p>
            <w:pPr>
              <w:spacing w:line="500" w:lineRule="exact"/>
              <w:rPr>
                <w:rFonts w:ascii="宋体" w:hAnsi="宋体" w:cs="宋体"/>
                <w:color w:val="auto"/>
                <w:sz w:val="24"/>
              </w:rPr>
            </w:pPr>
          </w:p>
        </w:tc>
        <w:tc>
          <w:tcPr>
            <w:tcW w:w="1365" w:type="dxa"/>
          </w:tcPr>
          <w:p>
            <w:pPr>
              <w:spacing w:line="500" w:lineRule="exact"/>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1010" w:type="dxa"/>
            <w:tcBorders>
              <w:bottom w:val="double" w:color="auto" w:sz="4" w:space="0"/>
            </w:tcBorders>
          </w:tcPr>
          <w:p>
            <w:pPr>
              <w:spacing w:line="500" w:lineRule="exact"/>
              <w:rPr>
                <w:rFonts w:ascii="宋体" w:hAnsi="宋体" w:cs="宋体"/>
                <w:color w:val="auto"/>
                <w:sz w:val="24"/>
              </w:rPr>
            </w:pPr>
          </w:p>
        </w:tc>
        <w:tc>
          <w:tcPr>
            <w:tcW w:w="1815" w:type="dxa"/>
            <w:tcBorders>
              <w:bottom w:val="double" w:color="auto" w:sz="4" w:space="0"/>
            </w:tcBorders>
          </w:tcPr>
          <w:p>
            <w:pPr>
              <w:spacing w:line="500" w:lineRule="exact"/>
              <w:rPr>
                <w:rFonts w:ascii="宋体" w:hAnsi="宋体" w:cs="宋体"/>
                <w:color w:val="auto"/>
                <w:sz w:val="24"/>
              </w:rPr>
            </w:pPr>
          </w:p>
        </w:tc>
        <w:tc>
          <w:tcPr>
            <w:tcW w:w="2520" w:type="dxa"/>
            <w:tcBorders>
              <w:bottom w:val="double" w:color="auto" w:sz="4" w:space="0"/>
            </w:tcBorders>
          </w:tcPr>
          <w:p>
            <w:pPr>
              <w:spacing w:line="500" w:lineRule="exact"/>
              <w:rPr>
                <w:rFonts w:ascii="宋体" w:hAnsi="宋体" w:cs="宋体"/>
                <w:color w:val="auto"/>
                <w:sz w:val="24"/>
              </w:rPr>
            </w:pPr>
          </w:p>
        </w:tc>
        <w:tc>
          <w:tcPr>
            <w:tcW w:w="2415" w:type="dxa"/>
            <w:tcBorders>
              <w:bottom w:val="double" w:color="auto" w:sz="4" w:space="0"/>
            </w:tcBorders>
          </w:tcPr>
          <w:p>
            <w:pPr>
              <w:spacing w:line="500" w:lineRule="exact"/>
              <w:rPr>
                <w:rFonts w:ascii="宋体" w:hAnsi="宋体" w:cs="宋体"/>
                <w:color w:val="auto"/>
                <w:sz w:val="24"/>
              </w:rPr>
            </w:pPr>
          </w:p>
        </w:tc>
        <w:tc>
          <w:tcPr>
            <w:tcW w:w="1365" w:type="dxa"/>
            <w:tcBorders>
              <w:bottom w:val="double" w:color="auto" w:sz="4" w:space="0"/>
            </w:tcBorders>
          </w:tcPr>
          <w:p>
            <w:pPr>
              <w:spacing w:line="500" w:lineRule="exact"/>
              <w:rPr>
                <w:rFonts w:ascii="宋体" w:hAnsi="宋体" w:cs="宋体"/>
                <w:color w:val="auto"/>
                <w:sz w:val="24"/>
              </w:rPr>
            </w:pPr>
          </w:p>
        </w:tc>
      </w:tr>
    </w:tbl>
    <w:p>
      <w:pPr>
        <w:spacing w:line="500" w:lineRule="exact"/>
        <w:rPr>
          <w:rFonts w:ascii="宋体" w:hAnsi="宋体" w:cs="宋体"/>
          <w:color w:val="auto"/>
          <w:sz w:val="24"/>
        </w:rPr>
      </w:pPr>
      <w:r>
        <w:rPr>
          <w:rFonts w:hint="eastAsia" w:ascii="宋体" w:hAnsi="宋体" w:cs="宋体"/>
          <w:color w:val="auto"/>
          <w:sz w:val="24"/>
        </w:rPr>
        <w:t>注：本表应包括合同条款的偏离说明</w:t>
      </w:r>
    </w:p>
    <w:p>
      <w:pPr>
        <w:spacing w:line="500" w:lineRule="exact"/>
        <w:rPr>
          <w:rFonts w:ascii="宋体" w:hAnsi="宋体" w:cs="宋体"/>
          <w:color w:val="auto"/>
          <w:sz w:val="24"/>
        </w:rPr>
      </w:pPr>
      <w:r>
        <w:rPr>
          <w:rFonts w:hint="eastAsia" w:ascii="宋体" w:hAnsi="宋体" w:cs="宋体"/>
          <w:color w:val="auto"/>
          <w:sz w:val="24"/>
        </w:rPr>
        <w:t>供应商授权代表签字加盖公章：</w:t>
      </w:r>
      <w:r>
        <w:rPr>
          <w:rFonts w:hint="eastAsia" w:ascii="宋体" w:hAnsi="宋体" w:cs="宋体"/>
          <w:color w:val="auto"/>
          <w:sz w:val="24"/>
          <w:u w:val="single"/>
        </w:rPr>
        <w:t xml:space="preserve">             </w:t>
      </w:r>
    </w:p>
    <w:p>
      <w:pPr>
        <w:spacing w:line="500" w:lineRule="exact"/>
        <w:rPr>
          <w:rFonts w:ascii="宋体" w:hAnsi="宋体" w:cs="宋体"/>
          <w:color w:val="auto"/>
          <w:sz w:val="24"/>
          <w:u w:val="single"/>
        </w:rPr>
      </w:pPr>
      <w:r>
        <w:rPr>
          <w:rFonts w:hint="eastAsia" w:ascii="宋体" w:hAnsi="宋体" w:cs="宋体"/>
          <w:color w:val="auto"/>
          <w:sz w:val="24"/>
        </w:rPr>
        <w:t>日期：</w:t>
      </w:r>
      <w:r>
        <w:rPr>
          <w:rFonts w:hint="eastAsia" w:ascii="宋体" w:hAnsi="宋体" w:cs="宋体"/>
          <w:color w:val="auto"/>
          <w:sz w:val="24"/>
          <w:u w:val="single"/>
        </w:rPr>
        <w:t xml:space="preserve">                   </w:t>
      </w:r>
    </w:p>
    <w:p>
      <w:pPr>
        <w:rPr>
          <w:rFonts w:hint="eastAsia" w:ascii="宋体" w:hAnsi="宋体" w:cs="宋体"/>
          <w:color w:val="auto"/>
        </w:rPr>
      </w:pPr>
      <w:bookmarkStart w:id="408" w:name="_Toc439687774"/>
      <w:r>
        <w:rPr>
          <w:rFonts w:hint="eastAsia" w:ascii="宋体" w:hAnsi="宋体" w:cs="宋体"/>
          <w:color w:val="auto"/>
        </w:rPr>
        <w:br w:type="page"/>
      </w:r>
    </w:p>
    <w:p>
      <w:pPr>
        <w:pStyle w:val="6"/>
        <w:spacing w:line="500" w:lineRule="exact"/>
        <w:jc w:val="center"/>
        <w:rPr>
          <w:rFonts w:ascii="宋体" w:hAnsi="宋体" w:cs="宋体"/>
          <w:color w:val="auto"/>
        </w:rPr>
      </w:pPr>
      <w:r>
        <w:rPr>
          <w:rFonts w:hint="eastAsia" w:ascii="宋体" w:hAnsi="宋体" w:cs="宋体"/>
          <w:color w:val="auto"/>
        </w:rPr>
        <w:t>7．供应商一般情况表</w:t>
      </w:r>
      <w:bookmarkEnd w:id="408"/>
    </w:p>
    <w:tbl>
      <w:tblPr>
        <w:tblStyle w:val="30"/>
        <w:tblW w:w="94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32"/>
        <w:gridCol w:w="3259"/>
        <w:gridCol w:w="1616"/>
        <w:gridCol w:w="29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2"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供应商全称</w:t>
            </w:r>
          </w:p>
        </w:tc>
        <w:tc>
          <w:tcPr>
            <w:tcW w:w="3259"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 xml:space="preserve"> </w:t>
            </w: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法定代表人</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注册地</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注册年份</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注册资金</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单位性质</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总部地址</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联系人</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电话</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传真</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常驻机构地址</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联系人</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电话</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传真</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公司资质等级证书</w:t>
            </w:r>
          </w:p>
        </w:tc>
        <w:tc>
          <w:tcPr>
            <w:tcW w:w="3259"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需附有关证书的复印件</w:t>
            </w:r>
          </w:p>
          <w:p>
            <w:pPr>
              <w:spacing w:line="500" w:lineRule="exact"/>
              <w:ind w:left="140" w:leftChars="50"/>
              <w:jc w:val="center"/>
              <w:rPr>
                <w:rFonts w:ascii="宋体" w:hAnsi="宋体" w:cs="宋体"/>
                <w:color w:val="auto"/>
                <w:sz w:val="24"/>
              </w:rPr>
            </w:pPr>
            <w:r>
              <w:rPr>
                <w:rFonts w:hint="eastAsia" w:ascii="宋体" w:hAnsi="宋体" w:cs="宋体"/>
                <w:color w:val="auto"/>
                <w:sz w:val="24"/>
              </w:rPr>
              <w:t>（如有）</w:t>
            </w: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营业执照号</w:t>
            </w: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4"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类似项目工作经历年数</w:t>
            </w:r>
          </w:p>
        </w:tc>
        <w:tc>
          <w:tcPr>
            <w:tcW w:w="7849" w:type="dxa"/>
            <w:gridSpan w:val="3"/>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39"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基本帐户开户银行及账号</w:t>
            </w:r>
          </w:p>
        </w:tc>
        <w:tc>
          <w:tcPr>
            <w:tcW w:w="3259" w:type="dxa"/>
            <w:vAlign w:val="center"/>
          </w:tcPr>
          <w:p>
            <w:pPr>
              <w:spacing w:line="500" w:lineRule="exact"/>
              <w:ind w:left="140" w:leftChars="50"/>
              <w:jc w:val="center"/>
              <w:rPr>
                <w:rFonts w:ascii="宋体" w:hAnsi="宋体" w:cs="宋体"/>
                <w:color w:val="auto"/>
                <w:sz w:val="24"/>
              </w:rPr>
            </w:pPr>
          </w:p>
        </w:tc>
        <w:tc>
          <w:tcPr>
            <w:tcW w:w="1616" w:type="dxa"/>
            <w:vAlign w:val="center"/>
          </w:tcPr>
          <w:p>
            <w:pPr>
              <w:spacing w:line="500" w:lineRule="exact"/>
              <w:ind w:left="140" w:leftChars="50"/>
              <w:jc w:val="center"/>
              <w:rPr>
                <w:rFonts w:ascii="宋体" w:hAnsi="宋体" w:cs="宋体"/>
                <w:color w:val="auto"/>
                <w:sz w:val="24"/>
              </w:rPr>
            </w:pPr>
          </w:p>
          <w:p>
            <w:pPr>
              <w:spacing w:line="500" w:lineRule="exact"/>
              <w:ind w:left="140" w:leftChars="50"/>
              <w:jc w:val="center"/>
              <w:rPr>
                <w:rFonts w:ascii="宋体" w:hAnsi="宋体" w:cs="宋体"/>
                <w:color w:val="auto"/>
                <w:sz w:val="24"/>
              </w:rPr>
            </w:pPr>
          </w:p>
          <w:p>
            <w:pPr>
              <w:spacing w:line="500" w:lineRule="exact"/>
              <w:ind w:left="140" w:leftChars="50"/>
              <w:jc w:val="center"/>
              <w:rPr>
                <w:rFonts w:ascii="宋体" w:hAnsi="宋体" w:cs="宋体"/>
                <w:color w:val="auto"/>
                <w:sz w:val="24"/>
              </w:rPr>
            </w:pPr>
            <w:r>
              <w:rPr>
                <w:rFonts w:hint="eastAsia" w:ascii="宋体" w:hAnsi="宋体" w:cs="宋体"/>
                <w:color w:val="auto"/>
                <w:sz w:val="24"/>
              </w:rPr>
              <w:t>主营范围</w:t>
            </w:r>
          </w:p>
          <w:p>
            <w:pPr>
              <w:spacing w:line="500" w:lineRule="exact"/>
              <w:ind w:left="140" w:leftChars="50"/>
              <w:jc w:val="center"/>
              <w:rPr>
                <w:rFonts w:ascii="宋体" w:hAnsi="宋体" w:cs="宋体"/>
                <w:color w:val="auto"/>
                <w:sz w:val="24"/>
              </w:rPr>
            </w:pPr>
          </w:p>
          <w:p>
            <w:pPr>
              <w:spacing w:line="500" w:lineRule="exact"/>
              <w:ind w:left="140" w:leftChars="50"/>
              <w:jc w:val="center"/>
              <w:rPr>
                <w:rFonts w:ascii="宋体" w:hAnsi="宋体" w:cs="宋体"/>
                <w:color w:val="auto"/>
                <w:sz w:val="24"/>
              </w:rPr>
            </w:pPr>
          </w:p>
        </w:tc>
        <w:tc>
          <w:tcPr>
            <w:tcW w:w="2974" w:type="dxa"/>
            <w:vAlign w:val="center"/>
          </w:tcPr>
          <w:p>
            <w:pPr>
              <w:spacing w:line="500" w:lineRule="exact"/>
              <w:ind w:left="140" w:leftChars="50"/>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6" w:hRule="atLeast"/>
          <w:jc w:val="center"/>
        </w:trPr>
        <w:tc>
          <w:tcPr>
            <w:tcW w:w="1632"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近三年</w:t>
            </w:r>
          </w:p>
          <w:p>
            <w:pPr>
              <w:spacing w:line="500" w:lineRule="exact"/>
              <w:ind w:left="140" w:leftChars="50"/>
              <w:jc w:val="center"/>
              <w:rPr>
                <w:rFonts w:ascii="宋体" w:hAnsi="宋体" w:cs="宋体"/>
                <w:color w:val="auto"/>
                <w:sz w:val="24"/>
              </w:rPr>
            </w:pPr>
            <w:r>
              <w:rPr>
                <w:rFonts w:hint="eastAsia" w:ascii="宋体" w:hAnsi="宋体" w:cs="宋体"/>
                <w:color w:val="auto"/>
                <w:sz w:val="24"/>
              </w:rPr>
              <w:t>营业额</w:t>
            </w:r>
          </w:p>
        </w:tc>
        <w:tc>
          <w:tcPr>
            <w:tcW w:w="3259" w:type="dxa"/>
            <w:vAlign w:val="center"/>
          </w:tcPr>
          <w:p>
            <w:pPr>
              <w:spacing w:line="500" w:lineRule="exact"/>
              <w:ind w:left="140" w:leftChars="50"/>
              <w:jc w:val="center"/>
              <w:rPr>
                <w:rFonts w:ascii="宋体" w:hAnsi="宋体" w:cs="宋体"/>
                <w:color w:val="auto"/>
                <w:sz w:val="24"/>
                <w:u w:val="single"/>
              </w:rPr>
            </w:pPr>
            <w:r>
              <w:rPr>
                <w:rFonts w:hint="eastAsia" w:ascii="宋体" w:hAnsi="宋体" w:cs="宋体"/>
                <w:color w:val="auto"/>
                <w:sz w:val="24"/>
                <w:u w:val="single"/>
              </w:rPr>
              <w:t>20</w:t>
            </w:r>
            <w:r>
              <w:rPr>
                <w:rFonts w:hint="eastAsia" w:ascii="宋体" w:hAnsi="宋体" w:cs="宋体"/>
                <w:color w:val="auto"/>
                <w:sz w:val="24"/>
                <w:u w:val="single"/>
                <w:lang w:val="en-US" w:eastAsia="zh-CN"/>
              </w:rPr>
              <w:t>20</w:t>
            </w:r>
            <w:r>
              <w:rPr>
                <w:rFonts w:hint="eastAsia" w:ascii="宋体" w:hAnsi="宋体" w:cs="宋体"/>
                <w:color w:val="auto"/>
                <w:sz w:val="24"/>
                <w:u w:val="single"/>
              </w:rPr>
              <w:t>年度：</w:t>
            </w:r>
          </w:p>
          <w:p>
            <w:pPr>
              <w:spacing w:line="500" w:lineRule="exact"/>
              <w:ind w:left="140" w:leftChars="50"/>
              <w:jc w:val="center"/>
              <w:rPr>
                <w:rFonts w:ascii="宋体" w:hAnsi="宋体" w:cs="宋体"/>
                <w:color w:val="auto"/>
                <w:sz w:val="24"/>
                <w:u w:val="single"/>
              </w:rPr>
            </w:pPr>
            <w:r>
              <w:rPr>
                <w:rFonts w:hint="eastAsia" w:ascii="宋体" w:hAnsi="宋体" w:cs="宋体"/>
                <w:color w:val="auto"/>
                <w:sz w:val="24"/>
                <w:u w:val="single"/>
              </w:rPr>
              <w:t>20</w:t>
            </w:r>
            <w:r>
              <w:rPr>
                <w:rFonts w:hint="eastAsia" w:ascii="宋体" w:hAnsi="宋体" w:cs="宋体"/>
                <w:color w:val="auto"/>
                <w:sz w:val="24"/>
                <w:u w:val="single"/>
                <w:lang w:val="en-US" w:eastAsia="zh-CN"/>
              </w:rPr>
              <w:t>21</w:t>
            </w:r>
            <w:r>
              <w:rPr>
                <w:rFonts w:hint="eastAsia" w:ascii="宋体" w:hAnsi="宋体" w:cs="宋体"/>
                <w:color w:val="auto"/>
                <w:sz w:val="24"/>
                <w:u w:val="single"/>
              </w:rPr>
              <w:t>年度：</w:t>
            </w:r>
          </w:p>
          <w:p>
            <w:pPr>
              <w:spacing w:line="500" w:lineRule="exact"/>
              <w:ind w:left="140" w:leftChars="50"/>
              <w:jc w:val="center"/>
              <w:rPr>
                <w:rFonts w:ascii="宋体" w:hAnsi="宋体" w:cs="宋体"/>
                <w:color w:val="auto"/>
                <w:sz w:val="24"/>
                <w:u w:val="single"/>
              </w:rPr>
            </w:pPr>
            <w:r>
              <w:rPr>
                <w:rFonts w:hint="eastAsia" w:ascii="宋体" w:hAnsi="宋体" w:cs="宋体"/>
                <w:color w:val="auto"/>
                <w:sz w:val="24"/>
                <w:u w:val="single"/>
              </w:rPr>
              <w:t>202</w:t>
            </w:r>
            <w:r>
              <w:rPr>
                <w:rFonts w:hint="eastAsia" w:ascii="宋体" w:hAnsi="宋体" w:cs="宋体"/>
                <w:color w:val="auto"/>
                <w:sz w:val="24"/>
                <w:u w:val="single"/>
                <w:lang w:val="en-US" w:eastAsia="zh-CN"/>
              </w:rPr>
              <w:t>2</w:t>
            </w:r>
            <w:r>
              <w:rPr>
                <w:rFonts w:hint="eastAsia" w:ascii="宋体" w:hAnsi="宋体" w:cs="宋体"/>
                <w:color w:val="auto"/>
                <w:sz w:val="24"/>
                <w:u w:val="single"/>
              </w:rPr>
              <w:t>年度：</w:t>
            </w:r>
          </w:p>
        </w:tc>
        <w:tc>
          <w:tcPr>
            <w:tcW w:w="1616" w:type="dxa"/>
            <w:vAlign w:val="center"/>
          </w:tcPr>
          <w:p>
            <w:pPr>
              <w:spacing w:line="500" w:lineRule="exact"/>
              <w:ind w:left="140" w:leftChars="50"/>
              <w:jc w:val="center"/>
              <w:rPr>
                <w:rFonts w:ascii="宋体" w:hAnsi="宋体" w:cs="宋体"/>
                <w:color w:val="auto"/>
                <w:sz w:val="24"/>
              </w:rPr>
            </w:pPr>
            <w:r>
              <w:rPr>
                <w:rFonts w:hint="eastAsia" w:ascii="宋体" w:hAnsi="宋体" w:cs="宋体"/>
                <w:color w:val="auto"/>
                <w:sz w:val="24"/>
              </w:rPr>
              <w:t>财务状况</w:t>
            </w:r>
          </w:p>
        </w:tc>
        <w:tc>
          <w:tcPr>
            <w:tcW w:w="2974" w:type="dxa"/>
            <w:vAlign w:val="center"/>
          </w:tcPr>
          <w:p>
            <w:pPr>
              <w:spacing w:line="500" w:lineRule="exact"/>
              <w:ind w:left="140" w:leftChars="50"/>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9481" w:type="dxa"/>
            <w:gridSpan w:val="4"/>
            <w:vAlign w:val="center"/>
          </w:tcPr>
          <w:p>
            <w:pPr>
              <w:spacing w:line="500" w:lineRule="exact"/>
              <w:ind w:right="155"/>
              <w:jc w:val="center"/>
              <w:rPr>
                <w:rFonts w:ascii="宋体" w:hAnsi="宋体" w:cs="宋体"/>
                <w:color w:val="auto"/>
                <w:sz w:val="24"/>
              </w:rPr>
            </w:pPr>
            <w:r>
              <w:rPr>
                <w:rFonts w:hint="eastAsia" w:ascii="宋体" w:hAnsi="宋体" w:cs="宋体"/>
                <w:color w:val="auto"/>
                <w:sz w:val="24"/>
              </w:rPr>
              <w:t>其他需要说明的情况</w:t>
            </w:r>
          </w:p>
        </w:tc>
      </w:tr>
    </w:tbl>
    <w:p>
      <w:pPr>
        <w:rPr>
          <w:rFonts w:hint="eastAsia" w:ascii="宋体" w:hAnsi="宋体" w:cs="宋体"/>
          <w:color w:val="auto"/>
        </w:rPr>
      </w:pPr>
      <w:bookmarkStart w:id="409" w:name="_Toc439687775"/>
      <w:r>
        <w:rPr>
          <w:rFonts w:hint="eastAsia" w:ascii="宋体" w:hAnsi="宋体" w:cs="宋体"/>
          <w:color w:val="auto"/>
        </w:rPr>
        <w:br w:type="page"/>
      </w:r>
    </w:p>
    <w:p>
      <w:pPr>
        <w:pStyle w:val="6"/>
        <w:spacing w:line="500" w:lineRule="exact"/>
        <w:jc w:val="center"/>
        <w:rPr>
          <w:rFonts w:ascii="宋体" w:hAnsi="宋体" w:cs="宋体"/>
          <w:color w:val="auto"/>
        </w:rPr>
      </w:pPr>
      <w:r>
        <w:rPr>
          <w:rFonts w:hint="eastAsia" w:ascii="宋体" w:hAnsi="宋体" w:cs="宋体"/>
          <w:color w:val="auto"/>
        </w:rPr>
        <w:t>8．近三年已完成或在执行类似项目一览表</w:t>
      </w:r>
      <w:bookmarkEnd w:id="409"/>
    </w:p>
    <w:p>
      <w:pPr>
        <w:spacing w:line="500" w:lineRule="exact"/>
        <w:ind w:left="-37" w:leftChars="-50" w:hanging="103" w:hangingChars="43"/>
        <w:rPr>
          <w:rFonts w:ascii="宋体" w:hAnsi="宋体" w:cs="宋体"/>
          <w:color w:val="auto"/>
          <w:sz w:val="24"/>
          <w:u w:val="single"/>
        </w:rPr>
      </w:pPr>
      <w:r>
        <w:rPr>
          <w:rFonts w:hint="eastAsia" w:ascii="宋体" w:hAnsi="宋体" w:cs="宋体"/>
          <w:color w:val="auto"/>
          <w:sz w:val="24"/>
        </w:rPr>
        <w:t>供应商名称</w:t>
      </w:r>
      <w:r>
        <w:rPr>
          <w:rFonts w:hint="eastAsia" w:ascii="宋体" w:hAnsi="宋体" w:cs="宋体"/>
          <w:color w:val="auto"/>
          <w:sz w:val="24"/>
          <w:lang w:eastAsia="zh-CN"/>
        </w:rPr>
        <w:t>：</w:t>
      </w:r>
      <w:r>
        <w:rPr>
          <w:rFonts w:hint="eastAsia" w:ascii="宋体" w:hAnsi="宋体" w:cs="宋体"/>
          <w:color w:val="auto"/>
          <w:sz w:val="24"/>
          <w:u w:val="single"/>
        </w:rPr>
        <w:t xml:space="preserve">                             </w:t>
      </w:r>
    </w:p>
    <w:tbl>
      <w:tblPr>
        <w:tblStyle w:val="30"/>
        <w:tblW w:w="94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09"/>
        <w:gridCol w:w="1065"/>
        <w:gridCol w:w="1476"/>
        <w:gridCol w:w="1365"/>
        <w:gridCol w:w="1608"/>
        <w:gridCol w:w="1290"/>
        <w:gridCol w:w="2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宋体" w:hAnsi="宋体" w:cs="宋体"/>
                <w:color w:val="auto"/>
                <w:sz w:val="24"/>
              </w:rPr>
            </w:pPr>
            <w:r>
              <w:rPr>
                <w:rFonts w:hint="eastAsia" w:ascii="宋体" w:hAnsi="宋体" w:cs="宋体"/>
                <w:color w:val="auto"/>
                <w:sz w:val="24"/>
              </w:rPr>
              <w:t>序号</w:t>
            </w:r>
          </w:p>
        </w:tc>
        <w:tc>
          <w:tcPr>
            <w:tcW w:w="1065" w:type="dxa"/>
            <w:vAlign w:val="center"/>
          </w:tcPr>
          <w:p>
            <w:pPr>
              <w:spacing w:line="500" w:lineRule="exact"/>
              <w:jc w:val="center"/>
              <w:rPr>
                <w:rFonts w:ascii="宋体" w:hAnsi="宋体" w:cs="宋体"/>
                <w:color w:val="auto"/>
                <w:sz w:val="24"/>
              </w:rPr>
            </w:pPr>
            <w:r>
              <w:rPr>
                <w:rFonts w:hint="eastAsia" w:ascii="宋体" w:hAnsi="宋体" w:cs="宋体"/>
                <w:color w:val="auto"/>
                <w:sz w:val="24"/>
              </w:rPr>
              <w:t>项目名称</w:t>
            </w:r>
          </w:p>
        </w:tc>
        <w:tc>
          <w:tcPr>
            <w:tcW w:w="1476" w:type="dxa"/>
            <w:vAlign w:val="center"/>
          </w:tcPr>
          <w:p>
            <w:pPr>
              <w:spacing w:line="500" w:lineRule="exact"/>
              <w:jc w:val="center"/>
              <w:rPr>
                <w:rFonts w:ascii="宋体" w:hAnsi="宋体" w:cs="宋体"/>
                <w:color w:val="auto"/>
                <w:sz w:val="24"/>
              </w:rPr>
            </w:pPr>
            <w:r>
              <w:rPr>
                <w:rFonts w:hint="eastAsia" w:ascii="宋体" w:hAnsi="宋体" w:cs="宋体"/>
                <w:color w:val="auto"/>
                <w:sz w:val="24"/>
              </w:rPr>
              <w:t>项目内容</w:t>
            </w:r>
          </w:p>
          <w:p>
            <w:pPr>
              <w:spacing w:line="500" w:lineRule="exact"/>
              <w:jc w:val="center"/>
              <w:rPr>
                <w:rFonts w:ascii="宋体" w:hAnsi="宋体" w:cs="宋体"/>
                <w:color w:val="auto"/>
                <w:sz w:val="24"/>
              </w:rPr>
            </w:pPr>
            <w:r>
              <w:rPr>
                <w:rFonts w:hint="eastAsia" w:ascii="宋体" w:hAnsi="宋体" w:cs="宋体"/>
                <w:color w:val="auto"/>
                <w:sz w:val="24"/>
              </w:rPr>
              <w:t>（类似项目）</w:t>
            </w: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r>
              <w:rPr>
                <w:rFonts w:hint="eastAsia" w:ascii="宋体" w:hAnsi="宋体" w:cs="宋体"/>
                <w:color w:val="auto"/>
                <w:sz w:val="24"/>
              </w:rPr>
              <w:t>合同金额（万元）</w:t>
            </w:r>
          </w:p>
        </w:tc>
        <w:tc>
          <w:tcPr>
            <w:tcW w:w="1608" w:type="dxa"/>
            <w:tcBorders>
              <w:left w:val="single" w:color="auto" w:sz="4" w:space="0"/>
            </w:tcBorders>
            <w:vAlign w:val="center"/>
          </w:tcPr>
          <w:p>
            <w:pPr>
              <w:spacing w:line="500" w:lineRule="exact"/>
              <w:jc w:val="center"/>
              <w:rPr>
                <w:rFonts w:ascii="宋体" w:hAnsi="宋体" w:cs="宋体"/>
                <w:color w:val="auto"/>
                <w:sz w:val="24"/>
              </w:rPr>
            </w:pPr>
            <w:r>
              <w:rPr>
                <w:rFonts w:hint="eastAsia" w:ascii="宋体" w:hAnsi="宋体" w:cs="宋体"/>
                <w:color w:val="auto"/>
                <w:sz w:val="24"/>
              </w:rPr>
              <w:t>已结算金额（万元）</w:t>
            </w:r>
          </w:p>
        </w:tc>
        <w:tc>
          <w:tcPr>
            <w:tcW w:w="1290" w:type="dxa"/>
            <w:vAlign w:val="center"/>
          </w:tcPr>
          <w:p>
            <w:pPr>
              <w:spacing w:line="500" w:lineRule="exact"/>
              <w:jc w:val="center"/>
              <w:rPr>
                <w:rFonts w:ascii="宋体" w:hAnsi="宋体" w:cs="宋体"/>
                <w:color w:val="auto"/>
                <w:sz w:val="24"/>
              </w:rPr>
            </w:pPr>
            <w:r>
              <w:rPr>
                <w:rFonts w:hint="eastAsia" w:ascii="宋体" w:hAnsi="宋体" w:cs="宋体"/>
                <w:color w:val="auto"/>
                <w:sz w:val="24"/>
              </w:rPr>
              <w:t>完成日期</w:t>
            </w:r>
          </w:p>
        </w:tc>
        <w:tc>
          <w:tcPr>
            <w:tcW w:w="2006" w:type="dxa"/>
            <w:vAlign w:val="center"/>
          </w:tcPr>
          <w:p>
            <w:pPr>
              <w:spacing w:line="500" w:lineRule="exact"/>
              <w:jc w:val="center"/>
              <w:rPr>
                <w:rFonts w:ascii="宋体" w:hAnsi="宋体" w:cs="宋体"/>
                <w:color w:val="auto"/>
                <w:sz w:val="24"/>
              </w:rPr>
            </w:pPr>
            <w:r>
              <w:rPr>
                <w:rFonts w:hint="eastAsia" w:ascii="宋体" w:hAnsi="宋体" w:cs="宋体"/>
                <w:color w:val="auto"/>
                <w:sz w:val="24"/>
              </w:rPr>
              <w:t>业主名称、联系人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r>
              <w:rPr>
                <w:rFonts w:hint="eastAsia" w:ascii="宋体" w:hAnsi="宋体" w:cs="宋体"/>
                <w:color w:val="auto"/>
                <w:sz w:val="24"/>
              </w:rPr>
              <w:t>1</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r>
              <w:rPr>
                <w:rFonts w:hint="eastAsia" w:ascii="宋体" w:hAnsi="宋体" w:cs="宋体"/>
                <w:color w:val="auto"/>
                <w:sz w:val="24"/>
              </w:rPr>
              <w:t>2</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r>
              <w:rPr>
                <w:rFonts w:hint="eastAsia" w:ascii="宋体" w:hAnsi="宋体" w:cs="宋体"/>
                <w:color w:val="auto"/>
                <w:sz w:val="24"/>
              </w:rPr>
              <w:t>3</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r>
              <w:rPr>
                <w:rFonts w:hint="eastAsia" w:ascii="宋体" w:hAnsi="宋体" w:cs="宋体"/>
                <w:color w:val="auto"/>
                <w:sz w:val="24"/>
              </w:rPr>
              <w:t>4</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r>
              <w:rPr>
                <w:rFonts w:hint="eastAsia" w:ascii="宋体" w:hAnsi="宋体" w:cs="宋体"/>
                <w:color w:val="auto"/>
                <w:sz w:val="24"/>
              </w:rPr>
              <w:t>5</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宋体" w:hAnsi="宋体" w:cs="宋体"/>
                <w:color w:val="auto"/>
                <w:sz w:val="24"/>
              </w:rPr>
            </w:pPr>
            <w:r>
              <w:rPr>
                <w:rFonts w:hint="eastAsia" w:ascii="宋体" w:hAnsi="宋体" w:cs="宋体"/>
                <w:color w:val="auto"/>
                <w:sz w:val="24"/>
              </w:rPr>
              <w:t>…</w:t>
            </w: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jc w:val="center"/>
              <w:rPr>
                <w:rFonts w:ascii="宋体" w:hAnsi="宋体" w:cs="宋体"/>
                <w:color w:val="auto"/>
                <w:sz w:val="24"/>
              </w:rPr>
            </w:pP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609" w:type="dxa"/>
            <w:vAlign w:val="center"/>
          </w:tcPr>
          <w:p>
            <w:pPr>
              <w:spacing w:line="500" w:lineRule="exact"/>
              <w:ind w:left="120"/>
              <w:jc w:val="center"/>
              <w:rPr>
                <w:rFonts w:ascii="宋体" w:hAnsi="宋体" w:cs="宋体"/>
                <w:color w:val="auto"/>
                <w:sz w:val="24"/>
              </w:rPr>
            </w:pPr>
          </w:p>
        </w:tc>
        <w:tc>
          <w:tcPr>
            <w:tcW w:w="1065" w:type="dxa"/>
            <w:vAlign w:val="center"/>
          </w:tcPr>
          <w:p>
            <w:pPr>
              <w:spacing w:line="500" w:lineRule="exact"/>
              <w:jc w:val="center"/>
              <w:rPr>
                <w:rFonts w:ascii="宋体" w:hAnsi="宋体" w:cs="宋体"/>
                <w:color w:val="auto"/>
                <w:sz w:val="24"/>
              </w:rPr>
            </w:pPr>
          </w:p>
        </w:tc>
        <w:tc>
          <w:tcPr>
            <w:tcW w:w="1476" w:type="dxa"/>
            <w:vAlign w:val="center"/>
          </w:tcPr>
          <w:p>
            <w:pPr>
              <w:spacing w:line="500" w:lineRule="exact"/>
              <w:jc w:val="center"/>
              <w:rPr>
                <w:rFonts w:ascii="宋体" w:hAnsi="宋体" w:cs="宋体"/>
                <w:color w:val="auto"/>
                <w:sz w:val="24"/>
              </w:rPr>
            </w:pPr>
          </w:p>
        </w:tc>
        <w:tc>
          <w:tcPr>
            <w:tcW w:w="1365" w:type="dxa"/>
            <w:tcBorders>
              <w:left w:val="single" w:color="auto" w:sz="4" w:space="0"/>
              <w:right w:val="single" w:color="auto" w:sz="4" w:space="0"/>
            </w:tcBorders>
            <w:vAlign w:val="center"/>
          </w:tcPr>
          <w:p>
            <w:pPr>
              <w:spacing w:line="500" w:lineRule="exact"/>
              <w:jc w:val="center"/>
              <w:rPr>
                <w:rFonts w:ascii="宋体" w:hAnsi="宋体" w:cs="宋体"/>
                <w:color w:val="auto"/>
                <w:sz w:val="24"/>
              </w:rPr>
            </w:pPr>
          </w:p>
        </w:tc>
        <w:tc>
          <w:tcPr>
            <w:tcW w:w="1608" w:type="dxa"/>
            <w:tcBorders>
              <w:left w:val="single" w:color="auto" w:sz="4" w:space="0"/>
            </w:tcBorders>
            <w:vAlign w:val="center"/>
          </w:tcPr>
          <w:p>
            <w:pPr>
              <w:spacing w:line="500" w:lineRule="exact"/>
              <w:jc w:val="center"/>
              <w:rPr>
                <w:rFonts w:ascii="宋体" w:hAnsi="宋体" w:cs="宋体"/>
                <w:color w:val="auto"/>
                <w:sz w:val="24"/>
              </w:rPr>
            </w:pPr>
          </w:p>
        </w:tc>
        <w:tc>
          <w:tcPr>
            <w:tcW w:w="1290" w:type="dxa"/>
            <w:vAlign w:val="center"/>
          </w:tcPr>
          <w:p>
            <w:pPr>
              <w:spacing w:line="500" w:lineRule="exact"/>
              <w:jc w:val="center"/>
              <w:rPr>
                <w:rFonts w:ascii="宋体" w:hAnsi="宋体" w:cs="宋体"/>
                <w:color w:val="auto"/>
                <w:sz w:val="24"/>
              </w:rPr>
            </w:pPr>
          </w:p>
        </w:tc>
        <w:tc>
          <w:tcPr>
            <w:tcW w:w="2006" w:type="dxa"/>
            <w:vAlign w:val="center"/>
          </w:tcPr>
          <w:p>
            <w:pPr>
              <w:spacing w:line="500" w:lineRule="exact"/>
              <w:jc w:val="center"/>
              <w:rPr>
                <w:rFonts w:ascii="宋体" w:hAnsi="宋体" w:cs="宋体"/>
                <w:color w:val="auto"/>
                <w:sz w:val="24"/>
              </w:rPr>
            </w:pPr>
          </w:p>
        </w:tc>
      </w:tr>
    </w:tbl>
    <w:p>
      <w:pPr>
        <w:snapToGrid w:val="0"/>
        <w:spacing w:before="120" w:line="500" w:lineRule="exact"/>
        <w:ind w:right="357"/>
        <w:rPr>
          <w:rFonts w:ascii="宋体" w:hAnsi="宋体" w:cs="宋体"/>
          <w:color w:val="auto"/>
          <w:sz w:val="24"/>
        </w:rPr>
      </w:pPr>
      <w:r>
        <w:rPr>
          <w:rFonts w:hint="eastAsia" w:ascii="宋体" w:hAnsi="宋体" w:cs="宋体"/>
          <w:color w:val="auto"/>
          <w:sz w:val="24"/>
        </w:rPr>
        <w:t>注：1. 供应商应如实列出以上情况，如有隐瞒，一经查实将导致其投标被视为无效投标。</w:t>
      </w:r>
    </w:p>
    <w:p>
      <w:pPr>
        <w:snapToGrid w:val="0"/>
        <w:spacing w:before="120" w:line="500" w:lineRule="exact"/>
        <w:ind w:right="357"/>
        <w:rPr>
          <w:rFonts w:ascii="宋体" w:hAnsi="宋体" w:cs="宋体"/>
          <w:color w:val="auto"/>
          <w:sz w:val="24"/>
        </w:rPr>
      </w:pPr>
      <w:r>
        <w:rPr>
          <w:rFonts w:hint="eastAsia" w:ascii="宋体" w:hAnsi="宋体" w:cs="宋体"/>
          <w:color w:val="auto"/>
          <w:sz w:val="24"/>
        </w:rPr>
        <w:t>2. 对于已完项目，供应商应提供收到的中标通知书或双方签订的合同或已签发的最终验收证书。</w:t>
      </w:r>
    </w:p>
    <w:p>
      <w:pPr>
        <w:pStyle w:val="16"/>
        <w:spacing w:line="500" w:lineRule="exact"/>
        <w:rPr>
          <w:rFonts w:hAnsi="宋体" w:cs="宋体"/>
          <w:color w:val="auto"/>
        </w:rPr>
      </w:pPr>
    </w:p>
    <w:p>
      <w:pPr>
        <w:rPr>
          <w:rFonts w:hAnsi="宋体" w:cs="宋体"/>
          <w:color w:val="auto"/>
        </w:rPr>
      </w:pPr>
      <w:r>
        <w:rPr>
          <w:rFonts w:hAnsi="宋体" w:cs="宋体"/>
          <w:color w:val="auto"/>
        </w:rPr>
        <w:br w:type="page"/>
      </w:r>
    </w:p>
    <w:p>
      <w:pPr>
        <w:pStyle w:val="6"/>
        <w:spacing w:line="500" w:lineRule="exact"/>
        <w:jc w:val="center"/>
        <w:rPr>
          <w:rFonts w:ascii="宋体" w:hAnsi="宋体" w:cs="宋体"/>
          <w:color w:val="auto"/>
        </w:rPr>
      </w:pPr>
      <w:bookmarkStart w:id="410" w:name="_Toc439687776"/>
      <w:r>
        <w:rPr>
          <w:rFonts w:hint="eastAsia" w:ascii="宋体" w:hAnsi="宋体" w:cs="宋体"/>
          <w:color w:val="auto"/>
        </w:rPr>
        <w:t>9．诉讼或仲裁情况</w:t>
      </w:r>
      <w:bookmarkEnd w:id="410"/>
    </w:p>
    <w:p>
      <w:pPr>
        <w:spacing w:line="500" w:lineRule="exact"/>
        <w:ind w:right="-241" w:rightChars="-86" w:firstLine="480" w:firstLineChars="200"/>
        <w:rPr>
          <w:rFonts w:ascii="宋体" w:hAnsi="宋体" w:cs="宋体"/>
          <w:color w:val="auto"/>
          <w:sz w:val="24"/>
        </w:rPr>
      </w:pPr>
      <w:r>
        <w:rPr>
          <w:rFonts w:hint="eastAsia" w:ascii="宋体" w:hAnsi="宋体" w:cs="宋体"/>
          <w:color w:val="auto"/>
          <w:sz w:val="24"/>
        </w:rPr>
        <w:t>近五年供应商所涉及的因合同履行而发生的诉讼或仲裁情况。请分别说明涉诉时间、诉讼原因、所涉及金额以及最终裁判结果。</w:t>
      </w: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6"/>
        <w:numPr>
          <w:ilvl w:val="0"/>
          <w:numId w:val="24"/>
        </w:numPr>
        <w:spacing w:line="500" w:lineRule="exact"/>
        <w:jc w:val="center"/>
        <w:rPr>
          <w:rFonts w:ascii="宋体" w:hAnsi="宋体" w:cs="宋体"/>
          <w:color w:val="auto"/>
        </w:rPr>
      </w:pPr>
      <w:bookmarkStart w:id="411" w:name="_Toc91477351"/>
      <w:bookmarkStart w:id="412" w:name="_Toc139343643"/>
      <w:bookmarkStart w:id="413" w:name="_Toc149714231"/>
      <w:bookmarkStart w:id="414" w:name="_Toc439687777"/>
      <w:bookmarkStart w:id="415" w:name="_Toc229198106"/>
      <w:r>
        <w:rPr>
          <w:rFonts w:hint="eastAsia" w:ascii="宋体" w:hAnsi="宋体" w:cs="宋体"/>
          <w:color w:val="auto"/>
        </w:rPr>
        <w:t>无重大违法记录声明</w:t>
      </w:r>
    </w:p>
    <w:p>
      <w:pPr>
        <w:rPr>
          <w:rFonts w:ascii="宋体" w:hAnsi="宋体" w:cs="宋体"/>
          <w:color w:val="auto"/>
        </w:rPr>
      </w:pPr>
    </w:p>
    <w:p>
      <w:pPr>
        <w:spacing w:line="360" w:lineRule="auto"/>
        <w:rPr>
          <w:rFonts w:ascii="宋体" w:hAnsi="宋体" w:cs="宋体"/>
          <w:b/>
          <w:color w:val="auto"/>
          <w:sz w:val="24"/>
        </w:rPr>
      </w:pPr>
      <w:r>
        <w:rPr>
          <w:rFonts w:hint="eastAsia" w:ascii="宋体" w:hAnsi="宋体" w:cs="宋体"/>
          <w:b/>
          <w:color w:val="auto"/>
          <w:sz w:val="24"/>
        </w:rPr>
        <w:t>致</w:t>
      </w:r>
      <w:r>
        <w:rPr>
          <w:rFonts w:hint="eastAsia" w:ascii="宋体" w:hAnsi="宋体" w:cs="宋体"/>
          <w:b/>
          <w:color w:val="auto"/>
          <w:sz w:val="24"/>
          <w:u w:val="single"/>
        </w:rPr>
        <w:t xml:space="preserve">             （</w:t>
      </w:r>
      <w:r>
        <w:rPr>
          <w:rFonts w:hint="eastAsia" w:ascii="宋体" w:hAnsi="宋体" w:cs="宋体"/>
          <w:b/>
          <w:color w:val="auto"/>
          <w:sz w:val="24"/>
        </w:rPr>
        <w:t>采购人）、</w:t>
      </w:r>
      <w:r>
        <w:rPr>
          <w:rFonts w:hint="eastAsia" w:ascii="宋体" w:hAnsi="宋体" w:cs="宋体"/>
          <w:b/>
          <w:color w:val="auto"/>
          <w:sz w:val="24"/>
          <w:u w:val="single"/>
        </w:rPr>
        <w:t xml:space="preserve">           （</w:t>
      </w:r>
      <w:r>
        <w:rPr>
          <w:rFonts w:hint="eastAsia" w:ascii="宋体" w:hAnsi="宋体" w:cs="宋体"/>
          <w:b/>
          <w:color w:val="auto"/>
          <w:sz w:val="24"/>
        </w:rPr>
        <w:t>采购代理机构）：</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我公司在参加本次政府采购活动前，做出以下郑重声明：</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一、参加本次政府采购活动前三年内，在经营活动中没有重大违法记录。</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二、在本次政府采购活动前三年内，我公司在甘肃政府采购网等政府采购信息发布平台及当地工商局企业信用查询系统中，无任何重大违法记录。</w:t>
      </w:r>
    </w:p>
    <w:p>
      <w:pPr>
        <w:spacing w:line="360" w:lineRule="auto"/>
        <w:ind w:firstLine="480" w:firstLineChars="200"/>
        <w:rPr>
          <w:rFonts w:ascii="宋体" w:hAnsi="宋体" w:cs="宋体"/>
          <w:bCs/>
          <w:color w:val="auto"/>
          <w:sz w:val="24"/>
        </w:rPr>
      </w:pPr>
    </w:p>
    <w:p>
      <w:pPr>
        <w:spacing w:line="360" w:lineRule="auto"/>
        <w:ind w:firstLine="480" w:firstLineChars="200"/>
        <w:rPr>
          <w:rFonts w:ascii="宋体" w:hAnsi="宋体" w:cs="宋体"/>
          <w:bCs/>
          <w:color w:val="auto"/>
          <w:sz w:val="24"/>
        </w:rPr>
      </w:pPr>
      <w:r>
        <w:rPr>
          <w:rFonts w:hint="eastAsia" w:ascii="宋体" w:hAnsi="宋体" w:cs="宋体"/>
          <w:bCs/>
          <w:color w:val="auto"/>
          <w:sz w:val="24"/>
        </w:rPr>
        <w:t>若发现我方上述声明与事实不符，愿按照政府采购相关规定接受相关处罚。</w:t>
      </w:r>
    </w:p>
    <w:p>
      <w:pPr>
        <w:spacing w:line="360" w:lineRule="auto"/>
        <w:ind w:firstLine="480" w:firstLineChars="200"/>
        <w:rPr>
          <w:rFonts w:ascii="宋体" w:hAnsi="宋体" w:cs="宋体"/>
          <w:bCs/>
          <w:color w:val="auto"/>
          <w:sz w:val="24"/>
        </w:rPr>
      </w:pPr>
    </w:p>
    <w:p>
      <w:pPr>
        <w:spacing w:line="360" w:lineRule="auto"/>
        <w:ind w:firstLine="480" w:firstLineChars="200"/>
        <w:rPr>
          <w:rFonts w:ascii="宋体" w:hAnsi="宋体" w:cs="宋体"/>
          <w:bCs/>
          <w:color w:val="auto"/>
          <w:sz w:val="24"/>
        </w:rPr>
      </w:pPr>
      <w:r>
        <w:rPr>
          <w:rFonts w:hint="eastAsia" w:ascii="宋体" w:hAnsi="宋体" w:cs="宋体"/>
          <w:bCs/>
          <w:color w:val="auto"/>
          <w:sz w:val="24"/>
        </w:rPr>
        <w:t>特此声明。</w:t>
      </w:r>
    </w:p>
    <w:p>
      <w:pPr>
        <w:spacing w:line="360" w:lineRule="auto"/>
        <w:ind w:firstLine="480" w:firstLineChars="200"/>
        <w:rPr>
          <w:rFonts w:ascii="宋体" w:hAnsi="宋体" w:cs="宋体"/>
          <w:color w:val="auto"/>
          <w:sz w:val="24"/>
        </w:rPr>
      </w:pPr>
    </w:p>
    <w:p>
      <w:pPr>
        <w:pStyle w:val="9"/>
        <w:spacing w:line="360" w:lineRule="auto"/>
        <w:rPr>
          <w:rFonts w:ascii="宋体" w:hAnsi="宋体" w:cs="宋体"/>
          <w:color w:val="auto"/>
          <w:sz w:val="24"/>
        </w:rPr>
      </w:pPr>
    </w:p>
    <w:p>
      <w:pPr>
        <w:spacing w:line="500" w:lineRule="exact"/>
        <w:ind w:firstLine="240" w:firstLineChars="100"/>
        <w:rPr>
          <w:rFonts w:ascii="宋体" w:hAnsi="宋体" w:cs="宋体"/>
          <w:bCs/>
          <w:color w:val="auto"/>
          <w:sz w:val="24"/>
          <w:u w:val="single"/>
        </w:rPr>
      </w:pPr>
      <w:r>
        <w:rPr>
          <w:rFonts w:hint="eastAsia" w:ascii="宋体" w:hAnsi="宋体" w:cs="宋体"/>
          <w:bCs/>
          <w:color w:val="auto"/>
          <w:sz w:val="24"/>
        </w:rPr>
        <w:t>供应商名称（盖章）：</w:t>
      </w:r>
      <w:r>
        <w:rPr>
          <w:rFonts w:hint="eastAsia" w:ascii="宋体" w:hAnsi="宋体" w:cs="宋体"/>
          <w:bCs/>
          <w:color w:val="auto"/>
          <w:sz w:val="24"/>
          <w:u w:val="single"/>
        </w:rPr>
        <w:t xml:space="preserve">                               </w:t>
      </w:r>
    </w:p>
    <w:p>
      <w:pPr>
        <w:pStyle w:val="26"/>
        <w:rPr>
          <w:color w:val="auto"/>
        </w:rPr>
      </w:pPr>
    </w:p>
    <w:p>
      <w:pPr>
        <w:jc w:val="left"/>
        <w:rPr>
          <w:rFonts w:ascii="宋体" w:hAnsi="宋体" w:cs="宋体"/>
          <w:bCs/>
          <w:color w:val="auto"/>
          <w:sz w:val="24"/>
          <w:u w:val="single"/>
        </w:rPr>
      </w:pPr>
      <w:r>
        <w:rPr>
          <w:rFonts w:hint="eastAsia" w:ascii="宋体" w:hAnsi="宋体" w:cs="宋体"/>
          <w:bCs/>
          <w:color w:val="auto"/>
          <w:sz w:val="24"/>
        </w:rPr>
        <w:t xml:space="preserve">  法定代表人或授权代表人（签字</w:t>
      </w:r>
      <w:r>
        <w:rPr>
          <w:rFonts w:hint="eastAsia" w:ascii="宋体" w:hAnsi="宋体" w:cs="宋体"/>
          <w:color w:val="auto"/>
          <w:sz w:val="24"/>
        </w:rPr>
        <w:t>或印章</w:t>
      </w:r>
      <w:r>
        <w:rPr>
          <w:rFonts w:hint="eastAsia" w:ascii="宋体" w:hAnsi="宋体" w:cs="宋体"/>
          <w:bCs/>
          <w:color w:val="auto"/>
          <w:sz w:val="24"/>
        </w:rPr>
        <w:t>）：</w:t>
      </w:r>
      <w:r>
        <w:rPr>
          <w:rFonts w:hint="eastAsia" w:ascii="宋体" w:hAnsi="宋体" w:cs="宋体"/>
          <w:bCs/>
          <w:color w:val="auto"/>
          <w:sz w:val="24"/>
          <w:u w:val="single"/>
        </w:rPr>
        <w:t xml:space="preserve">              </w:t>
      </w:r>
    </w:p>
    <w:p>
      <w:pPr>
        <w:pStyle w:val="26"/>
        <w:rPr>
          <w:color w:val="auto"/>
        </w:rPr>
      </w:pPr>
    </w:p>
    <w:p>
      <w:pPr>
        <w:ind w:firstLine="240" w:firstLineChars="100"/>
        <w:jc w:val="left"/>
        <w:rPr>
          <w:rFonts w:ascii="宋体" w:hAnsi="宋体" w:cs="宋体"/>
          <w:bCs/>
          <w:color w:val="auto"/>
          <w:sz w:val="24"/>
          <w:u w:val="single"/>
        </w:rPr>
      </w:pPr>
      <w:r>
        <w:rPr>
          <w:rFonts w:hint="eastAsia" w:ascii="宋体" w:hAnsi="宋体" w:cs="宋体"/>
          <w:bCs/>
          <w:color w:val="auto"/>
          <w:sz w:val="24"/>
        </w:rPr>
        <w:t>日期：</w:t>
      </w:r>
      <w:r>
        <w:rPr>
          <w:rFonts w:hint="eastAsia" w:ascii="宋体" w:hAnsi="宋体" w:cs="宋体"/>
          <w:bCs/>
          <w:color w:val="auto"/>
          <w:sz w:val="24"/>
          <w:u w:val="single"/>
        </w:rPr>
        <w:t xml:space="preserve">                      </w:t>
      </w: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jc w:val="left"/>
        <w:rPr>
          <w:rFonts w:ascii="宋体" w:hAnsi="宋体" w:cs="宋体"/>
          <w:bCs/>
          <w:color w:val="auto"/>
          <w:sz w:val="24"/>
          <w:u w:val="single"/>
        </w:rPr>
      </w:pPr>
    </w:p>
    <w:p>
      <w:pPr>
        <w:pStyle w:val="6"/>
        <w:spacing w:line="500" w:lineRule="exact"/>
        <w:jc w:val="center"/>
        <w:rPr>
          <w:rFonts w:ascii="宋体" w:hAnsi="宋体" w:cs="宋体"/>
          <w:color w:val="auto"/>
        </w:rPr>
      </w:pPr>
      <w:r>
        <w:rPr>
          <w:rFonts w:hint="eastAsia" w:ascii="宋体" w:hAnsi="宋体" w:cs="宋体"/>
          <w:color w:val="auto"/>
        </w:rPr>
        <w:t>11.技术要求响应/偏差表</w:t>
      </w:r>
      <w:bookmarkEnd w:id="411"/>
      <w:bookmarkEnd w:id="412"/>
      <w:bookmarkEnd w:id="413"/>
      <w:bookmarkEnd w:id="414"/>
      <w:bookmarkEnd w:id="415"/>
    </w:p>
    <w:p>
      <w:pPr>
        <w:pStyle w:val="16"/>
        <w:spacing w:line="500" w:lineRule="exact"/>
        <w:ind w:left="-72" w:leftChars="-100" w:right="-521" w:rightChars="-186" w:hanging="208" w:hangingChars="87"/>
        <w:rPr>
          <w:rFonts w:hAnsi="宋体" w:cs="宋体"/>
          <w:color w:val="auto"/>
        </w:rPr>
      </w:pPr>
      <w:r>
        <w:rPr>
          <w:rFonts w:hint="eastAsia" w:hAnsi="宋体" w:cs="宋体"/>
          <w:color w:val="auto"/>
        </w:rPr>
        <w:t>项目名称：</w:t>
      </w:r>
      <w:r>
        <w:rPr>
          <w:rFonts w:hint="eastAsia" w:hAnsi="宋体" w:cs="宋体"/>
          <w:color w:val="auto"/>
          <w:u w:val="single"/>
        </w:rPr>
        <w:t xml:space="preserve">               </w:t>
      </w:r>
      <w:r>
        <w:rPr>
          <w:rFonts w:hint="eastAsia" w:hAnsi="宋体" w:cs="宋体"/>
          <w:color w:val="auto"/>
        </w:rPr>
        <w:t xml:space="preserve"> </w:t>
      </w:r>
      <w:r>
        <w:rPr>
          <w:rFonts w:hint="eastAsia" w:hAnsi="宋体" w:cs="宋体"/>
          <w:color w:val="auto"/>
          <w:lang w:val="en-US" w:eastAsia="zh-CN"/>
        </w:rPr>
        <w:t xml:space="preserve"> </w:t>
      </w:r>
      <w:r>
        <w:rPr>
          <w:rFonts w:hint="eastAsia" w:hAnsi="宋体" w:cs="宋体"/>
          <w:color w:val="auto"/>
        </w:rPr>
        <w:t>招标编号：</w:t>
      </w:r>
      <w:r>
        <w:rPr>
          <w:rFonts w:hint="eastAsia" w:hAnsi="宋体" w:cs="宋体"/>
          <w:color w:val="auto"/>
          <w:u w:val="single"/>
        </w:rPr>
        <w:t xml:space="preserve">            </w:t>
      </w:r>
      <w:r>
        <w:rPr>
          <w:rFonts w:hint="eastAsia" w:hAnsi="宋体" w:cs="宋体"/>
          <w:color w:val="auto"/>
        </w:rPr>
        <w:t xml:space="preserve"> </w:t>
      </w:r>
    </w:p>
    <w:p>
      <w:pPr>
        <w:pStyle w:val="16"/>
        <w:spacing w:line="500" w:lineRule="exact"/>
        <w:ind w:left="-72" w:leftChars="-100" w:right="-521" w:rightChars="-186" w:hanging="208" w:hangingChars="87"/>
        <w:rPr>
          <w:rFonts w:hAnsi="宋体" w:cs="宋体"/>
          <w:color w:val="auto"/>
          <w:u w:val="single"/>
        </w:rPr>
      </w:pPr>
      <w:r>
        <w:rPr>
          <w:rFonts w:hint="eastAsia" w:hAnsi="宋体" w:cs="宋体"/>
          <w:color w:val="auto"/>
        </w:rPr>
        <w:t>供应商名称：</w:t>
      </w:r>
      <w:r>
        <w:rPr>
          <w:rFonts w:hint="eastAsia" w:hAnsi="宋体" w:cs="宋体"/>
          <w:color w:val="auto"/>
          <w:u w:val="single"/>
        </w:rPr>
        <w:t xml:space="preserve">             </w:t>
      </w:r>
      <w:r>
        <w:rPr>
          <w:rFonts w:hint="eastAsia" w:hAnsi="宋体" w:cs="宋体"/>
          <w:color w:val="auto"/>
        </w:rPr>
        <w:t xml:space="preserve"> </w:t>
      </w:r>
    </w:p>
    <w:tbl>
      <w:tblPr>
        <w:tblStyle w:val="30"/>
        <w:tblW w:w="96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3"/>
        <w:gridCol w:w="2937"/>
        <w:gridCol w:w="2835"/>
        <w:gridCol w:w="2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Borders>
              <w:top w:val="double" w:color="auto" w:sz="4" w:space="0"/>
            </w:tcBorders>
          </w:tcPr>
          <w:p>
            <w:pPr>
              <w:pStyle w:val="16"/>
              <w:spacing w:line="500" w:lineRule="exact"/>
              <w:jc w:val="center"/>
              <w:rPr>
                <w:rFonts w:hAnsi="宋体" w:cs="宋体"/>
                <w:color w:val="auto"/>
                <w:szCs w:val="24"/>
              </w:rPr>
            </w:pPr>
            <w:r>
              <w:rPr>
                <w:rFonts w:hint="eastAsia" w:hAnsi="宋体" w:cs="宋体"/>
                <w:color w:val="auto"/>
                <w:szCs w:val="24"/>
              </w:rPr>
              <w:t>招标文件条目号</w:t>
            </w:r>
          </w:p>
        </w:tc>
        <w:tc>
          <w:tcPr>
            <w:tcW w:w="2937" w:type="dxa"/>
            <w:tcBorders>
              <w:top w:val="double" w:color="auto" w:sz="4" w:space="0"/>
            </w:tcBorders>
          </w:tcPr>
          <w:p>
            <w:pPr>
              <w:pStyle w:val="16"/>
              <w:spacing w:line="500" w:lineRule="exact"/>
              <w:jc w:val="center"/>
              <w:rPr>
                <w:rFonts w:hAnsi="宋体" w:cs="宋体"/>
                <w:color w:val="auto"/>
                <w:szCs w:val="24"/>
              </w:rPr>
            </w:pPr>
            <w:r>
              <w:rPr>
                <w:rFonts w:hint="eastAsia" w:hAnsi="宋体" w:cs="宋体"/>
                <w:color w:val="auto"/>
                <w:szCs w:val="24"/>
              </w:rPr>
              <w:t>招标文件技术要求</w:t>
            </w:r>
          </w:p>
          <w:p>
            <w:pPr>
              <w:pStyle w:val="16"/>
              <w:spacing w:line="500" w:lineRule="exact"/>
              <w:jc w:val="center"/>
              <w:rPr>
                <w:rFonts w:hAnsi="宋体" w:cs="宋体"/>
                <w:color w:val="auto"/>
                <w:szCs w:val="24"/>
              </w:rPr>
            </w:pPr>
            <w:r>
              <w:rPr>
                <w:rFonts w:hint="eastAsia" w:hAnsi="宋体" w:cs="宋体"/>
                <w:color w:val="auto"/>
                <w:szCs w:val="24"/>
              </w:rPr>
              <w:t>的内容与数值</w:t>
            </w:r>
          </w:p>
        </w:tc>
        <w:tc>
          <w:tcPr>
            <w:tcW w:w="2835" w:type="dxa"/>
            <w:tcBorders>
              <w:top w:val="double" w:color="auto" w:sz="4" w:space="0"/>
            </w:tcBorders>
          </w:tcPr>
          <w:p>
            <w:pPr>
              <w:pStyle w:val="16"/>
              <w:spacing w:line="500" w:lineRule="exact"/>
              <w:jc w:val="center"/>
              <w:rPr>
                <w:rFonts w:hAnsi="宋体" w:cs="宋体"/>
                <w:color w:val="auto"/>
                <w:szCs w:val="24"/>
              </w:rPr>
            </w:pPr>
            <w:r>
              <w:rPr>
                <w:rFonts w:hint="eastAsia" w:hAnsi="宋体" w:cs="宋体"/>
                <w:color w:val="auto"/>
                <w:szCs w:val="24"/>
              </w:rPr>
              <w:t>供应商的技术响应</w:t>
            </w:r>
          </w:p>
          <w:p>
            <w:pPr>
              <w:pStyle w:val="16"/>
              <w:spacing w:line="500" w:lineRule="exact"/>
              <w:jc w:val="center"/>
              <w:rPr>
                <w:rFonts w:hAnsi="宋体" w:cs="宋体"/>
                <w:color w:val="auto"/>
                <w:szCs w:val="24"/>
              </w:rPr>
            </w:pPr>
            <w:r>
              <w:rPr>
                <w:rFonts w:hint="eastAsia" w:hAnsi="宋体" w:cs="宋体"/>
                <w:color w:val="auto"/>
                <w:szCs w:val="24"/>
              </w:rPr>
              <w:t>内容与数值</w:t>
            </w:r>
          </w:p>
        </w:tc>
        <w:tc>
          <w:tcPr>
            <w:tcW w:w="2625" w:type="dxa"/>
            <w:tcBorders>
              <w:top w:val="double" w:color="auto" w:sz="4" w:space="0"/>
            </w:tcBorders>
          </w:tcPr>
          <w:p>
            <w:pPr>
              <w:pStyle w:val="16"/>
              <w:spacing w:line="500" w:lineRule="exact"/>
              <w:jc w:val="center"/>
              <w:rPr>
                <w:rFonts w:hAnsi="宋体" w:cs="宋体"/>
                <w:color w:val="auto"/>
                <w:szCs w:val="24"/>
              </w:rPr>
            </w:pPr>
            <w:r>
              <w:rPr>
                <w:rFonts w:hint="eastAsia" w:hAnsi="宋体" w:cs="宋体"/>
                <w:color w:val="auto"/>
                <w:szCs w:val="24"/>
              </w:rPr>
              <w:t>偏差说明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Cs w:val="24"/>
              </w:rPr>
            </w:pPr>
          </w:p>
        </w:tc>
        <w:tc>
          <w:tcPr>
            <w:tcW w:w="2937" w:type="dxa"/>
          </w:tcPr>
          <w:p>
            <w:pPr>
              <w:pStyle w:val="16"/>
              <w:spacing w:line="500" w:lineRule="exact"/>
              <w:rPr>
                <w:rFonts w:hAnsi="宋体" w:cs="宋体"/>
                <w:color w:val="auto"/>
                <w:szCs w:val="24"/>
              </w:rPr>
            </w:pPr>
          </w:p>
        </w:tc>
        <w:tc>
          <w:tcPr>
            <w:tcW w:w="2835" w:type="dxa"/>
          </w:tcPr>
          <w:p>
            <w:pPr>
              <w:pStyle w:val="16"/>
              <w:spacing w:line="500" w:lineRule="exact"/>
              <w:rPr>
                <w:rFonts w:hAnsi="宋体" w:cs="宋体"/>
                <w:color w:val="auto"/>
                <w:szCs w:val="24"/>
              </w:rPr>
            </w:pPr>
          </w:p>
        </w:tc>
        <w:tc>
          <w:tcPr>
            <w:tcW w:w="2625" w:type="dxa"/>
          </w:tcPr>
          <w:p>
            <w:pPr>
              <w:pStyle w:val="16"/>
              <w:spacing w:line="500" w:lineRule="exact"/>
              <w:rPr>
                <w:rFonts w:hAnsi="宋体" w:cs="宋体"/>
                <w:color w:val="auto"/>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rPr>
                <w:rFonts w:hAnsi="宋体" w:cs="宋体"/>
                <w:color w:val="auto"/>
                <w:sz w:val="18"/>
                <w:szCs w:val="24"/>
              </w:rPr>
            </w:pPr>
          </w:p>
        </w:tc>
        <w:tc>
          <w:tcPr>
            <w:tcW w:w="2937" w:type="dxa"/>
          </w:tcPr>
          <w:p>
            <w:pPr>
              <w:pStyle w:val="16"/>
              <w:spacing w:line="500" w:lineRule="exact"/>
              <w:outlineLvl w:val="0"/>
              <w:rPr>
                <w:rFonts w:hAnsi="宋体" w:cs="宋体"/>
                <w:color w:val="auto"/>
                <w:sz w:val="18"/>
                <w:szCs w:val="24"/>
              </w:rPr>
            </w:pPr>
          </w:p>
        </w:tc>
        <w:tc>
          <w:tcPr>
            <w:tcW w:w="2835" w:type="dxa"/>
          </w:tcPr>
          <w:p>
            <w:pPr>
              <w:pStyle w:val="16"/>
              <w:spacing w:line="500" w:lineRule="exact"/>
              <w:outlineLvl w:val="0"/>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Pr>
          <w:p>
            <w:pPr>
              <w:pStyle w:val="16"/>
              <w:spacing w:line="500" w:lineRule="exact"/>
              <w:outlineLvl w:val="0"/>
              <w:rPr>
                <w:rFonts w:hAnsi="宋体" w:cs="宋体"/>
                <w:color w:val="auto"/>
                <w:sz w:val="18"/>
                <w:szCs w:val="24"/>
              </w:rPr>
            </w:pPr>
          </w:p>
        </w:tc>
        <w:tc>
          <w:tcPr>
            <w:tcW w:w="2937" w:type="dxa"/>
          </w:tcPr>
          <w:p>
            <w:pPr>
              <w:pStyle w:val="16"/>
              <w:spacing w:line="500" w:lineRule="exact"/>
              <w:rPr>
                <w:rFonts w:hAnsi="宋体" w:cs="宋体"/>
                <w:color w:val="auto"/>
                <w:sz w:val="18"/>
                <w:szCs w:val="24"/>
              </w:rPr>
            </w:pPr>
          </w:p>
        </w:tc>
        <w:tc>
          <w:tcPr>
            <w:tcW w:w="2835" w:type="dxa"/>
          </w:tcPr>
          <w:p>
            <w:pPr>
              <w:pStyle w:val="16"/>
              <w:spacing w:line="500" w:lineRule="exact"/>
              <w:rPr>
                <w:rFonts w:hAnsi="宋体" w:cs="宋体"/>
                <w:color w:val="auto"/>
                <w:sz w:val="18"/>
                <w:szCs w:val="24"/>
              </w:rPr>
            </w:pPr>
          </w:p>
        </w:tc>
        <w:tc>
          <w:tcPr>
            <w:tcW w:w="2625" w:type="dxa"/>
          </w:tcPr>
          <w:p>
            <w:pPr>
              <w:pStyle w:val="16"/>
              <w:spacing w:line="500" w:lineRule="exact"/>
              <w:rPr>
                <w:rFonts w:hAnsi="宋体" w:cs="宋体"/>
                <w:color w:val="auto"/>
                <w:sz w:val="18"/>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3" w:type="dxa"/>
            <w:tcBorders>
              <w:bottom w:val="double" w:color="auto" w:sz="4" w:space="0"/>
            </w:tcBorders>
          </w:tcPr>
          <w:p>
            <w:pPr>
              <w:pStyle w:val="16"/>
              <w:spacing w:line="500" w:lineRule="exact"/>
              <w:rPr>
                <w:rFonts w:hAnsi="宋体" w:cs="宋体"/>
                <w:color w:val="auto"/>
                <w:sz w:val="18"/>
                <w:szCs w:val="24"/>
              </w:rPr>
            </w:pPr>
          </w:p>
        </w:tc>
        <w:tc>
          <w:tcPr>
            <w:tcW w:w="2937" w:type="dxa"/>
            <w:tcBorders>
              <w:bottom w:val="double" w:color="auto" w:sz="4" w:space="0"/>
            </w:tcBorders>
          </w:tcPr>
          <w:p>
            <w:pPr>
              <w:pStyle w:val="16"/>
              <w:spacing w:line="500" w:lineRule="exact"/>
              <w:rPr>
                <w:rFonts w:hAnsi="宋体" w:cs="宋体"/>
                <w:color w:val="auto"/>
                <w:sz w:val="18"/>
                <w:szCs w:val="24"/>
              </w:rPr>
            </w:pPr>
          </w:p>
        </w:tc>
        <w:tc>
          <w:tcPr>
            <w:tcW w:w="2835" w:type="dxa"/>
            <w:tcBorders>
              <w:bottom w:val="double" w:color="auto" w:sz="4" w:space="0"/>
            </w:tcBorders>
          </w:tcPr>
          <w:p>
            <w:pPr>
              <w:pStyle w:val="16"/>
              <w:spacing w:line="500" w:lineRule="exact"/>
              <w:rPr>
                <w:rFonts w:hAnsi="宋体" w:cs="宋体"/>
                <w:color w:val="auto"/>
                <w:sz w:val="18"/>
                <w:szCs w:val="24"/>
              </w:rPr>
            </w:pPr>
          </w:p>
        </w:tc>
        <w:tc>
          <w:tcPr>
            <w:tcW w:w="2625" w:type="dxa"/>
            <w:tcBorders>
              <w:bottom w:val="double" w:color="auto" w:sz="4" w:space="0"/>
            </w:tcBorders>
          </w:tcPr>
          <w:p>
            <w:pPr>
              <w:pStyle w:val="16"/>
              <w:spacing w:line="500" w:lineRule="exact"/>
              <w:rPr>
                <w:rFonts w:hAnsi="宋体" w:cs="宋体"/>
                <w:color w:val="auto"/>
                <w:sz w:val="18"/>
                <w:szCs w:val="24"/>
              </w:rPr>
            </w:pPr>
          </w:p>
        </w:tc>
      </w:tr>
    </w:tbl>
    <w:p>
      <w:pPr>
        <w:pStyle w:val="24"/>
        <w:spacing w:line="500" w:lineRule="exact"/>
        <w:ind w:left="0" w:firstLine="0" w:firstLineChars="0"/>
        <w:rPr>
          <w:rFonts w:ascii="宋体" w:hAnsi="宋体" w:cs="宋体"/>
          <w:color w:val="auto"/>
          <w:sz w:val="24"/>
        </w:rPr>
      </w:pPr>
      <w:r>
        <w:rPr>
          <w:rFonts w:hint="eastAsia" w:ascii="宋体" w:hAnsi="宋体" w:cs="宋体"/>
          <w:color w:val="auto"/>
          <w:sz w:val="24"/>
        </w:rPr>
        <w:t>注：供应商应对招标文件第三章技术要求的内容给予逐条响应，以自己投标产品和服务所能达到的内容予以填写，而不应复制招标的技术要求作为响应内容。</w:t>
      </w:r>
    </w:p>
    <w:p>
      <w:pPr>
        <w:spacing w:line="500" w:lineRule="exact"/>
        <w:rPr>
          <w:rFonts w:ascii="宋体" w:hAnsi="宋体" w:cs="宋体"/>
          <w:color w:val="auto"/>
          <w:sz w:val="24"/>
          <w:u w:val="single"/>
        </w:rPr>
      </w:pPr>
      <w:bookmarkStart w:id="416" w:name="_Toc139343635"/>
      <w:bookmarkStart w:id="417" w:name="_Toc91477346"/>
      <w:bookmarkStart w:id="418" w:name="_Toc149714227"/>
      <w:bookmarkStart w:id="419" w:name="_Toc89058612"/>
      <w:bookmarkStart w:id="420" w:name="_Toc229198102"/>
      <w:r>
        <w:rPr>
          <w:rFonts w:hint="eastAsia" w:ascii="宋体" w:hAnsi="宋体" w:cs="宋体"/>
          <w:color w:val="auto"/>
          <w:sz w:val="24"/>
        </w:rPr>
        <w:t>供应商授权代表签字加盖公章：</w:t>
      </w:r>
      <w:r>
        <w:rPr>
          <w:rFonts w:hint="eastAsia" w:ascii="宋体" w:hAnsi="宋体" w:cs="宋体"/>
          <w:color w:val="auto"/>
          <w:sz w:val="24"/>
          <w:u w:val="single"/>
        </w:rPr>
        <w:t xml:space="preserve">                 </w:t>
      </w:r>
    </w:p>
    <w:p>
      <w:pPr>
        <w:spacing w:line="500" w:lineRule="exact"/>
        <w:rPr>
          <w:rFonts w:ascii="宋体" w:hAnsi="宋体" w:cs="宋体"/>
          <w:color w:val="auto"/>
          <w:sz w:val="24"/>
          <w:u w:val="single"/>
        </w:rPr>
      </w:pPr>
      <w:r>
        <w:rPr>
          <w:rFonts w:hint="eastAsia" w:ascii="宋体" w:hAnsi="宋体" w:cs="宋体"/>
          <w:color w:val="auto"/>
          <w:sz w:val="24"/>
        </w:rPr>
        <w:t>日期：</w:t>
      </w:r>
      <w:r>
        <w:rPr>
          <w:rFonts w:hint="eastAsia" w:ascii="宋体" w:hAnsi="宋体" w:cs="宋体"/>
          <w:color w:val="auto"/>
          <w:sz w:val="24"/>
          <w:u w:val="single"/>
        </w:rPr>
        <w:t xml:space="preserve">                        </w:t>
      </w: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sectPr>
          <w:headerReference r:id="rId12" w:type="first"/>
          <w:pgSz w:w="11906" w:h="16838"/>
          <w:pgMar w:top="1440" w:right="1803" w:bottom="1440" w:left="1803" w:header="709" w:footer="709" w:gutter="0"/>
          <w:pgNumType w:fmt="decimal"/>
          <w:cols w:space="0" w:num="1"/>
          <w:rtlGutter w:val="0"/>
          <w:docGrid w:type="lines" w:linePitch="360" w:charSpace="0"/>
        </w:sectPr>
      </w:pPr>
    </w:p>
    <w:p>
      <w:pPr>
        <w:pStyle w:val="6"/>
        <w:spacing w:line="500" w:lineRule="exact"/>
        <w:jc w:val="center"/>
        <w:rPr>
          <w:rFonts w:ascii="宋体" w:hAnsi="宋体" w:cs="宋体"/>
          <w:color w:val="auto"/>
        </w:rPr>
      </w:pPr>
      <w:bookmarkStart w:id="421" w:name="_Toc439687778"/>
      <w:r>
        <w:rPr>
          <w:rFonts w:hint="eastAsia" w:ascii="宋体" w:hAnsi="宋体" w:cs="宋体"/>
          <w:color w:val="auto"/>
        </w:rPr>
        <w:t>12． 投标货物说明表</w:t>
      </w:r>
      <w:bookmarkEnd w:id="421"/>
    </w:p>
    <w:p>
      <w:pPr>
        <w:pStyle w:val="16"/>
        <w:ind w:left="-280" w:leftChars="-100" w:right="-521" w:rightChars="-186" w:firstLine="103" w:firstLineChars="43"/>
        <w:rPr>
          <w:rFonts w:hAnsi="宋体" w:cs="宋体"/>
          <w:color w:val="auto"/>
          <w:u w:val="single"/>
        </w:rPr>
      </w:pPr>
      <w:r>
        <w:rPr>
          <w:rFonts w:hint="eastAsia" w:hAnsi="宋体" w:cs="宋体"/>
          <w:color w:val="auto"/>
        </w:rPr>
        <w:t>项目名称：</w:t>
      </w:r>
      <w:r>
        <w:rPr>
          <w:rFonts w:hint="eastAsia" w:hAnsi="宋体" w:cs="宋体"/>
          <w:color w:val="auto"/>
          <w:u w:val="single"/>
        </w:rPr>
        <w:t xml:space="preserve">                        </w:t>
      </w:r>
      <w:r>
        <w:rPr>
          <w:rFonts w:hint="eastAsia" w:hAnsi="宋体" w:cs="宋体"/>
          <w:color w:val="auto"/>
        </w:rPr>
        <w:t xml:space="preserve">    </w:t>
      </w:r>
      <w:r>
        <w:rPr>
          <w:rFonts w:hint="eastAsia" w:hAnsi="宋体" w:cs="宋体"/>
          <w:color w:val="auto"/>
          <w:lang w:val="en-US" w:eastAsia="zh-CN"/>
        </w:rPr>
        <w:t xml:space="preserve">               </w:t>
      </w:r>
      <w:r>
        <w:rPr>
          <w:rFonts w:hint="eastAsia" w:hAnsi="宋体" w:cs="宋体"/>
          <w:color w:val="auto"/>
        </w:rPr>
        <w:t>招标编号：</w:t>
      </w:r>
      <w:r>
        <w:rPr>
          <w:rFonts w:hint="eastAsia" w:hAnsi="宋体" w:cs="宋体"/>
          <w:color w:val="auto"/>
          <w:u w:val="single"/>
        </w:rPr>
        <w:t xml:space="preserve">                </w:t>
      </w:r>
    </w:p>
    <w:p>
      <w:pPr>
        <w:pStyle w:val="16"/>
        <w:ind w:left="-280" w:leftChars="-100" w:right="-521" w:rightChars="-186" w:firstLine="103" w:firstLineChars="43"/>
        <w:rPr>
          <w:rFonts w:hAnsi="宋体" w:cs="宋体"/>
          <w:color w:val="auto"/>
          <w:u w:val="single"/>
        </w:rPr>
      </w:pPr>
      <w:r>
        <w:rPr>
          <w:rFonts w:hint="eastAsia" w:hAnsi="宋体" w:cs="宋体"/>
          <w:color w:val="auto"/>
        </w:rPr>
        <w:t>供应商名称：</w:t>
      </w:r>
      <w:r>
        <w:rPr>
          <w:rFonts w:hint="eastAsia" w:hAnsi="宋体" w:cs="宋体"/>
          <w:color w:val="auto"/>
          <w:u w:val="single"/>
        </w:rPr>
        <w:t xml:space="preserve">                      </w:t>
      </w:r>
      <w:r>
        <w:rPr>
          <w:rFonts w:hint="eastAsia" w:hAnsi="宋体" w:cs="宋体"/>
          <w:color w:val="auto"/>
        </w:rPr>
        <w:t xml:space="preserve">     </w:t>
      </w:r>
      <w:r>
        <w:rPr>
          <w:rFonts w:hint="eastAsia" w:hAnsi="宋体" w:cs="宋体"/>
          <w:color w:val="auto"/>
          <w:lang w:val="en-US" w:eastAsia="zh-CN"/>
        </w:rPr>
        <w:t xml:space="preserve">                                   </w:t>
      </w:r>
    </w:p>
    <w:tbl>
      <w:tblPr>
        <w:tblStyle w:val="30"/>
        <w:tblW w:w="14020" w:type="dxa"/>
        <w:tblInd w:w="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52"/>
        <w:gridCol w:w="1589"/>
        <w:gridCol w:w="5159"/>
        <w:gridCol w:w="2337"/>
        <w:gridCol w:w="1929"/>
        <w:gridCol w:w="16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99" w:hRule="atLeast"/>
        </w:trPr>
        <w:tc>
          <w:tcPr>
            <w:tcW w:w="1352" w:type="dxa"/>
            <w:tcBorders>
              <w:top w:val="doub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序号</w:t>
            </w:r>
          </w:p>
        </w:tc>
        <w:tc>
          <w:tcPr>
            <w:tcW w:w="1589" w:type="dxa"/>
            <w:tcBorders>
              <w:top w:val="double" w:color="auto" w:sz="4" w:space="0"/>
              <w:right w:val="sing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货物名称</w:t>
            </w:r>
          </w:p>
        </w:tc>
        <w:tc>
          <w:tcPr>
            <w:tcW w:w="5159" w:type="dxa"/>
            <w:tcBorders>
              <w:top w:val="double" w:color="auto" w:sz="4" w:space="0"/>
              <w:right w:val="sing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技术规格</w:t>
            </w:r>
          </w:p>
        </w:tc>
        <w:tc>
          <w:tcPr>
            <w:tcW w:w="2337" w:type="dxa"/>
            <w:tcBorders>
              <w:top w:val="double" w:color="auto" w:sz="4" w:space="0"/>
              <w:left w:val="single" w:color="auto" w:sz="4" w:space="0"/>
              <w:right w:val="sing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生产              厂家</w:t>
            </w:r>
          </w:p>
        </w:tc>
        <w:tc>
          <w:tcPr>
            <w:tcW w:w="1929" w:type="dxa"/>
            <w:tcBorders>
              <w:top w:val="double" w:color="auto" w:sz="4" w:space="0"/>
              <w:left w:val="single" w:color="auto" w:sz="4" w:space="0"/>
              <w:right w:val="sing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国别</w:t>
            </w:r>
          </w:p>
        </w:tc>
        <w:tc>
          <w:tcPr>
            <w:tcW w:w="1654" w:type="dxa"/>
            <w:tcBorders>
              <w:top w:val="double" w:color="auto" w:sz="4" w:space="0"/>
              <w:left w:val="single" w:color="auto" w:sz="4" w:space="0"/>
            </w:tcBorders>
            <w:vAlign w:val="center"/>
          </w:tcPr>
          <w:p>
            <w:pPr>
              <w:spacing w:before="120" w:after="120"/>
              <w:jc w:val="center"/>
              <w:rPr>
                <w:rFonts w:ascii="宋体" w:hAnsi="宋体" w:cs="宋体"/>
                <w:color w:val="auto"/>
                <w:sz w:val="24"/>
              </w:rPr>
            </w:pPr>
            <w:r>
              <w:rPr>
                <w:rFonts w:hint="eastAsia" w:ascii="宋体" w:hAnsi="宋体" w:cs="宋体"/>
                <w:color w:val="auto"/>
                <w:sz w:val="24"/>
              </w:rPr>
              <w:t>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352" w:type="dxa"/>
            <w:vAlign w:val="center"/>
          </w:tcPr>
          <w:p>
            <w:pPr>
              <w:spacing w:before="60" w:after="60"/>
              <w:jc w:val="center"/>
              <w:rPr>
                <w:rFonts w:ascii="宋体" w:hAnsi="宋体" w:cs="宋体"/>
                <w:color w:val="auto"/>
              </w:rPr>
            </w:pPr>
          </w:p>
        </w:tc>
        <w:tc>
          <w:tcPr>
            <w:tcW w:w="1589" w:type="dxa"/>
            <w:tcBorders>
              <w:right w:val="single" w:color="auto" w:sz="4" w:space="0"/>
            </w:tcBorders>
            <w:vAlign w:val="center"/>
          </w:tcPr>
          <w:p>
            <w:pPr>
              <w:spacing w:before="60" w:after="60"/>
              <w:jc w:val="center"/>
              <w:rPr>
                <w:rFonts w:ascii="宋体" w:hAnsi="宋体" w:cs="宋体"/>
                <w:color w:val="auto"/>
              </w:rPr>
            </w:pPr>
          </w:p>
        </w:tc>
        <w:tc>
          <w:tcPr>
            <w:tcW w:w="5159" w:type="dxa"/>
            <w:tcBorders>
              <w:right w:val="single" w:color="auto" w:sz="4" w:space="0"/>
            </w:tcBorders>
            <w:vAlign w:val="center"/>
          </w:tcPr>
          <w:p>
            <w:pPr>
              <w:spacing w:before="60" w:after="60"/>
              <w:rPr>
                <w:rFonts w:ascii="宋体" w:hAnsi="宋体" w:cs="宋体"/>
                <w:color w:val="auto"/>
              </w:rPr>
            </w:pPr>
          </w:p>
        </w:tc>
        <w:tc>
          <w:tcPr>
            <w:tcW w:w="2337" w:type="dxa"/>
            <w:tcBorders>
              <w:left w:val="single" w:color="auto" w:sz="4" w:space="0"/>
              <w:right w:val="single" w:color="auto" w:sz="4" w:space="0"/>
            </w:tcBorders>
            <w:vAlign w:val="center"/>
          </w:tcPr>
          <w:p>
            <w:pPr>
              <w:spacing w:before="60" w:after="60"/>
              <w:rPr>
                <w:rFonts w:ascii="宋体" w:hAnsi="宋体" w:cs="宋体"/>
                <w:color w:val="auto"/>
              </w:rPr>
            </w:pPr>
          </w:p>
        </w:tc>
        <w:tc>
          <w:tcPr>
            <w:tcW w:w="1929" w:type="dxa"/>
            <w:tcBorders>
              <w:left w:val="single" w:color="auto" w:sz="4" w:space="0"/>
              <w:right w:val="single" w:color="auto" w:sz="4" w:space="0"/>
            </w:tcBorders>
            <w:vAlign w:val="center"/>
          </w:tcPr>
          <w:p>
            <w:pPr>
              <w:spacing w:before="60" w:after="60"/>
              <w:rPr>
                <w:rFonts w:ascii="宋体" w:hAnsi="宋体" w:cs="宋体"/>
                <w:color w:val="auto"/>
              </w:rPr>
            </w:pPr>
          </w:p>
        </w:tc>
        <w:tc>
          <w:tcPr>
            <w:tcW w:w="1654" w:type="dxa"/>
            <w:tcBorders>
              <w:left w:val="single" w:color="auto" w:sz="4" w:space="0"/>
            </w:tcBorders>
            <w:vAlign w:val="center"/>
          </w:tcPr>
          <w:p>
            <w:pPr>
              <w:spacing w:before="60" w:after="60"/>
              <w:rPr>
                <w:rFonts w:ascii="宋体" w:hAnsi="宋体" w:cs="宋体"/>
                <w:color w:val="auto"/>
              </w:rPr>
            </w:pPr>
          </w:p>
        </w:tc>
      </w:tr>
    </w:tbl>
    <w:p>
      <w:pPr>
        <w:pStyle w:val="16"/>
        <w:rPr>
          <w:rFonts w:hAnsi="宋体" w:cs="宋体"/>
          <w:b/>
          <w:color w:val="auto"/>
        </w:rPr>
      </w:pPr>
    </w:p>
    <w:p>
      <w:pPr>
        <w:pStyle w:val="16"/>
        <w:spacing w:line="280" w:lineRule="exact"/>
        <w:ind w:left="857" w:hanging="856" w:hangingChars="357"/>
        <w:rPr>
          <w:rFonts w:hAnsi="宋体" w:cs="宋体"/>
          <w:bCs/>
          <w:color w:val="auto"/>
        </w:rPr>
      </w:pPr>
      <w:r>
        <w:rPr>
          <w:rFonts w:hint="eastAsia" w:hAnsi="宋体" w:cs="宋体"/>
          <w:bCs/>
          <w:color w:val="auto"/>
        </w:rPr>
        <w:t>注：1、供应商须根据自己的投标产品情况，对其主要技术数据和性能给予详细描述。</w:t>
      </w:r>
    </w:p>
    <w:p>
      <w:pPr>
        <w:pStyle w:val="16"/>
        <w:spacing w:line="280" w:lineRule="exact"/>
        <w:rPr>
          <w:rFonts w:hAnsi="宋体" w:cs="宋体"/>
          <w:color w:val="auto"/>
        </w:rPr>
      </w:pPr>
    </w:p>
    <w:p>
      <w:pPr>
        <w:pStyle w:val="16"/>
        <w:spacing w:line="280" w:lineRule="exact"/>
        <w:rPr>
          <w:rFonts w:hAnsi="宋体" w:cs="宋体"/>
          <w:color w:val="auto"/>
          <w:u w:val="single"/>
        </w:rPr>
      </w:pPr>
      <w:r>
        <w:rPr>
          <w:rFonts w:hint="eastAsia" w:hAnsi="宋体" w:cs="宋体"/>
          <w:color w:val="auto"/>
        </w:rPr>
        <w:t>供应商名称：（单位公章）</w:t>
      </w:r>
      <w:r>
        <w:rPr>
          <w:rFonts w:hint="eastAsia" w:hAnsi="宋体" w:cs="宋体"/>
          <w:color w:val="auto"/>
          <w:u w:val="single"/>
        </w:rPr>
        <w:t xml:space="preserve">                   </w:t>
      </w:r>
    </w:p>
    <w:p>
      <w:pPr>
        <w:pStyle w:val="16"/>
        <w:spacing w:line="280" w:lineRule="exact"/>
        <w:rPr>
          <w:rFonts w:hAnsi="宋体" w:cs="宋体"/>
          <w:color w:val="auto"/>
        </w:rPr>
      </w:pPr>
    </w:p>
    <w:p>
      <w:pPr>
        <w:pStyle w:val="16"/>
        <w:spacing w:line="280" w:lineRule="exact"/>
        <w:rPr>
          <w:rFonts w:hAnsi="宋体" w:cs="宋体"/>
          <w:color w:val="auto"/>
        </w:rPr>
      </w:pPr>
      <w:r>
        <w:rPr>
          <w:rFonts w:hint="eastAsia" w:hAnsi="宋体" w:cs="宋体"/>
          <w:color w:val="auto"/>
        </w:rPr>
        <w:t>授权代表：（签字）</w:t>
      </w:r>
      <w:r>
        <w:rPr>
          <w:rFonts w:hint="eastAsia" w:hAnsi="宋体" w:cs="宋体"/>
          <w:color w:val="auto"/>
          <w:u w:val="single"/>
        </w:rPr>
        <w:t xml:space="preserve">                         </w:t>
      </w:r>
      <w:r>
        <w:rPr>
          <w:rFonts w:hint="eastAsia" w:hAnsi="宋体" w:cs="宋体"/>
          <w:color w:val="auto"/>
        </w:rPr>
        <w:t xml:space="preserve">                      </w:t>
      </w:r>
    </w:p>
    <w:p>
      <w:pPr>
        <w:pStyle w:val="16"/>
        <w:spacing w:line="280" w:lineRule="exact"/>
        <w:rPr>
          <w:rFonts w:hAnsi="宋体" w:cs="宋体"/>
          <w:color w:val="auto"/>
        </w:rPr>
      </w:pPr>
    </w:p>
    <w:p>
      <w:pPr>
        <w:pStyle w:val="16"/>
        <w:spacing w:line="280" w:lineRule="exact"/>
        <w:rPr>
          <w:rFonts w:hAnsi="宋体" w:cs="宋体"/>
          <w:color w:val="auto"/>
          <w:u w:val="single"/>
        </w:rPr>
        <w:sectPr>
          <w:pgSz w:w="16838" w:h="11906" w:orient="landscape"/>
          <w:pgMar w:top="1803" w:right="1440" w:bottom="1803" w:left="1440" w:header="709" w:footer="709" w:gutter="0"/>
          <w:pgNumType w:fmt="decimal"/>
          <w:cols w:space="0" w:num="1"/>
          <w:rtlGutter w:val="0"/>
          <w:docGrid w:type="lines" w:linePitch="360" w:charSpace="0"/>
        </w:sectPr>
      </w:pPr>
      <w:r>
        <w:rPr>
          <w:rFonts w:hint="eastAsia" w:hAnsi="宋体" w:cs="宋体"/>
          <w:color w:val="auto"/>
        </w:rPr>
        <w:t>日期：</w:t>
      </w:r>
      <w:r>
        <w:rPr>
          <w:rFonts w:hint="eastAsia" w:hAnsi="宋体" w:cs="宋体"/>
          <w:color w:val="auto"/>
          <w:u w:val="single"/>
        </w:rPr>
        <w:t xml:space="preserve">                             </w:t>
      </w:r>
    </w:p>
    <w:bookmarkEnd w:id="416"/>
    <w:bookmarkEnd w:id="417"/>
    <w:bookmarkEnd w:id="418"/>
    <w:bookmarkEnd w:id="419"/>
    <w:bookmarkEnd w:id="420"/>
    <w:p>
      <w:pPr>
        <w:spacing w:line="588" w:lineRule="exact"/>
        <w:jc w:val="center"/>
        <w:rPr>
          <w:rFonts w:ascii="宋体" w:hAnsi="宋体" w:cs="宋体"/>
          <w:b/>
          <w:color w:val="auto"/>
          <w:spacing w:val="6"/>
          <w:sz w:val="32"/>
          <w:szCs w:val="32"/>
        </w:rPr>
      </w:pPr>
      <w:bookmarkStart w:id="422" w:name="_Toc439687786"/>
      <w:r>
        <w:rPr>
          <w:rFonts w:hint="eastAsia" w:ascii="宋体" w:hAnsi="宋体" w:cs="宋体"/>
          <w:b/>
          <w:color w:val="auto"/>
          <w:sz w:val="32"/>
          <w:szCs w:val="32"/>
        </w:rPr>
        <w:t>13.</w:t>
      </w:r>
      <w:bookmarkStart w:id="423" w:name="OLE_LINK13"/>
      <w:bookmarkStart w:id="424" w:name="OLE_LINK14"/>
      <w:r>
        <w:rPr>
          <w:rFonts w:hint="eastAsia" w:ascii="宋体" w:hAnsi="宋体" w:cs="宋体"/>
          <w:b/>
          <w:color w:val="auto"/>
          <w:spacing w:val="6"/>
          <w:sz w:val="32"/>
          <w:szCs w:val="32"/>
        </w:rPr>
        <w:t xml:space="preserve"> 残疾人福利性单位声明函</w:t>
      </w:r>
    </w:p>
    <w:bookmarkEnd w:id="423"/>
    <w:bookmarkEnd w:id="424"/>
    <w:p>
      <w:pPr>
        <w:spacing w:line="588" w:lineRule="exact"/>
        <w:rPr>
          <w:rFonts w:ascii="宋体" w:hAnsi="宋体" w:cs="宋体"/>
          <w:b/>
          <w:color w:val="auto"/>
          <w:spacing w:val="6"/>
          <w:sz w:val="32"/>
          <w:szCs w:val="32"/>
        </w:rPr>
      </w:pPr>
    </w:p>
    <w:p>
      <w:pPr>
        <w:spacing w:line="620" w:lineRule="exact"/>
        <w:ind w:firstLine="504" w:firstLineChars="200"/>
        <w:rPr>
          <w:rFonts w:ascii="宋体" w:hAnsi="宋体" w:cs="宋体"/>
          <w:color w:val="auto"/>
          <w:spacing w:val="6"/>
          <w:sz w:val="24"/>
        </w:rPr>
      </w:pPr>
      <w:r>
        <w:rPr>
          <w:rFonts w:hint="eastAsia" w:ascii="宋体" w:hAnsi="宋体" w:cs="宋体"/>
          <w:color w:val="auto"/>
          <w:spacing w:val="6"/>
          <w:sz w:val="24"/>
        </w:rPr>
        <w:t>本单位郑重声明，根据《财政部 民政部 中国残疾人联合会关于促进残疾人就业政府采购政策的通知》（财库</w:t>
      </w:r>
      <w:r>
        <w:rPr>
          <w:rFonts w:hint="eastAsia" w:ascii="宋体" w:hAnsi="宋体" w:cs="宋体"/>
          <w:color w:val="auto"/>
          <w:sz w:val="24"/>
        </w:rPr>
        <w:t>〔2017〕 141</w:t>
      </w:r>
      <w:r>
        <w:rPr>
          <w:rFonts w:hint="eastAsia" w:ascii="宋体" w:hAnsi="宋体" w:cs="宋体"/>
          <w:color w:val="auto"/>
          <w:spacing w:val="6"/>
          <w:sz w:val="24"/>
        </w:rPr>
        <w:t>号）的规定，本单位为符合条件的残疾人福利性单位，且本单位参加</w:t>
      </w:r>
      <w:r>
        <w:rPr>
          <w:rFonts w:hint="eastAsia" w:ascii="宋体" w:hAnsi="宋体" w:cs="宋体"/>
          <w:color w:val="auto"/>
          <w:spacing w:val="6"/>
          <w:sz w:val="24"/>
          <w:u w:val="single"/>
        </w:rPr>
        <w:t xml:space="preserve">        </w:t>
      </w:r>
      <w:r>
        <w:rPr>
          <w:rFonts w:hint="eastAsia" w:ascii="宋体" w:hAnsi="宋体" w:cs="宋体"/>
          <w:color w:val="auto"/>
          <w:spacing w:val="6"/>
          <w:sz w:val="24"/>
        </w:rPr>
        <w:t>单位的</w:t>
      </w:r>
      <w:r>
        <w:rPr>
          <w:rFonts w:hint="eastAsia" w:ascii="宋体" w:hAnsi="宋体" w:cs="宋体"/>
          <w:color w:val="auto"/>
          <w:spacing w:val="6"/>
          <w:sz w:val="24"/>
          <w:u w:val="single"/>
        </w:rPr>
        <w:t xml:space="preserve">       </w:t>
      </w:r>
      <w:r>
        <w:rPr>
          <w:rFonts w:hint="eastAsia" w:ascii="宋体" w:hAnsi="宋体" w:cs="宋体"/>
          <w:color w:val="auto"/>
          <w:spacing w:val="6"/>
          <w:sz w:val="24"/>
        </w:rPr>
        <w:t>项目采购活动提供本单位制造的货物（由本单位承担工程/提供服务），或者提供其他残疾人福利性单位制造的货物（不包括使用非残疾人福利性单位注册商标的货物）。</w:t>
      </w:r>
    </w:p>
    <w:p>
      <w:pPr>
        <w:spacing w:line="620" w:lineRule="exact"/>
        <w:ind w:firstLine="504" w:firstLineChars="200"/>
        <w:rPr>
          <w:rFonts w:ascii="宋体" w:hAnsi="宋体" w:cs="宋体"/>
          <w:color w:val="auto"/>
          <w:spacing w:val="6"/>
          <w:sz w:val="24"/>
        </w:rPr>
      </w:pPr>
      <w:r>
        <w:rPr>
          <w:rFonts w:hint="eastAsia" w:ascii="宋体" w:hAnsi="宋体" w:cs="宋体"/>
          <w:color w:val="auto"/>
          <w:spacing w:val="6"/>
          <w:sz w:val="24"/>
        </w:rPr>
        <w:t>本单位对上述声明的真实性负责。如有虚假，将依法承担相应责任。</w:t>
      </w:r>
    </w:p>
    <w:p>
      <w:pPr>
        <w:spacing w:line="588" w:lineRule="exact"/>
        <w:ind w:firstLine="624" w:firstLineChars="200"/>
        <w:rPr>
          <w:rFonts w:ascii="宋体" w:hAnsi="宋体" w:cs="宋体"/>
          <w:color w:val="auto"/>
          <w:spacing w:val="6"/>
          <w:sz w:val="30"/>
          <w:szCs w:val="30"/>
        </w:rPr>
      </w:pPr>
    </w:p>
    <w:p>
      <w:pPr>
        <w:spacing w:line="588" w:lineRule="exact"/>
        <w:ind w:firstLine="624" w:firstLineChars="200"/>
        <w:rPr>
          <w:rFonts w:ascii="宋体" w:hAnsi="宋体" w:cs="宋体"/>
          <w:color w:val="auto"/>
          <w:spacing w:val="6"/>
          <w:sz w:val="30"/>
          <w:szCs w:val="30"/>
        </w:rPr>
      </w:pPr>
    </w:p>
    <w:p>
      <w:pPr>
        <w:spacing w:line="620" w:lineRule="exact"/>
        <w:ind w:firstLine="624" w:firstLineChars="200"/>
        <w:rPr>
          <w:rFonts w:ascii="宋体" w:hAnsi="宋体" w:cs="宋体"/>
          <w:color w:val="auto"/>
          <w:spacing w:val="6"/>
          <w:sz w:val="24"/>
          <w:u w:val="single"/>
        </w:rPr>
      </w:pPr>
      <w:r>
        <w:rPr>
          <w:rFonts w:hint="eastAsia" w:ascii="宋体" w:hAnsi="宋体" w:cs="宋体"/>
          <w:color w:val="auto"/>
          <w:spacing w:val="6"/>
          <w:sz w:val="30"/>
          <w:szCs w:val="30"/>
        </w:rPr>
        <w:t xml:space="preserve">                       </w:t>
      </w:r>
      <w:r>
        <w:rPr>
          <w:rFonts w:hint="eastAsia" w:ascii="宋体" w:hAnsi="宋体" w:cs="宋体"/>
          <w:color w:val="auto"/>
          <w:spacing w:val="6"/>
          <w:sz w:val="24"/>
        </w:rPr>
        <w:t>单位名称（盖章）：</w:t>
      </w:r>
      <w:r>
        <w:rPr>
          <w:rFonts w:hint="eastAsia" w:ascii="宋体" w:hAnsi="宋体" w:cs="宋体"/>
          <w:color w:val="auto"/>
          <w:spacing w:val="6"/>
          <w:sz w:val="24"/>
          <w:u w:val="single"/>
        </w:rPr>
        <w:t xml:space="preserve">             </w:t>
      </w:r>
    </w:p>
    <w:p>
      <w:pPr>
        <w:spacing w:line="620" w:lineRule="exact"/>
        <w:ind w:firstLine="504" w:firstLineChars="200"/>
        <w:rPr>
          <w:rFonts w:ascii="宋体" w:hAnsi="宋体" w:cs="宋体"/>
          <w:color w:val="auto"/>
          <w:spacing w:val="6"/>
          <w:sz w:val="24"/>
          <w:u w:val="single"/>
        </w:rPr>
      </w:pPr>
      <w:r>
        <w:rPr>
          <w:rFonts w:hint="eastAsia" w:ascii="宋体" w:hAnsi="宋体" w:cs="宋体"/>
          <w:color w:val="auto"/>
          <w:spacing w:val="6"/>
          <w:sz w:val="24"/>
        </w:rPr>
        <w:t xml:space="preserve">                             日  期：</w:t>
      </w:r>
      <w:r>
        <w:rPr>
          <w:rFonts w:hint="eastAsia" w:ascii="宋体" w:hAnsi="宋体" w:cs="宋体"/>
          <w:color w:val="auto"/>
          <w:spacing w:val="6"/>
          <w:sz w:val="24"/>
          <w:u w:val="single"/>
        </w:rPr>
        <w:t xml:space="preserve">                      </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bookmarkEnd w:id="422"/>
    <w:p>
      <w:pPr>
        <w:spacing w:line="360" w:lineRule="auto"/>
        <w:jc w:val="left"/>
        <w:rPr>
          <w:rFonts w:ascii="宋体" w:hAnsi="宋体" w:cs="宋体"/>
          <w:color w:val="auto"/>
          <w:sz w:val="24"/>
        </w:rPr>
      </w:pPr>
      <w:r>
        <w:rPr>
          <w:rFonts w:hint="eastAsia" w:ascii="宋体" w:hAnsi="宋体" w:cs="宋体"/>
          <w:color w:val="auto"/>
        </w:rPr>
        <w:br w:type="page"/>
      </w:r>
    </w:p>
    <w:p>
      <w:pPr>
        <w:spacing w:line="360" w:lineRule="auto"/>
        <w:jc w:val="left"/>
        <w:rPr>
          <w:rFonts w:ascii="宋体" w:hAnsi="宋体" w:cs="宋体"/>
          <w:color w:val="auto"/>
          <w:sz w:val="24"/>
        </w:rPr>
      </w:pPr>
      <w:r>
        <w:rPr>
          <w:rFonts w:hint="eastAsia" w:ascii="宋体" w:hAnsi="宋体" w:cs="宋体"/>
          <w:color w:val="auto"/>
          <w:sz w:val="24"/>
        </w:rPr>
        <w:t xml:space="preserve">  </w:t>
      </w:r>
    </w:p>
    <w:p>
      <w:pPr>
        <w:numPr>
          <w:ilvl w:val="0"/>
          <w:numId w:val="25"/>
        </w:numPr>
        <w:spacing w:line="600" w:lineRule="exact"/>
        <w:ind w:firstLine="1446" w:firstLineChars="300"/>
        <w:jc w:val="both"/>
        <w:outlineLvl w:val="0"/>
        <w:rPr>
          <w:rFonts w:hint="eastAsia" w:ascii="宋体" w:hAnsi="宋体" w:eastAsia="宋体" w:cs="宋体"/>
          <w:b/>
          <w:color w:val="auto"/>
          <w:sz w:val="48"/>
          <w:szCs w:val="48"/>
          <w:lang w:val="en-US" w:eastAsia="zh-CN"/>
        </w:rPr>
      </w:pPr>
      <w:bookmarkStart w:id="425" w:name="_Toc9674"/>
      <w:bookmarkStart w:id="426" w:name="_Toc439687787"/>
      <w:r>
        <w:rPr>
          <w:rFonts w:hint="eastAsia" w:ascii="宋体" w:hAnsi="宋体" w:cs="宋体"/>
          <w:b/>
          <w:color w:val="auto"/>
          <w:sz w:val="48"/>
          <w:szCs w:val="48"/>
        </w:rPr>
        <w:t>评标办法</w:t>
      </w:r>
      <w:bookmarkEnd w:id="425"/>
      <w:bookmarkEnd w:id="426"/>
      <w:r>
        <w:rPr>
          <w:rFonts w:hint="eastAsia" w:ascii="宋体" w:hAnsi="宋体" w:cs="宋体"/>
          <w:b/>
          <w:color w:val="auto"/>
          <w:sz w:val="48"/>
          <w:szCs w:val="48"/>
          <w:lang w:val="en-US" w:eastAsia="zh-CN"/>
        </w:rPr>
        <w:t>(综合评分）</w:t>
      </w:r>
    </w:p>
    <w:p>
      <w:pPr>
        <w:pStyle w:val="16"/>
        <w:spacing w:line="500" w:lineRule="exact"/>
        <w:rPr>
          <w:rFonts w:hAnsi="宋体" w:cs="宋体"/>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774" w:firstLineChars="300"/>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lang w:eastAsia="zh-CN"/>
        </w:rPr>
        <w:t>一、</w:t>
      </w:r>
      <w:r>
        <w:rPr>
          <w:rFonts w:hint="eastAsia" w:ascii="黑体" w:hAnsi="黑体" w:eastAsia="黑体" w:cs="黑体"/>
          <w:color w:val="auto"/>
          <w:spacing w:val="-11"/>
          <w:sz w:val="28"/>
          <w:szCs w:val="28"/>
        </w:rPr>
        <w:t>评标委员会的组建</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评标委员会由采购人依法组建，评标委员会由采购人代表和评审专家组成，成员人数应当为5人以上单数（包含5人），其中评审专家不得少于成员总数的三分之二。评标委员会负责评标活动，向采购人推荐中标候选人。</w:t>
      </w:r>
    </w:p>
    <w:p>
      <w:pPr>
        <w:keepNext w:val="0"/>
        <w:keepLines w:val="0"/>
        <w:pageBreakBefore w:val="0"/>
        <w:widowControl w:val="0"/>
        <w:kinsoku/>
        <w:wordWrap/>
        <w:overflowPunct/>
        <w:topLinePunct w:val="0"/>
        <w:autoSpaceDE/>
        <w:autoSpaceDN/>
        <w:bidi w:val="0"/>
        <w:adjustRightInd/>
        <w:snapToGrid/>
        <w:spacing w:line="600" w:lineRule="exact"/>
        <w:ind w:firstLine="774" w:firstLineChars="300"/>
        <w:textAlignment w:val="auto"/>
        <w:rPr>
          <w:rFonts w:hint="eastAsia" w:ascii="黑体" w:hAnsi="黑体" w:eastAsia="黑体" w:cs="黑体"/>
          <w:color w:val="auto"/>
          <w:spacing w:val="-11"/>
          <w:sz w:val="28"/>
          <w:szCs w:val="28"/>
        </w:rPr>
      </w:pPr>
      <w:bookmarkStart w:id="427" w:name="_Toc433806395"/>
      <w:bookmarkStart w:id="428" w:name="_Toc439687788"/>
      <w:r>
        <w:rPr>
          <w:rFonts w:hint="eastAsia" w:ascii="黑体" w:hAnsi="黑体" w:eastAsia="黑体" w:cs="黑体"/>
          <w:color w:val="auto"/>
          <w:spacing w:val="-11"/>
          <w:sz w:val="28"/>
          <w:szCs w:val="28"/>
          <w:lang w:eastAsia="zh-CN"/>
        </w:rPr>
        <w:t>二、</w:t>
      </w:r>
      <w:r>
        <w:rPr>
          <w:rFonts w:hint="eastAsia" w:ascii="黑体" w:hAnsi="黑体" w:eastAsia="黑体" w:cs="黑体"/>
          <w:color w:val="auto"/>
          <w:spacing w:val="-11"/>
          <w:sz w:val="28"/>
          <w:szCs w:val="28"/>
        </w:rPr>
        <w:t>投标文件的初审</w:t>
      </w:r>
      <w:bookmarkEnd w:id="427"/>
      <w:bookmarkEnd w:id="428"/>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（一）</w:t>
      </w:r>
      <w:r>
        <w:rPr>
          <w:rFonts w:hint="eastAsia" w:ascii="楷体" w:hAnsi="楷体" w:eastAsia="楷体" w:cs="楷体"/>
          <w:color w:val="auto"/>
          <w:spacing w:val="-11"/>
          <w:sz w:val="28"/>
          <w:szCs w:val="28"/>
        </w:rPr>
        <w:t>资格审查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本项目采用资格后审，开标结束后，采购人依法对供应商的资格进行审查；审查结束后由资格审查人在行政监督管理部门的监督下将审查结果现场书面告知所有供应商，合格供应商不足3家的，不得评标。供应商资格审查如下：</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营业执照副本</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国家和地方税务登记证副本</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组织机构代码证副本</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eastAsia="zh-CN"/>
        </w:rPr>
        <w:t>（</w:t>
      </w:r>
      <w:r>
        <w:rPr>
          <w:rFonts w:hint="eastAsia" w:ascii="仿宋_GB2312" w:hAnsi="仿宋_GB2312" w:eastAsia="仿宋_GB2312" w:cs="仿宋_GB2312"/>
          <w:color w:val="auto"/>
          <w:spacing w:val="-11"/>
          <w:sz w:val="28"/>
          <w:szCs w:val="28"/>
        </w:rPr>
        <w:t>注：上述营业执照、税务登记证、组织机构代码证已三证合一的，则需提供具有统一社会信用代码的营业执照副本；如供应商是事业单位，应提供“事业单位法人证书”；如供应商是自然人，需提供自然人身份证明并签字。如供应商是其他组织，应提供相应的证明文件。</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开户许可证（供应商是自然人的，需提供银行开户证明或其他相关证明）</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5.</w:t>
      </w:r>
      <w:r>
        <w:rPr>
          <w:rFonts w:hint="eastAsia" w:ascii="仿宋_GB2312" w:hAnsi="仿宋_GB2312" w:eastAsia="仿宋_GB2312" w:cs="仿宋_GB2312"/>
          <w:color w:val="auto"/>
          <w:spacing w:val="-11"/>
          <w:sz w:val="28"/>
          <w:szCs w:val="28"/>
        </w:rPr>
        <w:t>中国裁判文书网(http://wenshu.court.gov.cn/)自行查询的自公告之日起有效的近三年内行贿犯罪档案查询结果</w:t>
      </w:r>
      <w:r>
        <w:rPr>
          <w:rFonts w:hint="eastAsia" w:ascii="仿宋_GB2312" w:hAnsi="仿宋_GB2312" w:eastAsia="仿宋_GB2312" w:cs="仿宋_GB2312"/>
          <w:color w:val="auto"/>
          <w:spacing w:val="-11"/>
          <w:sz w:val="28"/>
          <w:szCs w:val="28"/>
          <w:lang w:val="en-US" w:eastAsia="zh-CN"/>
        </w:rPr>
        <w:t>截图</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11"/>
          <w:sz w:val="28"/>
          <w:szCs w:val="28"/>
        </w:rPr>
        <w:t>参加政府采购活动前3年内在经营活动中没有重大违法记录的书面声明</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rPr>
        <w:t>7</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参加本项目采购活动前</w:t>
      </w:r>
      <w:r>
        <w:rPr>
          <w:rFonts w:hint="eastAsia" w:ascii="仿宋_GB2312" w:hAnsi="仿宋_GB2312" w:eastAsia="仿宋_GB2312" w:cs="仿宋_GB2312"/>
          <w:color w:val="auto"/>
          <w:spacing w:val="-11"/>
          <w:sz w:val="28"/>
          <w:szCs w:val="28"/>
          <w:lang w:val="en-US" w:eastAsia="zh-CN"/>
        </w:rPr>
        <w:t>近半年内任意一个月</w:t>
      </w:r>
      <w:r>
        <w:rPr>
          <w:rFonts w:hint="eastAsia" w:ascii="仿宋_GB2312" w:hAnsi="仿宋_GB2312" w:eastAsia="仿宋_GB2312" w:cs="仿宋_GB2312"/>
          <w:color w:val="auto"/>
          <w:spacing w:val="-11"/>
          <w:sz w:val="28"/>
          <w:szCs w:val="28"/>
        </w:rPr>
        <w:t>缴纳税收的完税证明材料（享受免税政策的企业须提供免税证明）</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rPr>
        <w:t>8</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参加本项目采购活动前</w:t>
      </w:r>
      <w:r>
        <w:rPr>
          <w:rFonts w:hint="eastAsia" w:ascii="仿宋_GB2312" w:hAnsi="仿宋_GB2312" w:eastAsia="仿宋_GB2312" w:cs="仿宋_GB2312"/>
          <w:color w:val="auto"/>
          <w:spacing w:val="-11"/>
          <w:sz w:val="28"/>
          <w:szCs w:val="28"/>
          <w:lang w:val="en-US" w:eastAsia="zh-CN"/>
        </w:rPr>
        <w:t>近半年内任意一个月</w:t>
      </w:r>
      <w:r>
        <w:rPr>
          <w:rFonts w:hint="eastAsia" w:ascii="仿宋_GB2312" w:hAnsi="仿宋_GB2312" w:eastAsia="仿宋_GB2312" w:cs="仿宋_GB2312"/>
          <w:color w:val="auto"/>
          <w:spacing w:val="-11"/>
          <w:sz w:val="28"/>
          <w:szCs w:val="28"/>
        </w:rPr>
        <w:t>缴纳社会保障资金的证明材料（专用收据或社会保险交纳清单；依法不需要缴纳社会保障资金的供应商需提供相关证明文件）</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9.</w:t>
      </w:r>
      <w:r>
        <w:rPr>
          <w:rFonts w:hint="eastAsia" w:ascii="仿宋_GB2312" w:hAnsi="仿宋_GB2312" w:eastAsia="仿宋_GB2312" w:cs="仿宋_GB2312"/>
          <w:color w:val="auto"/>
          <w:spacing w:val="-11"/>
          <w:sz w:val="28"/>
          <w:szCs w:val="28"/>
        </w:rPr>
        <w:t>由会计事务所出具或经第三方审计的</w:t>
      </w:r>
      <w:r>
        <w:rPr>
          <w:rFonts w:hint="eastAsia" w:ascii="仿宋_GB2312" w:hAnsi="仿宋_GB2312" w:eastAsia="仿宋_GB2312" w:cs="仿宋_GB2312"/>
          <w:color w:val="auto"/>
          <w:spacing w:val="-11"/>
          <w:sz w:val="28"/>
          <w:szCs w:val="28"/>
          <w:lang w:eastAsia="zh-CN"/>
        </w:rPr>
        <w:t>202</w:t>
      </w: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lang w:eastAsia="zh-CN"/>
        </w:rPr>
        <w:t>年度财务审计报告</w:t>
      </w:r>
      <w:r>
        <w:rPr>
          <w:rFonts w:hint="eastAsia" w:ascii="仿宋_GB2312" w:hAnsi="仿宋_GB2312" w:eastAsia="仿宋_GB2312" w:cs="仿宋_GB2312"/>
          <w:color w:val="auto"/>
          <w:spacing w:val="-11"/>
          <w:sz w:val="28"/>
          <w:szCs w:val="28"/>
        </w:rPr>
        <w:t>；或者供应商基本开户银行出具的资信证明；或者财政部门认可的政府采购专业担保机构对供应商进行资格审查后出具的投标担保函（三者提供其一即可）</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10</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获取招标文件之日至投标截止日期间“信用中国”网（www.creditchina.gov.cn）、“中国政府采购网”（www.ccgp.gov.cn”查询截图。</w:t>
      </w:r>
      <w:r>
        <w:rPr>
          <w:rFonts w:hint="eastAsia" w:ascii="仿宋_GB2312" w:hAnsi="仿宋_GB2312" w:eastAsia="仿宋_GB2312" w:cs="仿宋_GB2312"/>
          <w:color w:val="auto"/>
          <w:spacing w:val="-11"/>
          <w:sz w:val="28"/>
          <w:szCs w:val="28"/>
          <w:lang w:eastAsia="zh-CN"/>
        </w:rPr>
        <w:t>（</w:t>
      </w:r>
      <w:r>
        <w:rPr>
          <w:rFonts w:hint="eastAsia" w:ascii="仿宋_GB2312" w:hAnsi="仿宋_GB2312" w:eastAsia="仿宋_GB2312" w:cs="仿宋_GB2312"/>
          <w:color w:val="auto"/>
          <w:spacing w:val="-11"/>
          <w:sz w:val="28"/>
          <w:szCs w:val="28"/>
        </w:rPr>
        <w:t>注：如相关失信记录已失效，供应商需提供相关证明资料</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11.</w:t>
      </w:r>
      <w:r>
        <w:rPr>
          <w:rFonts w:hint="eastAsia" w:ascii="仿宋_GB2312" w:hAnsi="仿宋_GB2312" w:eastAsia="仿宋_GB2312" w:cs="仿宋_GB2312"/>
          <w:color w:val="auto"/>
          <w:spacing w:val="-11"/>
          <w:sz w:val="28"/>
          <w:szCs w:val="28"/>
        </w:rPr>
        <w:t>供应商</w:t>
      </w:r>
      <w:r>
        <w:rPr>
          <w:rFonts w:hint="eastAsia" w:ascii="仿宋_GB2312" w:hAnsi="仿宋_GB2312" w:eastAsia="仿宋_GB2312" w:cs="仿宋_GB2312"/>
          <w:color w:val="auto"/>
          <w:spacing w:val="-11"/>
          <w:sz w:val="28"/>
          <w:szCs w:val="28"/>
          <w:lang w:eastAsia="zh-CN"/>
        </w:rPr>
        <w:t>需</w:t>
      </w:r>
      <w:r>
        <w:rPr>
          <w:rFonts w:hint="eastAsia" w:ascii="仿宋_GB2312" w:hAnsi="仿宋_GB2312" w:eastAsia="仿宋_GB2312" w:cs="仿宋_GB2312"/>
          <w:color w:val="auto"/>
          <w:spacing w:val="-11"/>
          <w:sz w:val="28"/>
          <w:szCs w:val="28"/>
        </w:rPr>
        <w:t>提供《印刷经营许可证》</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eastAsia="zh-CN"/>
        </w:rPr>
        <w:t>（</w:t>
      </w:r>
      <w:r>
        <w:rPr>
          <w:rFonts w:hint="eastAsia" w:ascii="仿宋_GB2312" w:hAnsi="仿宋_GB2312" w:eastAsia="仿宋_GB2312" w:cs="仿宋_GB2312"/>
          <w:color w:val="auto"/>
          <w:spacing w:val="-11"/>
          <w:sz w:val="28"/>
          <w:szCs w:val="28"/>
        </w:rPr>
        <w:t>注：资格证明文件缺少任何一项或未按照要求提供均被视为无效投标。</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（二）</w:t>
      </w:r>
      <w:r>
        <w:rPr>
          <w:rFonts w:hint="eastAsia" w:ascii="楷体" w:hAnsi="楷体" w:eastAsia="楷体" w:cs="楷体"/>
          <w:color w:val="auto"/>
          <w:spacing w:val="-11"/>
          <w:sz w:val="28"/>
          <w:szCs w:val="28"/>
        </w:rPr>
        <w:t>算术修正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算术错误将按以下方法更正：</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大写金额和小写金额不一致的，以大写金额为准;</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总价金额与按单价汇总金额不一致的，以单价金额计算结果为准。同时出现两种以上不一致的，按上述规定的顺序修正。修正后的报价按照本办法第4.2条的规定经供应商确认后产生约束力。</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（三）</w:t>
      </w:r>
      <w:r>
        <w:rPr>
          <w:rFonts w:hint="eastAsia" w:ascii="楷体" w:hAnsi="楷体" w:eastAsia="楷体" w:cs="楷体"/>
          <w:color w:val="auto"/>
          <w:spacing w:val="-11"/>
          <w:sz w:val="28"/>
          <w:szCs w:val="28"/>
        </w:rPr>
        <w:t>对于投标文件中不构成实质性偏差的小的不正规、不一致或不规则，招标机构和采购人可以接受，但这种接受不能损害或影响任何供应商的相对排序。</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楷体" w:hAnsi="楷体" w:eastAsia="楷体" w:cs="楷体"/>
          <w:color w:val="auto"/>
          <w:spacing w:val="-11"/>
          <w:sz w:val="28"/>
          <w:szCs w:val="28"/>
          <w:lang w:eastAsia="zh-CN"/>
        </w:rPr>
        <w:t>（四）</w:t>
      </w:r>
      <w:r>
        <w:rPr>
          <w:rFonts w:hint="eastAsia" w:ascii="楷体" w:hAnsi="楷体" w:eastAsia="楷体" w:cs="楷体"/>
          <w:color w:val="auto"/>
          <w:spacing w:val="-11"/>
          <w:sz w:val="28"/>
          <w:szCs w:val="28"/>
        </w:rPr>
        <w:t>在详细评标之前，根据本评标办法第2.5条的规定，评标委员会要审查每份投标文件是否实质上响应了招标文件的要求。</w:t>
      </w:r>
      <w:r>
        <w:rPr>
          <w:rFonts w:hint="eastAsia" w:ascii="仿宋_GB2312" w:hAnsi="仿宋_GB2312" w:eastAsia="仿宋_GB2312" w:cs="仿宋_GB2312"/>
          <w:color w:val="auto"/>
          <w:spacing w:val="-11"/>
          <w:sz w:val="28"/>
          <w:szCs w:val="28"/>
        </w:rPr>
        <w:t>实质上响应的投标应该是与招标文件要求的全部条款、条件和规格相符，没有重大偏离的投标。所谓重大偏离、保留或反对，系指影响到招标文件规定的供货范围、质量和性能，或者实质上与招标文件不一致，而且限制了合同中买方的权利和供应商的义务的规定，而接受这些偏离或保留将会对其他提交了实质性响应投标的供应商的竞争地位产生不公正的影响。决定投标的响应性只根据投标文件本身的内容，而不寻求外部的证据。</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（五）</w:t>
      </w:r>
      <w:r>
        <w:rPr>
          <w:rFonts w:hint="eastAsia" w:ascii="楷体" w:hAnsi="楷体" w:eastAsia="楷体" w:cs="楷体"/>
          <w:color w:val="auto"/>
          <w:spacing w:val="-11"/>
          <w:sz w:val="28"/>
          <w:szCs w:val="28"/>
        </w:rPr>
        <w:t>符合性审查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如果投标实质上没有响应招标文件的要求，其投标将被视为无效投标，供应商不得通过修正或撤消不合要求的偏离或保留从而使其投标成为实质上响应的投标。根据有关法律法规和招标文件的有关规定，其投标或将被否决：</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投标文件的格式是否符合招标文件要求、内容字迹清晰、可辨认的；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w:t>
      </w:r>
      <w:r>
        <w:rPr>
          <w:rFonts w:hint="eastAsia" w:ascii="仿宋_GB2312" w:hAnsi="仿宋_GB2312" w:eastAsia="仿宋_GB2312" w:cs="仿宋_GB2312"/>
          <w:color w:val="auto"/>
          <w:spacing w:val="-11"/>
          <w:sz w:val="28"/>
          <w:szCs w:val="28"/>
          <w:lang w:val="en-US" w:eastAsia="zh-CN"/>
        </w:rPr>
        <w:t xml:space="preserve"> 2.</w:t>
      </w:r>
      <w:r>
        <w:rPr>
          <w:rFonts w:hint="eastAsia" w:ascii="仿宋_GB2312" w:hAnsi="仿宋_GB2312" w:eastAsia="仿宋_GB2312" w:cs="仿宋_GB2312"/>
          <w:color w:val="auto"/>
          <w:spacing w:val="-11"/>
          <w:sz w:val="28"/>
          <w:szCs w:val="28"/>
        </w:rPr>
        <w:t>投标文件是否按招标文件要求签署和盖章的；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w:t>
      </w:r>
      <w:r>
        <w:rPr>
          <w:rFonts w:hint="eastAsia" w:ascii="仿宋_GB2312" w:hAnsi="仿宋_GB2312" w:eastAsia="仿宋_GB2312" w:cs="仿宋_GB2312"/>
          <w:color w:val="auto"/>
          <w:spacing w:val="-11"/>
          <w:sz w:val="28"/>
          <w:szCs w:val="28"/>
          <w:lang w:val="en-US" w:eastAsia="zh-CN"/>
        </w:rPr>
        <w:t xml:space="preserve"> 3.</w:t>
      </w:r>
      <w:r>
        <w:rPr>
          <w:rFonts w:hint="eastAsia" w:ascii="仿宋_GB2312" w:hAnsi="仿宋_GB2312" w:eastAsia="仿宋_GB2312" w:cs="仿宋_GB2312"/>
          <w:color w:val="auto"/>
          <w:spacing w:val="-11"/>
          <w:sz w:val="28"/>
          <w:szCs w:val="28"/>
        </w:rPr>
        <w:t xml:space="preserve">投标有效期是否满足； </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投标报价实质性是否完整和/或投标报价未超出采购预算（或最高限价）的；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xml:space="preserve">  </w:t>
      </w:r>
      <w:r>
        <w:rPr>
          <w:rFonts w:hint="eastAsia" w:ascii="仿宋_GB2312" w:hAnsi="仿宋_GB2312" w:eastAsia="仿宋_GB2312" w:cs="仿宋_GB2312"/>
          <w:color w:val="auto"/>
          <w:spacing w:val="-11"/>
          <w:sz w:val="28"/>
          <w:szCs w:val="28"/>
          <w:lang w:val="en-US" w:eastAsia="zh-CN"/>
        </w:rPr>
        <w:t xml:space="preserve">  5.</w:t>
      </w:r>
      <w:r>
        <w:rPr>
          <w:rFonts w:hint="eastAsia" w:ascii="仿宋_GB2312" w:hAnsi="仿宋_GB2312" w:eastAsia="仿宋_GB2312" w:cs="仿宋_GB2312"/>
          <w:color w:val="auto"/>
          <w:spacing w:val="-11"/>
          <w:sz w:val="28"/>
          <w:szCs w:val="28"/>
        </w:rPr>
        <w:t>投标报价未有选择方案和选择报价（包括交叉折扣）的；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11"/>
          <w:sz w:val="28"/>
          <w:szCs w:val="28"/>
        </w:rPr>
        <w:t>供应商未有串通投标的；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28"/>
          <w:szCs w:val="28"/>
          <w:lang w:val="en-US" w:eastAsia="zh-CN"/>
        </w:rPr>
        <w:t>7.</w:t>
      </w:r>
      <w:r>
        <w:rPr>
          <w:rFonts w:hint="eastAsia" w:ascii="仿宋_GB2312" w:hAnsi="仿宋_GB2312" w:eastAsia="仿宋_GB2312" w:cs="仿宋_GB2312"/>
          <w:color w:val="auto"/>
          <w:spacing w:val="-11"/>
          <w:sz w:val="28"/>
          <w:szCs w:val="28"/>
        </w:rPr>
        <w:t>投标文件不含有采购人不能接受的附加条件的</w:t>
      </w:r>
      <w:r>
        <w:rPr>
          <w:rFonts w:hint="eastAsia" w:ascii="仿宋_GB2312" w:hAnsi="仿宋_GB2312" w:eastAsia="仿宋_GB2312" w:cs="仿宋_GB2312"/>
          <w:color w:val="auto"/>
          <w:spacing w:val="-11"/>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（六）</w:t>
      </w:r>
      <w:r>
        <w:rPr>
          <w:rFonts w:hint="eastAsia" w:ascii="楷体" w:hAnsi="楷体" w:eastAsia="楷体" w:cs="楷体"/>
          <w:color w:val="auto"/>
          <w:spacing w:val="-11"/>
          <w:sz w:val="28"/>
          <w:szCs w:val="28"/>
        </w:rPr>
        <w:t>废标条件</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出现影响采购公正的违法、违规行为的；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供应商的报价均超过了采购预算，采购人不能支付的；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因重大变故，采购任务取消的。</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黑体" w:hAnsi="黑体" w:eastAsia="黑体" w:cs="黑体"/>
          <w:color w:val="auto"/>
          <w:spacing w:val="-11"/>
          <w:sz w:val="28"/>
          <w:szCs w:val="28"/>
        </w:rPr>
      </w:pPr>
      <w:bookmarkStart w:id="429" w:name="_Toc439687789"/>
      <w:bookmarkStart w:id="430" w:name="_Toc433806396"/>
      <w:r>
        <w:rPr>
          <w:rFonts w:hint="eastAsia" w:ascii="黑体" w:hAnsi="黑体" w:eastAsia="黑体" w:cs="黑体"/>
          <w:color w:val="auto"/>
          <w:spacing w:val="-11"/>
          <w:sz w:val="28"/>
          <w:szCs w:val="28"/>
          <w:lang w:eastAsia="zh-CN"/>
        </w:rPr>
        <w:t>三、</w:t>
      </w:r>
      <w:r>
        <w:rPr>
          <w:rFonts w:hint="eastAsia" w:ascii="黑体" w:hAnsi="黑体" w:eastAsia="黑体" w:cs="黑体"/>
          <w:color w:val="auto"/>
          <w:spacing w:val="-11"/>
          <w:sz w:val="28"/>
          <w:szCs w:val="28"/>
        </w:rPr>
        <w:t>评标货币</w:t>
      </w:r>
      <w:bookmarkEnd w:id="429"/>
      <w:bookmarkEnd w:id="430"/>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评标货币为人民币。</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黑体" w:hAnsi="黑体" w:eastAsia="黑体" w:cs="黑体"/>
          <w:color w:val="auto"/>
          <w:spacing w:val="-11"/>
          <w:sz w:val="28"/>
          <w:szCs w:val="28"/>
        </w:rPr>
      </w:pPr>
      <w:bookmarkStart w:id="431" w:name="_Toc439687790"/>
      <w:bookmarkStart w:id="432" w:name="_Toc433806397"/>
      <w:bookmarkStart w:id="433" w:name="_Toc439687791"/>
      <w:bookmarkStart w:id="434" w:name="_Toc433806398"/>
      <w:r>
        <w:rPr>
          <w:rFonts w:hint="eastAsia" w:ascii="黑体" w:hAnsi="黑体" w:eastAsia="黑体" w:cs="黑体"/>
          <w:color w:val="auto"/>
          <w:spacing w:val="-11"/>
          <w:sz w:val="28"/>
          <w:szCs w:val="28"/>
          <w:lang w:eastAsia="zh-CN"/>
        </w:rPr>
        <w:t>四、</w:t>
      </w:r>
      <w:r>
        <w:rPr>
          <w:rFonts w:hint="eastAsia" w:ascii="黑体" w:hAnsi="黑体" w:eastAsia="黑体" w:cs="黑体"/>
          <w:color w:val="auto"/>
          <w:spacing w:val="-11"/>
          <w:sz w:val="28"/>
          <w:szCs w:val="28"/>
        </w:rPr>
        <w:t>投标文件的澄清</w:t>
      </w:r>
      <w:bookmarkEnd w:id="431"/>
      <w:bookmarkEnd w:id="432"/>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在评标期间,评标委员会可以根据需要，要求供应商对其投标文件中含义不明确、同类问题表述不一致或者有明显文字和计算错误的内容，以书面形式作出必要的澄清、说明或者补正。</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供应商的澄清、说明或者补正应采用书面形式，并加盖公章，或者由法定代表人或其授权的代表签字。供应商的澄清、说明或者补正不得超出投标文件的范围或者改变投标文件的实质性内容。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lang w:eastAsia="zh-CN"/>
        </w:rPr>
        <w:t>五、</w:t>
      </w:r>
      <w:r>
        <w:rPr>
          <w:rFonts w:hint="eastAsia" w:ascii="黑体" w:hAnsi="黑体" w:eastAsia="黑体" w:cs="黑体"/>
          <w:color w:val="auto"/>
          <w:spacing w:val="-11"/>
          <w:sz w:val="28"/>
          <w:szCs w:val="28"/>
        </w:rPr>
        <w:t>投标的评价和最终评标价的确定</w:t>
      </w:r>
      <w:bookmarkEnd w:id="433"/>
      <w:bookmarkEnd w:id="434"/>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7"/>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评标委员会将按照本评标办法第2条规定，只对确定为实</w:t>
      </w:r>
      <w:r>
        <w:rPr>
          <w:rFonts w:hint="eastAsia" w:ascii="仿宋_GB2312" w:hAnsi="仿宋_GB2312" w:eastAsia="仿宋_GB2312" w:cs="仿宋_GB2312"/>
          <w:color w:val="auto"/>
          <w:spacing w:val="-17"/>
          <w:sz w:val="28"/>
          <w:szCs w:val="28"/>
        </w:rPr>
        <w:t>质上响应招标文件要求（即通过初步评审）的投标进行评价和比较。</w:t>
      </w:r>
    </w:p>
    <w:p>
      <w:pPr>
        <w:keepNext w:val="0"/>
        <w:keepLines w:val="0"/>
        <w:pageBreakBefore w:val="0"/>
        <w:widowControl w:val="0"/>
        <w:kinsoku/>
        <w:wordWrap/>
        <w:overflowPunct/>
        <w:topLinePunct w:val="0"/>
        <w:autoSpaceDE/>
        <w:autoSpaceDN/>
        <w:bidi w:val="0"/>
        <w:adjustRightInd/>
        <w:snapToGrid/>
        <w:spacing w:line="580" w:lineRule="exact"/>
        <w:ind w:firstLine="492" w:firstLineChars="200"/>
        <w:textAlignment w:val="auto"/>
        <w:rPr>
          <w:rFonts w:hint="eastAsia" w:ascii="仿宋_GB2312" w:hAnsi="仿宋_GB2312" w:eastAsia="仿宋_GB2312" w:cs="仿宋_GB2312"/>
          <w:color w:val="auto"/>
          <w:spacing w:val="-17"/>
          <w:sz w:val="28"/>
          <w:szCs w:val="28"/>
        </w:rPr>
      </w:pPr>
      <w:r>
        <w:rPr>
          <w:rFonts w:hint="eastAsia" w:ascii="仿宋_GB2312" w:hAnsi="仿宋_GB2312" w:eastAsia="仿宋_GB2312" w:cs="仿宋_GB2312"/>
          <w:color w:val="auto"/>
          <w:spacing w:val="-17"/>
          <w:sz w:val="28"/>
          <w:szCs w:val="28"/>
          <w:lang w:val="en-US" w:eastAsia="zh-CN"/>
        </w:rPr>
        <w:t>2.</w:t>
      </w:r>
      <w:r>
        <w:rPr>
          <w:rFonts w:hint="eastAsia" w:ascii="仿宋_GB2312" w:hAnsi="仿宋_GB2312" w:eastAsia="仿宋_GB2312" w:cs="仿宋_GB2312"/>
          <w:color w:val="auto"/>
          <w:spacing w:val="-17"/>
          <w:sz w:val="28"/>
          <w:szCs w:val="28"/>
        </w:rPr>
        <w:t>计算评标总价的基础是供应商须知第</w:t>
      </w:r>
      <w:r>
        <w:rPr>
          <w:rFonts w:hint="eastAsia" w:ascii="仿宋_GB2312" w:hAnsi="仿宋_GB2312" w:eastAsia="仿宋_GB2312" w:cs="仿宋_GB2312"/>
          <w:color w:val="auto"/>
          <w:spacing w:val="-17"/>
          <w:sz w:val="28"/>
          <w:szCs w:val="28"/>
          <w:u w:val="single"/>
          <w:lang w:val="en-US" w:eastAsia="zh-CN"/>
        </w:rPr>
        <w:t xml:space="preserve">    </w:t>
      </w:r>
      <w:r>
        <w:rPr>
          <w:rFonts w:hint="eastAsia" w:ascii="仿宋_GB2312" w:hAnsi="仿宋_GB2312" w:eastAsia="仿宋_GB2312" w:cs="仿宋_GB2312"/>
          <w:color w:val="auto"/>
          <w:spacing w:val="-17"/>
          <w:sz w:val="28"/>
          <w:szCs w:val="28"/>
        </w:rPr>
        <w:t>条规定的投标价。</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在评标时，除根据供应商须知第</w:t>
      </w:r>
      <w:r>
        <w:rPr>
          <w:rFonts w:hint="eastAsia" w:ascii="仿宋_GB2312" w:hAnsi="仿宋_GB2312" w:eastAsia="仿宋_GB2312" w:cs="仿宋_GB2312"/>
          <w:color w:val="auto"/>
          <w:spacing w:val="-11"/>
          <w:sz w:val="28"/>
          <w:szCs w:val="28"/>
          <w:u w:val="single"/>
          <w:lang w:val="en-US" w:eastAsia="zh-CN"/>
        </w:rPr>
        <w:t xml:space="preserve">    </w:t>
      </w:r>
      <w:r>
        <w:rPr>
          <w:rFonts w:hint="eastAsia" w:ascii="仿宋_GB2312" w:hAnsi="仿宋_GB2312" w:eastAsia="仿宋_GB2312" w:cs="仿宋_GB2312"/>
          <w:color w:val="auto"/>
          <w:spacing w:val="-11"/>
          <w:sz w:val="28"/>
          <w:szCs w:val="28"/>
        </w:rPr>
        <w:t>条的规定考虑供应商的报价之外，还要评估“投标资料表”和/或“</w:t>
      </w:r>
      <w:r>
        <w:rPr>
          <w:rFonts w:hint="eastAsia" w:ascii="仿宋_GB2312" w:hAnsi="仿宋_GB2312" w:eastAsia="仿宋_GB2312" w:cs="仿宋_GB2312"/>
          <w:color w:val="auto"/>
          <w:spacing w:val="-11"/>
          <w:sz w:val="28"/>
          <w:szCs w:val="28"/>
          <w:lang w:val="en-US" w:eastAsia="zh-CN"/>
        </w:rPr>
        <w:t>服务</w:t>
      </w:r>
      <w:r>
        <w:rPr>
          <w:rFonts w:hint="eastAsia" w:ascii="仿宋_GB2312" w:hAnsi="仿宋_GB2312" w:eastAsia="仿宋_GB2312" w:cs="仿宋_GB2312"/>
          <w:color w:val="auto"/>
          <w:spacing w:val="-11"/>
          <w:sz w:val="28"/>
          <w:szCs w:val="28"/>
        </w:rPr>
        <w:t>要求”中所列的因素。</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供应商如果没有对规定的最小投标单位中的所有货物和服务报价或没有对其中的货物和服务的组成详细分项报价（如“货物需求一览表”和“投标分项报价表”所示），其投标将被视为不完整的投标；如果供应商对其中的货物和服务的组成详细分项报价有遗漏，如果不是实质性问题，评标委员会将按照其他供应商对应项的最高报价或市场价格予以补充和评比。</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5.</w:t>
      </w:r>
      <w:r>
        <w:rPr>
          <w:rFonts w:hint="eastAsia" w:ascii="仿宋_GB2312" w:hAnsi="仿宋_GB2312" w:eastAsia="仿宋_GB2312" w:cs="仿宋_GB2312"/>
          <w:color w:val="auto"/>
          <w:spacing w:val="-11"/>
          <w:sz w:val="28"/>
          <w:szCs w:val="28"/>
        </w:rPr>
        <w:t>根据财库〔2020〕46号、财库〔2022〕19号文件规定，对于非专门面向中小型企业的采购项目，对小型和微型企业产品的价格给予10%的扣除，用扣除后的价格作为评标价参与评审（其投标报价不变）。</w:t>
      </w:r>
    </w:p>
    <w:p>
      <w:pPr>
        <w:keepNext w:val="0"/>
        <w:keepLines w:val="0"/>
        <w:pageBreakBefore w:val="0"/>
        <w:widowControl w:val="0"/>
        <w:kinsoku/>
        <w:wordWrap/>
        <w:overflowPunct/>
        <w:topLinePunct w:val="0"/>
        <w:autoSpaceDE/>
        <w:autoSpaceDN/>
        <w:bidi w:val="0"/>
        <w:adjustRightInd/>
        <w:snapToGrid/>
        <w:spacing w:line="580" w:lineRule="exact"/>
        <w:ind w:firstLine="51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11"/>
          <w:sz w:val="28"/>
          <w:szCs w:val="28"/>
        </w:rPr>
        <w:t>根据财库财库〔2014〕68号文件规定，在政府采购活动中，监狱企业视同小型、微型企业，享受预留份</w:t>
      </w:r>
      <w:r>
        <w:rPr>
          <w:rFonts w:hint="eastAsia" w:ascii="仿宋_GB2312" w:hAnsi="仿宋_GB2312" w:eastAsia="仿宋_GB2312" w:cs="仿宋_GB2312"/>
          <w:color w:val="auto"/>
          <w:spacing w:val="-11"/>
          <w:sz w:val="32"/>
          <w:szCs w:val="32"/>
        </w:rPr>
        <w:t>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本项目对监狱企业提供的自产产品或提供的其他监狱企业生产的产品投标报价给予</w:t>
      </w:r>
      <w:r>
        <w:rPr>
          <w:rFonts w:hint="eastAsia" w:ascii="仿宋_GB2312" w:hAnsi="仿宋_GB2312" w:eastAsia="仿宋_GB2312" w:cs="仿宋_GB2312"/>
          <w:color w:val="auto"/>
          <w:spacing w:val="-11"/>
          <w:sz w:val="32"/>
          <w:szCs w:val="32"/>
          <w:lang w:val="en-US" w:eastAsia="zh-CN"/>
        </w:rPr>
        <w:t>6</w:t>
      </w:r>
      <w:r>
        <w:rPr>
          <w:rFonts w:hint="eastAsia" w:ascii="仿宋_GB2312" w:hAnsi="仿宋_GB2312" w:eastAsia="仿宋_GB2312" w:cs="仿宋_GB2312"/>
          <w:color w:val="auto"/>
          <w:spacing w:val="-11"/>
          <w:sz w:val="32"/>
          <w:szCs w:val="32"/>
        </w:rPr>
        <w:t>%的扣除，用扣除后的价格作为评标价参与评审（其投标报价不变）。</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7.</w:t>
      </w:r>
      <w:r>
        <w:rPr>
          <w:rFonts w:hint="eastAsia" w:ascii="仿宋_GB2312" w:hAnsi="仿宋_GB2312" w:eastAsia="仿宋_GB2312" w:cs="仿宋_GB2312"/>
          <w:color w:val="auto"/>
          <w:spacing w:val="-11"/>
          <w:sz w:val="32"/>
          <w:szCs w:val="32"/>
        </w:rPr>
        <w:t>产品符合政府采购强制采购政策的，实行强制采购；符合政府采购优先采购政策的，产品只能享受节能产品、环境标志产品等产品优惠中的一项(由供应商在投标文件中列出产品所在清单的文号、页码，并复印该页附后)，其投标报价给予10%的扣除，用扣除后的价格作为评标价参与评审（其投标报价不变）。供应商享受支持中小企业发展政策优惠的，可以与同时享受节能产品、环境标志产品等产品优惠中的一项累加扣除。同一项目中部分产品属于优先采购政策的，评审时只对该部分产品的报价实行价格扣除。</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8.</w:t>
      </w:r>
      <w:r>
        <w:rPr>
          <w:rFonts w:hint="eastAsia" w:ascii="仿宋_GB2312" w:hAnsi="仿宋_GB2312" w:eastAsia="仿宋_GB2312" w:cs="仿宋_GB2312"/>
          <w:color w:val="auto"/>
          <w:spacing w:val="-11"/>
          <w:sz w:val="32"/>
          <w:szCs w:val="32"/>
        </w:rPr>
        <w:t>供应商提供的节能产品、环境标志产品属于下列情形，应按规定提供相关证明材料(清单文号、清单或目录所在页复印件)，并在《报价明细表》中提供相应数据。</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(1)符合政府采购强制采购政策的(《节能产品政府采购清单》中标记★符号节能产品及其他强制采购产品)；</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(2)符合政府采购优先采购政策的(《节能产品政府采购清单》中非标记★符号节能产品，《环境标志产品政府采购清单》中环境标志产品)。</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rPr>
        <w:t>未按上述要求提供、填写的，评审时不予以考虑。</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9.</w:t>
      </w:r>
      <w:r>
        <w:rPr>
          <w:rFonts w:hint="eastAsia" w:ascii="仿宋_GB2312" w:hAnsi="仿宋_GB2312" w:eastAsia="仿宋_GB2312" w:cs="仿宋_GB2312"/>
          <w:color w:val="auto"/>
          <w:spacing w:val="-11"/>
          <w:sz w:val="32"/>
          <w:szCs w:val="32"/>
        </w:rPr>
        <w:t>根据财政部、民政部、中国残疾人联合会发布的《关于促进残疾人就业政府采购政策的通知》（财库〔2017〕141号）规定，在政府采购活动中，残疾人福利性单位视同小型、微型企业，享受评审中价格扣除等促进中小企业发展的政府采购政策。本项目对残疾人福利性单位提供的自产产品或提供其他残疾人福利性单位制造的货物的价格给予</w:t>
      </w:r>
      <w:r>
        <w:rPr>
          <w:rFonts w:hint="eastAsia" w:ascii="仿宋_GB2312" w:hAnsi="仿宋_GB2312" w:eastAsia="仿宋_GB2312" w:cs="仿宋_GB2312"/>
          <w:color w:val="auto"/>
          <w:spacing w:val="-11"/>
          <w:sz w:val="32"/>
          <w:szCs w:val="32"/>
          <w:lang w:val="en-US" w:eastAsia="zh-CN"/>
        </w:rPr>
        <w:t>6</w:t>
      </w:r>
      <w:r>
        <w:rPr>
          <w:rFonts w:hint="eastAsia" w:ascii="仿宋_GB2312" w:hAnsi="仿宋_GB2312" w:eastAsia="仿宋_GB2312" w:cs="仿宋_GB2312"/>
          <w:color w:val="auto"/>
          <w:spacing w:val="-11"/>
          <w:sz w:val="32"/>
          <w:szCs w:val="32"/>
        </w:rPr>
        <w:t>%的扣除，用扣除后的价格作为评标价参与评审（其投标报价不变）。</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符合条件的残疾人福利性单位在参加政府采购活动时，应当提供《残疾人福利性单位声明函》（见第五章附件），并对声明的真实性负责。任何单位或者个人在政府采购活动中均不得要求残疾人福利性单位提供其他证明声明函内容的材料。</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10.</w:t>
      </w:r>
      <w:r>
        <w:rPr>
          <w:rFonts w:hint="eastAsia" w:ascii="仿宋_GB2312" w:hAnsi="仿宋_GB2312" w:eastAsia="仿宋_GB2312" w:cs="仿宋_GB2312"/>
          <w:color w:val="auto"/>
          <w:spacing w:val="-11"/>
          <w:sz w:val="32"/>
          <w:szCs w:val="32"/>
        </w:rPr>
        <w:t>为推进政府采购诚信体系建设，供应商在签署相关承诺，提供相关信息前，应认真阅读省级以上财政部门相关政策规定。符合先关规定的，应提供相关证明材料。</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11.</w:t>
      </w:r>
      <w:r>
        <w:rPr>
          <w:rFonts w:hint="eastAsia" w:ascii="仿宋_GB2312" w:hAnsi="仿宋_GB2312" w:eastAsia="仿宋_GB2312" w:cs="仿宋_GB2312"/>
          <w:color w:val="auto"/>
          <w:spacing w:val="-11"/>
          <w:sz w:val="32"/>
          <w:szCs w:val="32"/>
        </w:rPr>
        <w:t>根据本评标办法第2.2条、第3条、第5条所计算出的投标价为该供应商的最终评标价。</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12.</w:t>
      </w:r>
      <w:r>
        <w:rPr>
          <w:rFonts w:hint="eastAsia" w:ascii="仿宋_GB2312" w:hAnsi="仿宋_GB2312" w:eastAsia="仿宋_GB2312" w:cs="仿宋_GB2312"/>
          <w:color w:val="auto"/>
          <w:spacing w:val="-11"/>
          <w:sz w:val="32"/>
          <w:szCs w:val="32"/>
        </w:rPr>
        <w:t>如果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11"/>
          <w:sz w:val="32"/>
          <w:szCs w:val="32"/>
        </w:rPr>
      </w:pPr>
      <w:bookmarkStart w:id="435" w:name="_Toc433806399"/>
      <w:bookmarkStart w:id="436" w:name="_Toc439687792"/>
      <w:r>
        <w:rPr>
          <w:rFonts w:hint="eastAsia" w:ascii="黑体" w:hAnsi="黑体" w:eastAsia="黑体" w:cs="黑体"/>
          <w:color w:val="auto"/>
          <w:spacing w:val="-11"/>
          <w:sz w:val="32"/>
          <w:szCs w:val="32"/>
          <w:lang w:eastAsia="zh-CN"/>
        </w:rPr>
        <w:t>六、</w:t>
      </w:r>
      <w:r>
        <w:rPr>
          <w:rFonts w:hint="eastAsia" w:ascii="黑体" w:hAnsi="黑体" w:eastAsia="黑体" w:cs="黑体"/>
          <w:color w:val="auto"/>
          <w:spacing w:val="-11"/>
          <w:sz w:val="32"/>
          <w:szCs w:val="32"/>
        </w:rPr>
        <w:t>评标原则及主要方法</w:t>
      </w:r>
      <w:bookmarkEnd w:id="435"/>
      <w:bookmarkEnd w:id="436"/>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pacing w:val="-11"/>
          <w:sz w:val="32"/>
          <w:szCs w:val="32"/>
        </w:rPr>
      </w:pPr>
      <w:r>
        <w:rPr>
          <w:rFonts w:hint="eastAsia" w:ascii="楷体" w:hAnsi="楷体" w:eastAsia="楷体" w:cs="楷体"/>
          <w:color w:val="auto"/>
          <w:spacing w:val="-11"/>
          <w:sz w:val="32"/>
          <w:szCs w:val="32"/>
        </w:rPr>
        <w:t>（一）报价评分（满分</w:t>
      </w:r>
      <w:r>
        <w:rPr>
          <w:rFonts w:hint="eastAsia" w:ascii="楷体" w:hAnsi="楷体" w:eastAsia="楷体" w:cs="楷体"/>
          <w:color w:val="auto"/>
          <w:spacing w:val="-11"/>
          <w:sz w:val="32"/>
          <w:szCs w:val="32"/>
          <w:lang w:val="en-US" w:eastAsia="zh-CN"/>
        </w:rPr>
        <w:t>2</w:t>
      </w:r>
      <w:r>
        <w:rPr>
          <w:rFonts w:hint="eastAsia" w:ascii="楷体" w:hAnsi="楷体" w:eastAsia="楷体" w:cs="楷体"/>
          <w:color w:val="auto"/>
          <w:spacing w:val="-11"/>
          <w:sz w:val="32"/>
          <w:szCs w:val="32"/>
        </w:rPr>
        <w:t>0分）</w:t>
      </w:r>
    </w:p>
    <w:tbl>
      <w:tblPr>
        <w:tblStyle w:val="30"/>
        <w:tblpPr w:leftFromText="180" w:rightFromText="180" w:vertAnchor="text" w:horzAnchor="page" w:tblpX="1311" w:tblpY="263"/>
        <w:tblOverlap w:val="never"/>
        <w:tblW w:w="9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96"/>
        <w:gridCol w:w="921"/>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79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序号</w:t>
            </w:r>
          </w:p>
        </w:tc>
        <w:tc>
          <w:tcPr>
            <w:tcW w:w="79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评分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项目</w:t>
            </w:r>
          </w:p>
        </w:tc>
        <w:tc>
          <w:tcPr>
            <w:tcW w:w="92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分值</w:t>
            </w:r>
          </w:p>
        </w:tc>
        <w:tc>
          <w:tcPr>
            <w:tcW w:w="687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2" w:hRule="atLeast"/>
        </w:trPr>
        <w:tc>
          <w:tcPr>
            <w:tcW w:w="79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1</w:t>
            </w:r>
          </w:p>
        </w:tc>
        <w:tc>
          <w:tcPr>
            <w:tcW w:w="7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价格</w:t>
            </w:r>
          </w:p>
        </w:tc>
        <w:tc>
          <w:tcPr>
            <w:tcW w:w="92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0分</w:t>
            </w:r>
          </w:p>
        </w:tc>
        <w:tc>
          <w:tcPr>
            <w:tcW w:w="6872"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lef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在价格评分时，满足招标文件要求且投标报价最低的为评标基准价，其价格分为满分；其它供应商的价格分统一按照下列公式计算：</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lef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投标报价得分=(评标基准价／投标报价)×</w:t>
            </w: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0（精确到小数点后二位）。</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lef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对中小微企业执行财库〔2020〕46号、财库〔2022〕19号和工信部联企业〔2011〕300 号文件的规定，对其投标报价按 10%扣除后的价格作为其评标价；</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lef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未填写中小企业声明函、不符合财库〔2020〕46号和工信部联企业〔2011〕300 号文件的规定企业的产品价格不予扣除。</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lef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28"/>
                <w:szCs w:val="28"/>
              </w:rPr>
              <w:t>根据政府采购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pacing w:val="-11"/>
          <w:sz w:val="32"/>
          <w:szCs w:val="32"/>
        </w:rPr>
      </w:pPr>
      <w:r>
        <w:rPr>
          <w:rFonts w:hint="eastAsia" w:ascii="楷体" w:hAnsi="楷体" w:eastAsia="楷体" w:cs="楷体"/>
          <w:color w:val="auto"/>
          <w:spacing w:val="-11"/>
          <w:sz w:val="32"/>
          <w:szCs w:val="32"/>
          <w:lang w:val="en-US" w:eastAsia="zh-CN"/>
        </w:rPr>
        <w:t>(二）</w:t>
      </w:r>
      <w:r>
        <w:rPr>
          <w:rFonts w:hint="eastAsia" w:ascii="楷体" w:hAnsi="楷体" w:eastAsia="楷体" w:cs="楷体"/>
          <w:color w:val="auto"/>
          <w:spacing w:val="-11"/>
          <w:sz w:val="32"/>
          <w:szCs w:val="32"/>
        </w:rPr>
        <w:t>商务评分（满分</w:t>
      </w:r>
      <w:r>
        <w:rPr>
          <w:rFonts w:hint="eastAsia" w:ascii="楷体" w:hAnsi="楷体" w:eastAsia="楷体" w:cs="楷体"/>
          <w:color w:val="auto"/>
          <w:spacing w:val="-11"/>
          <w:sz w:val="32"/>
          <w:szCs w:val="32"/>
          <w:lang w:val="en-US" w:eastAsia="zh-CN"/>
        </w:rPr>
        <w:t>30</w:t>
      </w:r>
      <w:r>
        <w:rPr>
          <w:rFonts w:hint="eastAsia" w:ascii="楷体" w:hAnsi="楷体" w:eastAsia="楷体" w:cs="楷体"/>
          <w:color w:val="auto"/>
          <w:spacing w:val="-11"/>
          <w:sz w:val="32"/>
          <w:szCs w:val="32"/>
        </w:rPr>
        <w:t>分）</w:t>
      </w:r>
    </w:p>
    <w:tbl>
      <w:tblPr>
        <w:tblStyle w:val="30"/>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798"/>
        <w:gridCol w:w="901"/>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2</w:t>
            </w:r>
          </w:p>
        </w:tc>
        <w:tc>
          <w:tcPr>
            <w:tcW w:w="79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eastAsia="zh-CN"/>
              </w:rPr>
              <w:t>商务</w:t>
            </w:r>
            <w:r>
              <w:rPr>
                <w:rFonts w:hint="eastAsia" w:ascii="仿宋_GB2312" w:hAnsi="仿宋_GB2312" w:eastAsia="仿宋_GB2312" w:cs="仿宋_GB2312"/>
                <w:color w:val="auto"/>
                <w:spacing w:val="-11"/>
                <w:sz w:val="28"/>
                <w:szCs w:val="28"/>
              </w:rPr>
              <w:t>部分</w:t>
            </w:r>
          </w:p>
        </w:tc>
        <w:tc>
          <w:tcPr>
            <w:tcW w:w="901"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30分</w:t>
            </w: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投标文件制作：投标文件制作规范、完整、目录</w:t>
            </w:r>
            <w:r>
              <w:rPr>
                <w:rFonts w:hint="eastAsia" w:ascii="仿宋_GB2312" w:hAnsi="仿宋_GB2312" w:eastAsia="仿宋_GB2312" w:cs="仿宋_GB2312"/>
                <w:color w:val="auto"/>
                <w:spacing w:val="-11"/>
                <w:sz w:val="28"/>
                <w:szCs w:val="28"/>
                <w:lang w:eastAsia="zh-CN"/>
              </w:rPr>
              <w:t>清</w:t>
            </w:r>
            <w:r>
              <w:rPr>
                <w:rFonts w:hint="eastAsia" w:ascii="仿宋_GB2312" w:hAnsi="仿宋_GB2312" w:eastAsia="仿宋_GB2312" w:cs="仿宋_GB2312"/>
                <w:color w:val="auto"/>
                <w:spacing w:val="-11"/>
                <w:sz w:val="28"/>
                <w:szCs w:val="28"/>
              </w:rPr>
              <w:t>晰，所有附件齐全的得5分；投标文件制作较规范、目录较</w:t>
            </w:r>
            <w:r>
              <w:rPr>
                <w:rFonts w:hint="eastAsia" w:ascii="仿宋_GB2312" w:hAnsi="仿宋_GB2312" w:eastAsia="仿宋_GB2312" w:cs="仿宋_GB2312"/>
                <w:color w:val="auto"/>
                <w:spacing w:val="-11"/>
                <w:sz w:val="28"/>
                <w:szCs w:val="28"/>
                <w:lang w:eastAsia="zh-CN"/>
              </w:rPr>
              <w:t>清</w:t>
            </w:r>
            <w:r>
              <w:rPr>
                <w:rFonts w:hint="eastAsia" w:ascii="仿宋_GB2312" w:hAnsi="仿宋_GB2312" w:eastAsia="仿宋_GB2312" w:cs="仿宋_GB2312"/>
                <w:color w:val="auto"/>
                <w:spacing w:val="-11"/>
                <w:sz w:val="28"/>
                <w:szCs w:val="28"/>
              </w:rPr>
              <w:t>晰，主要附件</w:t>
            </w:r>
            <w:r>
              <w:rPr>
                <w:rFonts w:hint="eastAsia" w:ascii="仿宋_GB2312" w:hAnsi="仿宋_GB2312" w:eastAsia="仿宋_GB2312" w:cs="仿宋_GB2312"/>
                <w:color w:val="auto"/>
                <w:spacing w:val="-11"/>
                <w:sz w:val="28"/>
                <w:szCs w:val="28"/>
                <w:lang w:eastAsia="zh-CN"/>
              </w:rPr>
              <w:t>较</w:t>
            </w:r>
            <w:r>
              <w:rPr>
                <w:rFonts w:hint="eastAsia" w:ascii="仿宋_GB2312" w:hAnsi="仿宋_GB2312" w:eastAsia="仿宋_GB2312" w:cs="仿宋_GB2312"/>
                <w:color w:val="auto"/>
                <w:spacing w:val="-11"/>
                <w:sz w:val="28"/>
                <w:szCs w:val="28"/>
              </w:rPr>
              <w:t>齐全的得3分；投标文件制作不规范的不得分。（满分5分）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rPr>
            </w:pPr>
          </w:p>
        </w:tc>
        <w:tc>
          <w:tcPr>
            <w:tcW w:w="79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rPr>
            </w:pP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lang w:val="en-US" w:eastAsia="zh-CN"/>
              </w:rPr>
            </w:pP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z w:val="28"/>
                <w:szCs w:val="28"/>
              </w:rPr>
              <w:t>投标人须提供类似项目业绩(提供合同</w:t>
            </w:r>
            <w:r>
              <w:rPr>
                <w:rFonts w:hint="eastAsia" w:ascii="仿宋_GB2312" w:hAnsi="仿宋_GB2312" w:eastAsia="仿宋_GB2312" w:cs="仿宋_GB2312"/>
                <w:color w:val="auto"/>
                <w:sz w:val="28"/>
                <w:szCs w:val="28"/>
                <w:lang w:val="en-US" w:eastAsia="zh-CN"/>
              </w:rPr>
              <w:t>或</w:t>
            </w:r>
            <w:r>
              <w:rPr>
                <w:rFonts w:hint="eastAsia" w:ascii="仿宋_GB2312" w:hAnsi="仿宋_GB2312" w:eastAsia="仿宋_GB2312" w:cs="仿宋_GB2312"/>
                <w:color w:val="auto"/>
                <w:sz w:val="28"/>
                <w:szCs w:val="28"/>
              </w:rPr>
              <w:t>中标通知书</w:t>
            </w:r>
            <w:r>
              <w:rPr>
                <w:rFonts w:hint="eastAsia" w:ascii="仿宋_GB2312" w:hAnsi="仿宋_GB2312" w:eastAsia="仿宋_GB2312" w:cs="仿宋_GB2312"/>
                <w:color w:val="auto"/>
                <w:sz w:val="28"/>
                <w:szCs w:val="28"/>
                <w:lang w:eastAsia="zh-CN"/>
              </w:rPr>
              <w:t>扫描件加盖公章</w:t>
            </w:r>
            <w:r>
              <w:rPr>
                <w:rFonts w:hint="eastAsia" w:ascii="仿宋_GB2312" w:hAnsi="仿宋_GB2312" w:eastAsia="仿宋_GB2312" w:cs="仿宋_GB2312"/>
                <w:color w:val="auto"/>
                <w:sz w:val="28"/>
                <w:szCs w:val="28"/>
              </w:rPr>
              <w:t>)，每提供一项得</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分，最高得</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分,不提供不得分。</w:t>
            </w:r>
            <w:r>
              <w:rPr>
                <w:rFonts w:hint="eastAsia" w:ascii="仿宋_GB2312" w:hAnsi="仿宋_GB2312" w:eastAsia="仿宋_GB2312" w:cs="仿宋_GB2312"/>
                <w:color w:val="auto"/>
                <w:spacing w:val="-11"/>
                <w:sz w:val="28"/>
                <w:szCs w:val="28"/>
              </w:rPr>
              <w:t>（满分</w:t>
            </w: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rPr>
            </w:pPr>
          </w:p>
        </w:tc>
        <w:tc>
          <w:tcPr>
            <w:tcW w:w="79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rPr>
            </w:pPr>
          </w:p>
        </w:tc>
        <w:tc>
          <w:tcPr>
            <w:tcW w:w="901"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pacing w:val="-11"/>
                <w:sz w:val="28"/>
                <w:szCs w:val="28"/>
                <w:lang w:val="en-US" w:eastAsia="zh-CN"/>
              </w:rPr>
            </w:pPr>
          </w:p>
        </w:tc>
        <w:tc>
          <w:tcPr>
            <w:tcW w:w="69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服务承诺</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针对本项目的总体服务承诺方案，包括：服务机构、联络人、符合本项目实际情况的响应时间、应急预案及本项目重大报道节点的服务方案、纸张和印刷品储存保管、与邮政发行部门合作衔接方案等。</w:t>
            </w:r>
            <w:r>
              <w:rPr>
                <w:rFonts w:hint="eastAsia" w:ascii="仿宋_GB2312" w:hAnsi="仿宋_GB2312" w:eastAsia="仿宋_GB2312" w:cs="仿宋_GB2312"/>
                <w:color w:val="auto"/>
                <w:sz w:val="28"/>
                <w:szCs w:val="28"/>
                <w:lang w:val="en-US" w:eastAsia="zh-CN"/>
              </w:rPr>
              <w:t>提供</w:t>
            </w:r>
            <w:r>
              <w:rPr>
                <w:rFonts w:hint="eastAsia" w:ascii="仿宋_GB2312" w:hAnsi="仿宋_GB2312" w:eastAsia="仿宋_GB2312" w:cs="仿宋_GB2312"/>
                <w:color w:val="auto"/>
                <w:sz w:val="28"/>
                <w:szCs w:val="28"/>
              </w:rPr>
              <w:t>服务承诺方案完整、科学、合理</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及时便捷</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分；服务承诺方案</w:t>
            </w:r>
            <w:r>
              <w:rPr>
                <w:rFonts w:hint="eastAsia" w:ascii="仿宋_GB2312" w:hAnsi="仿宋_GB2312" w:eastAsia="仿宋_GB2312" w:cs="仿宋_GB2312"/>
                <w:color w:val="auto"/>
                <w:sz w:val="28"/>
                <w:szCs w:val="28"/>
                <w:lang w:val="en-US" w:eastAsia="zh-CN"/>
              </w:rPr>
              <w:t>一般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基本</w:t>
            </w:r>
            <w:r>
              <w:rPr>
                <w:rFonts w:hint="eastAsia" w:ascii="仿宋_GB2312" w:hAnsi="仿宋_GB2312" w:eastAsia="仿宋_GB2312" w:cs="仿宋_GB2312"/>
                <w:color w:val="auto"/>
                <w:sz w:val="28"/>
                <w:szCs w:val="28"/>
                <w:lang w:eastAsia="zh-CN"/>
              </w:rPr>
              <w:t>可行，</w:t>
            </w:r>
            <w:r>
              <w:rPr>
                <w:rFonts w:hint="eastAsia" w:ascii="仿宋_GB2312" w:hAnsi="仿宋_GB2312" w:eastAsia="仿宋_GB2312" w:cs="仿宋_GB2312"/>
                <w:color w:val="auto"/>
                <w:sz w:val="28"/>
                <w:szCs w:val="28"/>
                <w:lang w:val="en-US" w:eastAsia="zh-CN"/>
              </w:rPr>
              <w:t>响应时间慢</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不提供不得分</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2.</w:t>
            </w:r>
            <w:r>
              <w:rPr>
                <w:rFonts w:hint="eastAsia" w:ascii="仿宋_GB2312" w:hAnsi="仿宋_GB2312" w:eastAsia="仿宋_GB2312" w:cs="仿宋_GB2312"/>
                <w:color w:val="auto"/>
                <w:sz w:val="28"/>
                <w:szCs w:val="28"/>
              </w:rPr>
              <w:t>针对本项目的售后服务方案，包括：不合格报纸无偿更换、因产品质量或服务造成损失的赔偿等方案。提供售后服务方案完整、科学、合理</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val="en-US" w:eastAsia="zh-CN"/>
              </w:rPr>
              <w:t>提供售后服务内容一般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基本</w:t>
            </w:r>
            <w:r>
              <w:rPr>
                <w:rFonts w:hint="eastAsia" w:ascii="仿宋_GB2312" w:hAnsi="仿宋_GB2312" w:eastAsia="仿宋_GB2312" w:cs="仿宋_GB2312"/>
                <w:color w:val="auto"/>
                <w:sz w:val="28"/>
                <w:szCs w:val="28"/>
                <w:lang w:eastAsia="zh-CN"/>
              </w:rPr>
              <w:t>可行的</w:t>
            </w:r>
            <w:r>
              <w:rPr>
                <w:rFonts w:hint="eastAsia" w:ascii="仿宋_GB2312" w:hAnsi="仿宋_GB2312" w:eastAsia="仿宋_GB2312" w:cs="仿宋_GB2312"/>
                <w:color w:val="auto"/>
                <w:sz w:val="28"/>
                <w:szCs w:val="28"/>
              </w:rPr>
              <w:t>得</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val="en-US" w:eastAsia="zh-CN"/>
              </w:rPr>
              <w:t>不提供不得分</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（满分10分）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pacing w:val="-11"/>
          <w:sz w:val="32"/>
          <w:szCs w:val="32"/>
        </w:rPr>
      </w:pPr>
      <w:r>
        <w:rPr>
          <w:rFonts w:hint="eastAsia" w:ascii="楷体" w:hAnsi="楷体" w:eastAsia="楷体" w:cs="楷体"/>
          <w:color w:val="auto"/>
          <w:spacing w:val="-11"/>
          <w:sz w:val="32"/>
          <w:szCs w:val="32"/>
        </w:rPr>
        <w:t>（三）</w:t>
      </w:r>
      <w:r>
        <w:rPr>
          <w:rFonts w:hint="eastAsia" w:ascii="楷体" w:hAnsi="楷体" w:eastAsia="楷体" w:cs="楷体"/>
          <w:color w:val="auto"/>
          <w:spacing w:val="-11"/>
          <w:sz w:val="32"/>
          <w:szCs w:val="32"/>
          <w:lang w:val="en-US" w:eastAsia="zh-CN"/>
        </w:rPr>
        <w:t>技术</w:t>
      </w:r>
      <w:r>
        <w:rPr>
          <w:rFonts w:hint="eastAsia" w:ascii="楷体" w:hAnsi="楷体" w:eastAsia="楷体" w:cs="楷体"/>
          <w:color w:val="auto"/>
          <w:spacing w:val="-11"/>
          <w:sz w:val="32"/>
          <w:szCs w:val="32"/>
        </w:rPr>
        <w:t>评分（满分</w:t>
      </w:r>
      <w:r>
        <w:rPr>
          <w:rFonts w:hint="eastAsia" w:ascii="楷体" w:hAnsi="楷体" w:eastAsia="楷体" w:cs="楷体"/>
          <w:color w:val="auto"/>
          <w:spacing w:val="-11"/>
          <w:sz w:val="32"/>
          <w:szCs w:val="32"/>
          <w:lang w:val="en-US" w:eastAsia="zh-CN"/>
        </w:rPr>
        <w:t>5</w:t>
      </w:r>
      <w:r>
        <w:rPr>
          <w:rFonts w:hint="eastAsia" w:ascii="楷体" w:hAnsi="楷体" w:eastAsia="楷体" w:cs="楷体"/>
          <w:color w:val="auto"/>
          <w:spacing w:val="-11"/>
          <w:sz w:val="32"/>
          <w:szCs w:val="32"/>
        </w:rPr>
        <w:t>0分）</w:t>
      </w:r>
    </w:p>
    <w:tbl>
      <w:tblPr>
        <w:tblStyle w:val="30"/>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44"/>
        <w:gridCol w:w="855"/>
        <w:gridCol w:w="765"/>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73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3</w:t>
            </w:r>
          </w:p>
        </w:tc>
        <w:tc>
          <w:tcPr>
            <w:tcW w:w="844" w:type="dxa"/>
            <w:vMerge w:val="restart"/>
            <w:vAlign w:val="center"/>
          </w:tcPr>
          <w:p>
            <w:pPr>
              <w:rPr>
                <w:rFonts w:hint="eastAsia"/>
                <w:color w:val="auto"/>
                <w:lang w:eastAsia="zh-CN"/>
              </w:rPr>
            </w:pPr>
            <w:r>
              <w:rPr>
                <w:rFonts w:hint="eastAsia" w:ascii="仿宋_GB2312" w:hAnsi="仿宋_GB2312" w:eastAsia="仿宋_GB2312" w:cs="仿宋_GB2312"/>
                <w:color w:val="auto"/>
                <w:sz w:val="30"/>
                <w:szCs w:val="30"/>
                <w:lang w:eastAsia="zh-CN"/>
              </w:rPr>
              <w:t>技术部分</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32"/>
                <w:szCs w:val="32"/>
                <w:lang w:val="en-US" w:eastAsia="zh-CN"/>
              </w:rPr>
              <w:t>服务</w:t>
            </w:r>
            <w:r>
              <w:rPr>
                <w:rFonts w:hint="eastAsia" w:ascii="仿宋_GB2312" w:hAnsi="仿宋_GB2312" w:eastAsia="仿宋_GB2312" w:cs="仿宋_GB2312"/>
                <w:color w:val="auto"/>
                <w:spacing w:val="-11"/>
                <w:sz w:val="32"/>
                <w:szCs w:val="32"/>
              </w:rPr>
              <w:t>响应</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pacing w:val="-11"/>
                <w:sz w:val="28"/>
                <w:szCs w:val="28"/>
                <w:lang w:val="en-US"/>
              </w:rPr>
            </w:pPr>
            <w:r>
              <w:rPr>
                <w:rFonts w:hint="eastAsia" w:ascii="仿宋_GB2312" w:hAnsi="仿宋_GB2312" w:eastAsia="仿宋_GB2312" w:cs="仿宋_GB2312"/>
                <w:color w:val="auto"/>
                <w:spacing w:val="-11"/>
                <w:sz w:val="28"/>
                <w:szCs w:val="28"/>
                <w:lang w:val="en-US" w:eastAsia="zh-CN"/>
              </w:rPr>
              <w:t>25分</w:t>
            </w:r>
          </w:p>
        </w:tc>
        <w:tc>
          <w:tcPr>
            <w:tcW w:w="6321"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服务要求</w:t>
            </w:r>
            <w:r>
              <w:rPr>
                <w:rFonts w:hint="eastAsia" w:ascii="仿宋_GB2312" w:hAnsi="仿宋_GB2312" w:eastAsia="仿宋_GB2312" w:cs="仿宋_GB2312"/>
                <w:color w:val="auto"/>
                <w:spacing w:val="-11"/>
                <w:sz w:val="28"/>
                <w:szCs w:val="28"/>
              </w:rPr>
              <w:t>完全满足或优于招标文件规定的相应</w:t>
            </w:r>
            <w:r>
              <w:rPr>
                <w:rFonts w:hint="eastAsia" w:ascii="仿宋_GB2312" w:hAnsi="仿宋_GB2312" w:eastAsia="仿宋_GB2312" w:cs="仿宋_GB2312"/>
                <w:color w:val="auto"/>
                <w:spacing w:val="-11"/>
                <w:sz w:val="28"/>
                <w:szCs w:val="28"/>
                <w:lang w:val="en-US" w:eastAsia="zh-CN"/>
              </w:rPr>
              <w:t>服务内容</w:t>
            </w:r>
            <w:r>
              <w:rPr>
                <w:rFonts w:hint="eastAsia" w:ascii="仿宋_GB2312" w:hAnsi="仿宋_GB2312" w:eastAsia="仿宋_GB2312" w:cs="仿宋_GB2312"/>
                <w:color w:val="auto"/>
                <w:spacing w:val="-11"/>
                <w:sz w:val="28"/>
                <w:szCs w:val="28"/>
              </w:rPr>
              <w:t>的得</w:t>
            </w:r>
            <w:r>
              <w:rPr>
                <w:rFonts w:hint="eastAsia" w:ascii="仿宋_GB2312" w:hAnsi="仿宋_GB2312" w:eastAsia="仿宋_GB2312" w:cs="仿宋_GB2312"/>
                <w:color w:val="auto"/>
                <w:spacing w:val="-11"/>
                <w:sz w:val="28"/>
                <w:szCs w:val="28"/>
                <w:lang w:val="en-US" w:eastAsia="zh-CN"/>
              </w:rPr>
              <w:t>25</w:t>
            </w:r>
            <w:r>
              <w:rPr>
                <w:rFonts w:hint="eastAsia" w:ascii="仿宋_GB2312" w:hAnsi="仿宋_GB2312" w:eastAsia="仿宋_GB2312" w:cs="仿宋_GB2312"/>
                <w:color w:val="auto"/>
                <w:spacing w:val="-11"/>
                <w:sz w:val="28"/>
                <w:szCs w:val="28"/>
              </w:rPr>
              <w:t>分，每有一项不满足（负偏离）扣</w:t>
            </w: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分，扣完为止。（满分</w:t>
            </w:r>
            <w:r>
              <w:rPr>
                <w:rFonts w:hint="eastAsia" w:ascii="仿宋_GB2312" w:hAnsi="仿宋_GB2312" w:eastAsia="仿宋_GB2312" w:cs="仿宋_GB2312"/>
                <w:color w:val="auto"/>
                <w:spacing w:val="-11"/>
                <w:sz w:val="28"/>
                <w:szCs w:val="28"/>
                <w:lang w:val="en-US" w:eastAsia="zh-CN"/>
              </w:rPr>
              <w:t>25</w:t>
            </w:r>
            <w:r>
              <w:rPr>
                <w:rFonts w:hint="eastAsia" w:ascii="仿宋_GB2312" w:hAnsi="仿宋_GB2312" w:eastAsia="仿宋_GB2312" w:cs="仿宋_GB2312"/>
                <w:color w:val="auto"/>
                <w:spacing w:val="-11"/>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32"/>
                <w:szCs w:val="32"/>
                <w:lang w:val="en-US" w:eastAsia="zh-CN"/>
              </w:rPr>
              <w:t>印前设备</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6分</w:t>
            </w:r>
          </w:p>
        </w:tc>
        <w:tc>
          <w:tcPr>
            <w:tcW w:w="6321"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具备完备的印前生产能力，有3台及以上CTP设备的得6分；具备较好的印前生产能力，有2至3台CTP设备的得4分；具备一定的印前生产能力，有1台CTP设备的得2分；没有CTP设备的不得分。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（提供主要设备清单，包括品牌、型号、数量、现场照片、购买发票（或融资租赁合同或其他证明材料）彩色扫描件），未按要求提供的不得分。</w:t>
            </w:r>
            <w:r>
              <w:rPr>
                <w:rFonts w:hint="eastAsia" w:ascii="仿宋_GB2312" w:hAnsi="仿宋_GB2312" w:eastAsia="仿宋_GB2312" w:cs="仿宋_GB2312"/>
                <w:color w:val="auto"/>
                <w:spacing w:val="-11"/>
                <w:sz w:val="28"/>
                <w:szCs w:val="28"/>
              </w:rPr>
              <w:t>（满分</w:t>
            </w: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11"/>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32"/>
                <w:szCs w:val="32"/>
                <w:lang w:val="en-US" w:eastAsia="zh-CN"/>
              </w:rPr>
              <w:t>印刷设备</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6分</w:t>
            </w:r>
          </w:p>
        </w:tc>
        <w:tc>
          <w:tcPr>
            <w:tcW w:w="6321"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具备对开及以上八色轮转胶印机6个塔并有3个出报口及以上的得6分；具备4个至5个塔并有2个出报口的得4分；具备2至3个塔并有1个出报口的得2分；其它及未按要求提供的不得分。（提供主要设备清单，包括品牌、型号、数量、现场照片、购买发票（或融资租赁合同或其他证明材料）彩色扫描件）。</w:t>
            </w:r>
            <w:r>
              <w:rPr>
                <w:rFonts w:hint="eastAsia" w:ascii="仿宋_GB2312" w:hAnsi="仿宋_GB2312" w:eastAsia="仿宋_GB2312" w:cs="仿宋_GB2312"/>
                <w:color w:val="auto"/>
                <w:spacing w:val="-11"/>
                <w:sz w:val="28"/>
                <w:szCs w:val="28"/>
              </w:rPr>
              <w:t>（满分</w:t>
            </w:r>
            <w:r>
              <w:rPr>
                <w:rFonts w:hint="eastAsia" w:ascii="仿宋_GB2312" w:hAnsi="仿宋_GB2312" w:eastAsia="仿宋_GB2312" w:cs="仿宋_GB2312"/>
                <w:color w:val="auto"/>
                <w:spacing w:val="-11"/>
                <w:sz w:val="28"/>
                <w:szCs w:val="28"/>
                <w:lang w:val="en-US" w:eastAsia="zh-CN"/>
              </w:rPr>
              <w:t>6</w:t>
            </w:r>
            <w:r>
              <w:rPr>
                <w:rFonts w:hint="eastAsia" w:ascii="仿宋_GB2312" w:hAnsi="仿宋_GB2312" w:eastAsia="仿宋_GB2312" w:cs="仿宋_GB2312"/>
                <w:color w:val="auto"/>
                <w:spacing w:val="-11"/>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32"/>
                <w:szCs w:val="32"/>
                <w:lang w:val="en-US" w:eastAsia="zh-CN"/>
              </w:rPr>
              <w:t>环保实力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3分</w:t>
            </w:r>
          </w:p>
        </w:tc>
        <w:tc>
          <w:tcPr>
            <w:tcW w:w="6321"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具有印刷机润版液循环过滤设备的得1分；</w:t>
            </w:r>
            <w:r>
              <w:rPr>
                <w:rFonts w:hint="eastAsia" w:ascii="仿宋_GB2312" w:hAnsi="仿宋_GB2312" w:eastAsia="仿宋_GB2312" w:cs="仿宋_GB2312"/>
                <w:color w:val="auto"/>
                <w:spacing w:val="-17"/>
                <w:sz w:val="28"/>
                <w:szCs w:val="28"/>
                <w:lang w:val="en-US" w:eastAsia="zh-CN"/>
              </w:rPr>
              <w:t>具有VOC废气处理系统或有废气综合处理设施的得1分；</w:t>
            </w:r>
            <w:r>
              <w:rPr>
                <w:rFonts w:hint="eastAsia" w:ascii="仿宋_GB2312" w:hAnsi="仿宋_GB2312" w:eastAsia="仿宋_GB2312" w:cs="仿宋_GB2312"/>
                <w:color w:val="auto"/>
                <w:spacing w:val="-11"/>
                <w:sz w:val="28"/>
                <w:szCs w:val="28"/>
                <w:lang w:val="en-US" w:eastAsia="zh-CN"/>
              </w:rPr>
              <w:t>具有冲版机水洗水循环系统或有综合污水处理设备的得1分。不提供不得分</w:t>
            </w:r>
            <w:r>
              <w:rPr>
                <w:rFonts w:hint="eastAsia" w:ascii="仿宋_GB2312" w:hAnsi="仿宋_GB2312" w:eastAsia="仿宋_GB2312" w:cs="仿宋_GB2312"/>
                <w:color w:val="auto"/>
                <w:spacing w:val="-11"/>
                <w:sz w:val="28"/>
                <w:szCs w:val="28"/>
              </w:rPr>
              <w:t>（满分</w:t>
            </w: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4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lang w:eastAsia="zh-CN"/>
              </w:rPr>
            </w:pPr>
            <w:r>
              <w:rPr>
                <w:rFonts w:hint="eastAsia" w:ascii="仿宋_GB2312" w:hAnsi="仿宋_GB2312" w:eastAsia="仿宋_GB2312" w:cs="仿宋_GB2312"/>
                <w:color w:val="auto"/>
                <w:spacing w:val="-11"/>
                <w:sz w:val="32"/>
                <w:szCs w:val="32"/>
                <w:lang w:eastAsia="zh-CN"/>
              </w:rPr>
              <w:t>生产方案</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28"/>
                <w:szCs w:val="28"/>
                <w:lang w:val="en-US"/>
              </w:rPr>
            </w:pPr>
            <w:r>
              <w:rPr>
                <w:rFonts w:hint="eastAsia" w:ascii="仿宋_GB2312" w:hAnsi="仿宋_GB2312" w:eastAsia="仿宋_GB2312" w:cs="仿宋_GB2312"/>
                <w:color w:val="auto"/>
                <w:spacing w:val="-11"/>
                <w:sz w:val="28"/>
                <w:szCs w:val="28"/>
                <w:lang w:val="en-US" w:eastAsia="zh-CN"/>
              </w:rPr>
              <w:t>10分</w:t>
            </w:r>
          </w:p>
        </w:tc>
        <w:tc>
          <w:tcPr>
            <w:tcW w:w="6321"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1.针对本项目生产流程安排、设备调配方案、质量保证措施、版面检查与编印沟通方案、发行及送报服务等</w:t>
            </w:r>
            <w:r>
              <w:rPr>
                <w:rFonts w:hint="eastAsia" w:ascii="仿宋_GB2312" w:hAnsi="仿宋_GB2312" w:eastAsia="仿宋_GB2312" w:cs="仿宋_GB2312"/>
                <w:color w:val="auto"/>
                <w:spacing w:val="-11"/>
                <w:sz w:val="28"/>
                <w:szCs w:val="28"/>
                <w:lang w:eastAsia="zh-CN"/>
              </w:rPr>
              <w:t>。</w:t>
            </w:r>
            <w:r>
              <w:rPr>
                <w:rFonts w:hint="eastAsia" w:ascii="仿宋_GB2312" w:hAnsi="仿宋_GB2312" w:eastAsia="仿宋_GB2312" w:cs="仿宋_GB2312"/>
                <w:color w:val="auto"/>
                <w:spacing w:val="-11"/>
                <w:sz w:val="28"/>
                <w:szCs w:val="28"/>
                <w:lang w:val="en-US" w:eastAsia="zh-CN"/>
              </w:rPr>
              <w:t>提供的</w:t>
            </w:r>
            <w:r>
              <w:rPr>
                <w:rFonts w:hint="eastAsia" w:ascii="仿宋_GB2312" w:hAnsi="仿宋_GB2312" w:eastAsia="仿宋_GB2312" w:cs="仿宋_GB2312"/>
                <w:color w:val="auto"/>
                <w:spacing w:val="-11"/>
                <w:sz w:val="28"/>
                <w:szCs w:val="28"/>
              </w:rPr>
              <w:t>方案完整、科学、合理</w:t>
            </w:r>
            <w:r>
              <w:rPr>
                <w:rFonts w:hint="eastAsia" w:ascii="仿宋_GB2312" w:hAnsi="仿宋_GB2312" w:eastAsia="仿宋_GB2312" w:cs="仿宋_GB2312"/>
                <w:color w:val="auto"/>
                <w:spacing w:val="-11"/>
                <w:sz w:val="28"/>
                <w:szCs w:val="28"/>
                <w:lang w:val="en-US" w:eastAsia="zh-CN"/>
              </w:rPr>
              <w:t>且针对性强，完全能够保障报纸按时按点印刷出版投递</w:t>
            </w:r>
            <w:r>
              <w:rPr>
                <w:rFonts w:hint="eastAsia" w:ascii="仿宋_GB2312" w:hAnsi="仿宋_GB2312" w:eastAsia="仿宋_GB2312" w:cs="仿宋_GB2312"/>
                <w:color w:val="auto"/>
                <w:spacing w:val="-11"/>
                <w:sz w:val="28"/>
                <w:szCs w:val="28"/>
                <w:lang w:eastAsia="zh-CN"/>
              </w:rPr>
              <w:t>的</w:t>
            </w:r>
            <w:r>
              <w:rPr>
                <w:rFonts w:hint="eastAsia" w:ascii="仿宋_GB2312" w:hAnsi="仿宋_GB2312" w:eastAsia="仿宋_GB2312" w:cs="仿宋_GB2312"/>
                <w:color w:val="auto"/>
                <w:spacing w:val="-11"/>
                <w:sz w:val="28"/>
                <w:szCs w:val="28"/>
              </w:rPr>
              <w:t>得</w:t>
            </w:r>
            <w:r>
              <w:rPr>
                <w:rFonts w:hint="eastAsia" w:ascii="仿宋_GB2312" w:hAnsi="仿宋_GB2312" w:eastAsia="仿宋_GB2312" w:cs="仿宋_GB2312"/>
                <w:color w:val="auto"/>
                <w:spacing w:val="-11"/>
                <w:sz w:val="28"/>
                <w:szCs w:val="28"/>
                <w:lang w:val="en-US" w:eastAsia="zh-CN"/>
              </w:rPr>
              <w:t>8</w:t>
            </w:r>
            <w:r>
              <w:rPr>
                <w:rFonts w:hint="eastAsia" w:ascii="仿宋_GB2312" w:hAnsi="仿宋_GB2312" w:eastAsia="仿宋_GB2312" w:cs="仿宋_GB2312"/>
                <w:color w:val="auto"/>
                <w:spacing w:val="-11"/>
                <w:sz w:val="28"/>
                <w:szCs w:val="28"/>
              </w:rPr>
              <w:t>分；方案</w:t>
            </w:r>
            <w:r>
              <w:rPr>
                <w:rFonts w:hint="eastAsia" w:ascii="仿宋_GB2312" w:hAnsi="仿宋_GB2312" w:eastAsia="仿宋_GB2312" w:cs="仿宋_GB2312"/>
                <w:color w:val="auto"/>
                <w:spacing w:val="-11"/>
                <w:sz w:val="28"/>
                <w:szCs w:val="28"/>
                <w:lang w:eastAsia="zh-CN"/>
              </w:rPr>
              <w:t>较为完善、</w:t>
            </w:r>
            <w:r>
              <w:rPr>
                <w:rFonts w:hint="eastAsia" w:ascii="仿宋_GB2312" w:hAnsi="仿宋_GB2312" w:eastAsia="仿宋_GB2312" w:cs="仿宋_GB2312"/>
                <w:color w:val="auto"/>
                <w:spacing w:val="-11"/>
                <w:sz w:val="28"/>
                <w:szCs w:val="28"/>
                <w:lang w:val="en-US" w:eastAsia="zh-CN"/>
              </w:rPr>
              <w:t>基本合理</w:t>
            </w:r>
            <w:r>
              <w:rPr>
                <w:rFonts w:hint="eastAsia" w:ascii="仿宋_GB2312" w:hAnsi="仿宋_GB2312" w:eastAsia="仿宋_GB2312" w:cs="仿宋_GB2312"/>
                <w:color w:val="auto"/>
                <w:spacing w:val="-11"/>
                <w:sz w:val="28"/>
                <w:szCs w:val="28"/>
                <w:lang w:eastAsia="zh-CN"/>
              </w:rPr>
              <w:t>可行，</w:t>
            </w:r>
            <w:r>
              <w:rPr>
                <w:rFonts w:hint="eastAsia" w:ascii="仿宋_GB2312" w:hAnsi="仿宋_GB2312" w:eastAsia="仿宋_GB2312" w:cs="仿宋_GB2312"/>
                <w:color w:val="auto"/>
                <w:spacing w:val="-11"/>
                <w:sz w:val="28"/>
                <w:szCs w:val="28"/>
                <w:lang w:val="en-US" w:eastAsia="zh-CN"/>
              </w:rPr>
              <w:t>基本能够保障报纸按时按点印刷出版投递的</w:t>
            </w:r>
            <w:r>
              <w:rPr>
                <w:rFonts w:hint="eastAsia" w:ascii="仿宋_GB2312" w:hAnsi="仿宋_GB2312" w:eastAsia="仿宋_GB2312" w:cs="仿宋_GB2312"/>
                <w:color w:val="auto"/>
                <w:spacing w:val="-11"/>
                <w:sz w:val="28"/>
                <w:szCs w:val="28"/>
                <w:lang w:eastAsia="zh-CN"/>
              </w:rPr>
              <w:t>得</w:t>
            </w:r>
            <w:r>
              <w:rPr>
                <w:rFonts w:hint="eastAsia" w:ascii="仿宋_GB2312" w:hAnsi="仿宋_GB2312" w:eastAsia="仿宋_GB2312" w:cs="仿宋_GB2312"/>
                <w:color w:val="auto"/>
                <w:spacing w:val="-11"/>
                <w:sz w:val="28"/>
                <w:szCs w:val="28"/>
                <w:lang w:val="en-US" w:eastAsia="zh-CN"/>
              </w:rPr>
              <w:t>5</w:t>
            </w:r>
            <w:r>
              <w:rPr>
                <w:rFonts w:hint="eastAsia" w:ascii="仿宋_GB2312" w:hAnsi="仿宋_GB2312" w:eastAsia="仿宋_GB2312" w:cs="仿宋_GB2312"/>
                <w:color w:val="auto"/>
                <w:spacing w:val="-11"/>
                <w:sz w:val="28"/>
                <w:szCs w:val="28"/>
              </w:rPr>
              <w:t>分；</w:t>
            </w:r>
            <w:r>
              <w:rPr>
                <w:rFonts w:hint="eastAsia" w:ascii="仿宋_GB2312" w:hAnsi="仿宋_GB2312" w:eastAsia="仿宋_GB2312" w:cs="仿宋_GB2312"/>
                <w:color w:val="auto"/>
                <w:spacing w:val="-11"/>
                <w:sz w:val="28"/>
                <w:szCs w:val="28"/>
                <w:lang w:eastAsia="zh-CN"/>
              </w:rPr>
              <w:t>不提供的不得分</w:t>
            </w:r>
            <w:r>
              <w:rPr>
                <w:rFonts w:hint="eastAsia" w:ascii="仿宋_GB2312" w:hAnsi="仿宋_GB2312" w:eastAsia="仿宋_GB2312" w:cs="仿宋_GB2312"/>
                <w:color w:val="auto"/>
                <w:spacing w:val="-11"/>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2.针对本项</w:t>
            </w:r>
            <w:r>
              <w:rPr>
                <w:rFonts w:hint="eastAsia" w:ascii="仿宋_GB2312" w:hAnsi="仿宋_GB2312" w:eastAsia="仿宋_GB2312" w:cs="仿宋_GB2312"/>
                <w:color w:val="auto"/>
                <w:spacing w:val="-11"/>
                <w:sz w:val="28"/>
                <w:szCs w:val="28"/>
                <w:lang w:val="en-US" w:eastAsia="zh-CN"/>
              </w:rPr>
              <w:t>目</w:t>
            </w:r>
            <w:r>
              <w:rPr>
                <w:rFonts w:hint="eastAsia" w:ascii="仿宋_GB2312" w:hAnsi="仿宋_GB2312" w:eastAsia="仿宋_GB2312" w:cs="仿宋_GB2312"/>
                <w:color w:val="auto"/>
                <w:spacing w:val="-11"/>
                <w:sz w:val="28"/>
                <w:szCs w:val="28"/>
              </w:rPr>
              <w:t>安全管理制度、消防保障措施等，提供安全、消防设施清单和现场照片</w:t>
            </w:r>
            <w:r>
              <w:rPr>
                <w:rFonts w:hint="eastAsia" w:ascii="仿宋_GB2312" w:hAnsi="仿宋_GB2312" w:eastAsia="仿宋_GB2312" w:cs="仿宋_GB2312"/>
                <w:color w:val="auto"/>
                <w:spacing w:val="-11"/>
                <w:sz w:val="28"/>
                <w:szCs w:val="28"/>
                <w:lang w:eastAsia="zh-CN"/>
              </w:rPr>
              <w:t>。</w:t>
            </w:r>
            <w:r>
              <w:rPr>
                <w:rFonts w:hint="eastAsia" w:ascii="仿宋_GB2312" w:hAnsi="仿宋_GB2312" w:eastAsia="仿宋_GB2312" w:cs="仿宋_GB2312"/>
                <w:color w:val="auto"/>
                <w:spacing w:val="-11"/>
                <w:sz w:val="28"/>
                <w:szCs w:val="28"/>
                <w:lang w:val="en-US" w:eastAsia="zh-CN"/>
              </w:rPr>
              <w:t>提供</w:t>
            </w:r>
            <w:r>
              <w:rPr>
                <w:rFonts w:hint="eastAsia" w:ascii="仿宋_GB2312" w:hAnsi="仿宋_GB2312" w:eastAsia="仿宋_GB2312" w:cs="仿宋_GB2312"/>
                <w:color w:val="auto"/>
                <w:spacing w:val="-11"/>
                <w:sz w:val="28"/>
                <w:szCs w:val="28"/>
              </w:rPr>
              <w:t>方案</w:t>
            </w:r>
            <w:r>
              <w:rPr>
                <w:rFonts w:hint="eastAsia" w:ascii="仿宋_GB2312" w:hAnsi="仿宋_GB2312" w:eastAsia="仿宋_GB2312" w:cs="仿宋_GB2312"/>
                <w:color w:val="auto"/>
                <w:spacing w:val="-11"/>
                <w:sz w:val="28"/>
                <w:szCs w:val="28"/>
                <w:lang w:val="en-US" w:eastAsia="zh-CN"/>
              </w:rPr>
              <w:t>详细</w:t>
            </w:r>
            <w:r>
              <w:rPr>
                <w:rFonts w:hint="eastAsia" w:ascii="仿宋_GB2312" w:hAnsi="仿宋_GB2312" w:eastAsia="仿宋_GB2312" w:cs="仿宋_GB2312"/>
                <w:color w:val="auto"/>
                <w:spacing w:val="-11"/>
                <w:sz w:val="28"/>
                <w:szCs w:val="28"/>
              </w:rPr>
              <w:t>完整、科学合理</w:t>
            </w:r>
            <w:r>
              <w:rPr>
                <w:rFonts w:hint="eastAsia" w:ascii="仿宋_GB2312" w:hAnsi="仿宋_GB2312" w:eastAsia="仿宋_GB2312" w:cs="仿宋_GB2312"/>
                <w:color w:val="auto"/>
                <w:spacing w:val="-11"/>
                <w:sz w:val="28"/>
                <w:szCs w:val="28"/>
                <w:lang w:eastAsia="zh-CN"/>
              </w:rPr>
              <w:t>的</w:t>
            </w:r>
            <w:r>
              <w:rPr>
                <w:rFonts w:hint="eastAsia" w:ascii="仿宋_GB2312" w:hAnsi="仿宋_GB2312" w:eastAsia="仿宋_GB2312" w:cs="仿宋_GB2312"/>
                <w:color w:val="auto"/>
                <w:spacing w:val="-11"/>
                <w:sz w:val="28"/>
                <w:szCs w:val="28"/>
              </w:rPr>
              <w:t>得</w:t>
            </w: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分；方案</w:t>
            </w:r>
            <w:r>
              <w:rPr>
                <w:rFonts w:hint="eastAsia" w:ascii="仿宋_GB2312" w:hAnsi="仿宋_GB2312" w:eastAsia="仿宋_GB2312" w:cs="仿宋_GB2312"/>
                <w:color w:val="auto"/>
                <w:spacing w:val="-11"/>
                <w:sz w:val="28"/>
                <w:szCs w:val="28"/>
                <w:lang w:eastAsia="zh-CN"/>
              </w:rPr>
              <w:t>较为完善，</w:t>
            </w:r>
            <w:r>
              <w:rPr>
                <w:rFonts w:hint="eastAsia" w:ascii="仿宋_GB2312" w:hAnsi="仿宋_GB2312" w:eastAsia="仿宋_GB2312" w:cs="仿宋_GB2312"/>
                <w:color w:val="auto"/>
                <w:spacing w:val="-11"/>
                <w:sz w:val="28"/>
                <w:szCs w:val="28"/>
                <w:lang w:val="en-US" w:eastAsia="zh-CN"/>
              </w:rPr>
              <w:t>基本</w:t>
            </w:r>
            <w:r>
              <w:rPr>
                <w:rFonts w:hint="eastAsia" w:ascii="仿宋_GB2312" w:hAnsi="仿宋_GB2312" w:eastAsia="仿宋_GB2312" w:cs="仿宋_GB2312"/>
                <w:color w:val="auto"/>
                <w:spacing w:val="-11"/>
                <w:sz w:val="28"/>
                <w:szCs w:val="28"/>
              </w:rPr>
              <w:t>合理</w:t>
            </w:r>
            <w:r>
              <w:rPr>
                <w:rFonts w:hint="eastAsia" w:ascii="仿宋_GB2312" w:hAnsi="仿宋_GB2312" w:eastAsia="仿宋_GB2312" w:cs="仿宋_GB2312"/>
                <w:color w:val="auto"/>
                <w:spacing w:val="-11"/>
                <w:sz w:val="28"/>
                <w:szCs w:val="28"/>
                <w:lang w:eastAsia="zh-CN"/>
              </w:rPr>
              <w:t>可行的</w:t>
            </w:r>
            <w:r>
              <w:rPr>
                <w:rFonts w:hint="eastAsia" w:ascii="仿宋_GB2312" w:hAnsi="仿宋_GB2312" w:eastAsia="仿宋_GB2312" w:cs="仿宋_GB2312"/>
                <w:color w:val="auto"/>
                <w:spacing w:val="-11"/>
                <w:sz w:val="28"/>
                <w:szCs w:val="28"/>
              </w:rPr>
              <w:t>得</w:t>
            </w: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分；</w:t>
            </w:r>
            <w:r>
              <w:rPr>
                <w:rFonts w:hint="eastAsia" w:ascii="仿宋_GB2312" w:hAnsi="仿宋_GB2312" w:eastAsia="仿宋_GB2312" w:cs="仿宋_GB2312"/>
                <w:color w:val="auto"/>
                <w:spacing w:val="-11"/>
                <w:sz w:val="28"/>
                <w:szCs w:val="28"/>
                <w:lang w:eastAsia="zh-CN"/>
              </w:rPr>
              <w:t>不提供不得分</w:t>
            </w:r>
            <w:r>
              <w:rPr>
                <w:rFonts w:hint="eastAsia" w:ascii="仿宋_GB2312" w:hAnsi="仿宋_GB2312" w:eastAsia="仿宋_GB2312" w:cs="仿宋_GB2312"/>
                <w:color w:val="auto"/>
                <w:spacing w:val="-11"/>
                <w:sz w:val="28"/>
                <w:szCs w:val="28"/>
              </w:rPr>
              <w:t>。</w:t>
            </w:r>
            <w:r>
              <w:rPr>
                <w:rFonts w:hint="eastAsia" w:ascii="仿宋_GB2312" w:hAnsi="仿宋_GB2312" w:eastAsia="仿宋_GB2312" w:cs="仿宋_GB2312"/>
                <w:color w:val="auto"/>
                <w:spacing w:val="-11"/>
                <w:sz w:val="28"/>
                <w:szCs w:val="28"/>
                <w:lang w:val="en-US" w:eastAsia="zh-CN"/>
              </w:rPr>
              <w:t>（满分10分）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color w:val="auto"/>
          <w:spacing w:val="-11"/>
          <w:sz w:val="28"/>
          <w:szCs w:val="28"/>
        </w:rPr>
      </w:pPr>
      <w:r>
        <w:rPr>
          <w:rFonts w:hint="eastAsia" w:ascii="楷体" w:hAnsi="楷体" w:eastAsia="楷体" w:cs="楷体"/>
          <w:color w:val="auto"/>
          <w:spacing w:val="-11"/>
          <w:sz w:val="28"/>
          <w:szCs w:val="28"/>
          <w:lang w:eastAsia="zh-CN"/>
        </w:rPr>
        <w:t>（四）</w:t>
      </w:r>
      <w:r>
        <w:rPr>
          <w:rFonts w:hint="eastAsia" w:ascii="楷体" w:hAnsi="楷体" w:eastAsia="楷体" w:cs="楷体"/>
          <w:color w:val="auto"/>
          <w:spacing w:val="-11"/>
          <w:sz w:val="28"/>
          <w:szCs w:val="28"/>
        </w:rPr>
        <w:t>评标结论</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评标结果按评审后总得分由高到低的顺序排列。总得分相同的，按投标报价由低到高顺序排列。总得分且投标报价相同的并列。投标文件满足招标文件全部实质性要求，且按照评审因素的量化指标评审总得分最高的供应商为排名第一的中标候选人。评标委员会同时向采购人出具评标报告。采购人依据评标报告确定中标供应商。</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bookmarkStart w:id="437" w:name="_Toc443464515"/>
      <w:bookmarkStart w:id="438" w:name="_Toc435707736"/>
      <w:bookmarkStart w:id="439" w:name="_Toc433806400"/>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提供相同品牌产品且通过资格审查、符合性审查的不同投标人参加同一合同项下投标的，按一家投标人计算，评审后得分最高的同品牌投标人获得中标人推荐资格；评审得分相同的，评标委员会应按低价优先的原则推荐排序候选人资格，价格得分相同时，由评标委员会采取随机抽取的方式决定。核心产品是由采购人根据采购项目技术构成、产品价格比重等确定的，已在招标文件中载明。多家投标人提供的核心产品品牌相同的，按前款规定处理。</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lang w:eastAsia="zh-CN"/>
        </w:rPr>
        <w:t>七、</w:t>
      </w:r>
      <w:r>
        <w:rPr>
          <w:rFonts w:hint="eastAsia" w:ascii="黑体" w:hAnsi="黑体" w:eastAsia="黑体" w:cs="黑体"/>
          <w:color w:val="auto"/>
          <w:spacing w:val="-11"/>
          <w:sz w:val="28"/>
          <w:szCs w:val="28"/>
        </w:rPr>
        <w:t>与采购人、招标机构和评标委员会接触</w:t>
      </w:r>
      <w:bookmarkEnd w:id="437"/>
      <w:bookmarkEnd w:id="438"/>
      <w:bookmarkEnd w:id="439"/>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1.</w:t>
      </w:r>
      <w:r>
        <w:rPr>
          <w:rFonts w:hint="eastAsia" w:ascii="仿宋_GB2312" w:hAnsi="仿宋_GB2312" w:eastAsia="仿宋_GB2312" w:cs="仿宋_GB2312"/>
          <w:color w:val="auto"/>
          <w:spacing w:val="-11"/>
          <w:sz w:val="28"/>
          <w:szCs w:val="28"/>
        </w:rPr>
        <w:t xml:space="preserve">除本评标办法第4.1条的规定外，从开标之日起至授予合同期间，供应商不得就与其投标有关的任何事项与采购人、招标机构和评标委员会联系。 </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1"/>
          <w:sz w:val="28"/>
          <w:szCs w:val="28"/>
        </w:rPr>
        <w:t>供应商试图对采购人、招标机构和评标委员会的评标、比较或授予合同的决定进行影响，都可能导致其投标被视为无效投标。</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lang w:eastAsia="zh-CN"/>
        </w:rPr>
        <w:t>八、</w:t>
      </w:r>
      <w:r>
        <w:rPr>
          <w:rFonts w:hint="eastAsia" w:ascii="黑体" w:hAnsi="黑体" w:eastAsia="黑体" w:cs="黑体"/>
          <w:color w:val="auto"/>
          <w:spacing w:val="-11"/>
          <w:sz w:val="28"/>
          <w:szCs w:val="28"/>
        </w:rPr>
        <w:t>解释权</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本评标办法解释权归</w:t>
      </w:r>
      <w:r>
        <w:rPr>
          <w:rFonts w:hint="eastAsia" w:ascii="仿宋_GB2312" w:hAnsi="仿宋_GB2312" w:eastAsia="仿宋_GB2312" w:cs="仿宋_GB2312"/>
          <w:color w:val="auto"/>
          <w:spacing w:val="-11"/>
          <w:sz w:val="28"/>
          <w:szCs w:val="28"/>
          <w:lang w:eastAsia="zh-CN"/>
        </w:rPr>
        <w:t>定西市融媒体中心</w:t>
      </w:r>
      <w:r>
        <w:rPr>
          <w:rFonts w:hint="eastAsia" w:ascii="仿宋_GB2312" w:hAnsi="仿宋_GB2312" w:eastAsia="仿宋_GB2312" w:cs="仿宋_GB2312"/>
          <w:color w:val="auto"/>
          <w:spacing w:val="-11"/>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黑体" w:hAnsi="黑体" w:eastAsia="黑体" w:cs="黑体"/>
          <w:color w:val="auto"/>
          <w:spacing w:val="-11"/>
          <w:sz w:val="28"/>
          <w:szCs w:val="28"/>
        </w:rPr>
      </w:pPr>
      <w:r>
        <w:rPr>
          <w:rFonts w:hint="eastAsia" w:ascii="黑体" w:hAnsi="黑体" w:eastAsia="黑体" w:cs="黑体"/>
          <w:color w:val="auto"/>
          <w:spacing w:val="-11"/>
          <w:sz w:val="28"/>
          <w:szCs w:val="28"/>
          <w:lang w:eastAsia="zh-CN"/>
        </w:rPr>
        <w:t>九、</w:t>
      </w:r>
      <w:r>
        <w:rPr>
          <w:rFonts w:hint="eastAsia" w:ascii="黑体" w:hAnsi="黑体" w:eastAsia="黑体" w:cs="黑体"/>
          <w:color w:val="auto"/>
          <w:spacing w:val="-11"/>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1.关于印发《政府采购促进中小企业发展办法》的通知（财库</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2020</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46号）</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jc w:val="lef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w:t>
      </w:r>
      <w:r>
        <w:rPr>
          <w:rFonts w:hint="eastAsia" w:ascii="仿宋_GB2312" w:hAnsi="仿宋_GB2312" w:eastAsia="仿宋_GB2312" w:cs="仿宋_GB2312"/>
          <w:color w:val="auto"/>
          <w:spacing w:val="-17"/>
          <w:sz w:val="28"/>
          <w:szCs w:val="28"/>
        </w:rPr>
        <w:t>关于进一步加大政府采购支持中小企业力度的</w:t>
      </w:r>
      <w:r>
        <w:rPr>
          <w:rFonts w:hint="eastAsia" w:ascii="仿宋_GB2312" w:hAnsi="仿宋_GB2312" w:eastAsia="仿宋_GB2312" w:cs="仿宋_GB2312"/>
          <w:color w:val="auto"/>
          <w:spacing w:val="-11"/>
          <w:sz w:val="28"/>
          <w:szCs w:val="28"/>
        </w:rPr>
        <w:t>通知</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财库〔2022〕19号</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关于印发中小企业划型标准规定的通知（工信部联企业</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2011</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300号）</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4.</w:t>
      </w:r>
      <w:r>
        <w:rPr>
          <w:rFonts w:hint="eastAsia" w:ascii="仿宋_GB2312" w:hAnsi="仿宋_GB2312" w:eastAsia="仿宋_GB2312" w:cs="仿宋_GB2312"/>
          <w:color w:val="auto"/>
          <w:spacing w:val="-11"/>
          <w:sz w:val="28"/>
          <w:szCs w:val="28"/>
        </w:rPr>
        <w:t>关于促进残疾人就业政府采购政策的通知（财库</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2017</w:t>
      </w:r>
      <w:r>
        <w:rPr>
          <w:rFonts w:hint="eastAsia" w:ascii="仿宋_GB2312" w:hAnsi="仿宋_GB2312" w:eastAsia="仿宋_GB2312" w:cs="仿宋_GB2312"/>
          <w:color w:val="auto"/>
          <w:spacing w:val="-11"/>
          <w:sz w:val="28"/>
          <w:szCs w:val="28"/>
          <w:lang w:val="en-US" w:eastAsia="zh-CN"/>
        </w:rPr>
        <w:t>]</w:t>
      </w:r>
      <w:r>
        <w:rPr>
          <w:rFonts w:hint="eastAsia" w:ascii="仿宋_GB2312" w:hAnsi="仿宋_GB2312" w:eastAsia="仿宋_GB2312" w:cs="仿宋_GB2312"/>
          <w:color w:val="auto"/>
          <w:spacing w:val="-11"/>
          <w:sz w:val="28"/>
          <w:szCs w:val="28"/>
        </w:rPr>
        <w:t>141号）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p>
      <w:pPr>
        <w:ind w:firstLine="4760" w:firstLineChars="1700"/>
        <w:rPr>
          <w:rFonts w:hint="eastAsia" w:ascii="仿宋_GB2312" w:hAnsi="仿宋_GB2312" w:eastAsia="仿宋_GB2312" w:cs="仿宋_GB2312"/>
          <w:color w:val="auto"/>
          <w:sz w:val="28"/>
          <w:szCs w:val="28"/>
          <w:lang w:eastAsia="zh-CN"/>
        </w:rPr>
      </w:pPr>
    </w:p>
    <w:p>
      <w:pPr>
        <w:ind w:firstLine="4760" w:firstLineChars="17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定西市融媒体中心</w:t>
      </w:r>
    </w:p>
    <w:p>
      <w:pPr>
        <w:ind w:firstLine="4760" w:firstLineChars="17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2023年7月24日</w:t>
      </w:r>
    </w:p>
    <w:p>
      <w:pPr>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pStyle w:val="16"/>
        <w:spacing w:line="500" w:lineRule="exact"/>
        <w:rPr>
          <w:rFonts w:hAnsi="宋体" w:cs="宋体"/>
          <w:color w:val="auto"/>
        </w:rPr>
      </w:pPr>
    </w:p>
    <w:p>
      <w:pPr>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关于印发《政府采购促进中小企业发展管理办法》的通知</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财库〔2020〕46号</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各中央预算单位办公厅（室），各省、自治区、直辖市、计划单列市财政厅（局）、工业和信息化主管部门，新疆生产建设兵团财政局、工业和信息化主管部门：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1277" w:leftChars="456" w:firstLine="2838" w:firstLineChars="1100"/>
        <w:textAlignment w:val="auto"/>
        <w:rPr>
          <w:rFonts w:hint="eastAsia" w:ascii="仿宋_GB2312" w:hAnsi="仿宋_GB2312" w:eastAsia="仿宋_GB2312" w:cs="仿宋_GB2312"/>
          <w:color w:val="auto"/>
          <w:spacing w:val="-11"/>
          <w:sz w:val="28"/>
          <w:szCs w:val="28"/>
          <w:lang w:val="en-US" w:eastAsia="zh-CN"/>
        </w:rPr>
      </w:pPr>
      <w:r>
        <w:rPr>
          <w:rFonts w:hint="eastAsia" w:ascii="仿宋_GB2312" w:hAnsi="仿宋_GB2312" w:eastAsia="仿宋_GB2312" w:cs="仿宋_GB2312"/>
          <w:color w:val="auto"/>
          <w:spacing w:val="-11"/>
          <w:sz w:val="28"/>
          <w:szCs w:val="28"/>
          <w:lang w:val="en-US" w:eastAsia="zh-CN"/>
        </w:rPr>
        <w:t>财政部    工业和信息化部</w:t>
      </w:r>
    </w:p>
    <w:p>
      <w:pPr>
        <w:keepNext w:val="0"/>
        <w:keepLines w:val="0"/>
        <w:pageBreakBefore w:val="0"/>
        <w:widowControl w:val="0"/>
        <w:kinsoku/>
        <w:wordWrap/>
        <w:overflowPunct/>
        <w:topLinePunct w:val="0"/>
        <w:autoSpaceDE/>
        <w:autoSpaceDN/>
        <w:bidi w:val="0"/>
        <w:adjustRightInd/>
        <w:snapToGrid/>
        <w:spacing w:line="560" w:lineRule="exact"/>
        <w:ind w:firstLine="4902" w:firstLineChars="19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lang w:val="en-US" w:eastAsia="zh-CN"/>
        </w:rPr>
        <w:t>2020年12月18日</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p>
    <w:p>
      <w:pPr>
        <w:rPr>
          <w:rFonts w:hint="eastAsia"/>
        </w:rPr>
      </w:pPr>
      <w:r>
        <w:rPr>
          <w:rFonts w:hint="eastAsia"/>
        </w:rPr>
        <w:br w:type="page"/>
      </w:r>
    </w:p>
    <w:p>
      <w:pPr>
        <w:bidi w:val="0"/>
        <w:jc w:val="center"/>
        <w:rPr>
          <w:rFonts w:hint="eastAsia"/>
        </w:rPr>
      </w:pPr>
      <w:r>
        <w:rPr>
          <w:rFonts w:hint="eastAsia"/>
        </w:rPr>
        <w:t>政府采购促进中小企业发展管理办法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第一条　为了发挥政府采购的政策功能，促进中小企业健康发展，根据《中华人民共和国政府采购法》、《中华人民共和国中小企业促进法》等有关法律法规，制定本办法。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第二条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第三条　采购人在政府采购活动中应当通过加强采购需求管理，落实预留采购份额、价格评审优惠、优先采购等措施，提高中小企业在政府采购中的份额，支持中小企业发展。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第四条　在政府采购活动中，供应商提供的货物、工程或者服务符合下列情形的，享受本办法规定的中小企业扶持政策：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（二）在工程采购项目中，工程由中小企业承建，即工程施工单位为中小企业；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（三）在服务采购项目中，服务由中小企业承接，即提供服务的人员为中小企业依照《中华人民共和国劳动合同法》订立劳动合同的从业人员。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在货物采购项目中，供应商提供的货物既有中小企业制造货物，也有大型企业制造货物的，不享受本办法规定的中小企业扶持政策。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第五条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第六条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符合下列情形之一的，可不专门面向中小企业预留采购份额：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（一）法律法规和国家有关政策明确规定优先或者应当面向事业单位、社会组织等非企业主体采购的；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（二）因确需使用不可替代的专利、专有技术，基础设施限制，或者提供特定公共服务等原因，只能从中小企业之外的供应商处采购的；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（三）按照本办法规定预留采购份额无法确保充分供应、充分竞争，或者存在可能影响政府采购目标实现的情形；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（四）框架协议采购项目；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（五）省级以上人民政府财政部门规定的其他情形。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除上述情形外，其他均为适宜由中小企业提供的情形。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第七条　采购限额标准以上，200万元以下的货物和服务采购项目、400万元以下的工程采购项目，适宜由中小企业提供的，采购人应当专门面向中小企业采购。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第八条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（一）将采购项目整体或者设置采购包专门面向中小企业采购；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（二）要求供应商以联合体形式参加采购活动，且联合体中中小企业承担的部分达到一定比例；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（三）要求获得采购合同的供应商将采购项目中的一定比例分包给一家或者多家中小企业。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组成联合体或者接受分包合同的中小企业与联合体内其他企业、分包企业之间不得存在直接控股、管理关系。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第九条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第十条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第十一条　中小企业参加政府采购活动，应当出具本办法规定的《中小企业声明函》（附1），否则不得享受相关中小企业扶持政策。任何单位和个人不得要求供应商提供《中小企业声明函》之外的中小企业身份证明文件。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第十二条　采购项目涉及中小企业采购的，采购文件应当明确以下内容：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（一）预留份额的采购项目或者采购包，明确该项目或相关采购包专门面向中小企业采购，以及相关标的及预算金额；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（二）要求以联合体形式参加或者合同分包的，明确联合协议或者分包意向协议中中小企业合同金额应当达到的比例，并作为供应商资格条件；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（三）非预留份额的采购项目或者采购包，明确有关价格扣除比例或者价格分加分比例；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（四）规定依据本办法规定享受扶持政策获得政府采购合同的，小微企业不得将合同分包给大中型企业，中型企业不得将合同分包给大型企业；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（五）采购人认为具备相关条件的，明确对中小企业在资金支付期限、预付款比例等方面的优惠措施；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（六）明确采购标的对应的中小企业划分标准所属行业；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（七）法律法规和省级以上人民政府财政部门规定的其他事项。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第十三条　中标、成交供应商享受本办法规定的中小企业扶持政策的，采购人、采购代理机构应当随中标、成交结果公开中标、成交供应商的《中小企业声明函》。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适用招标投标法的政府采购工程建设项目，应当在公示中标候选人时公开中标候选人的《中小企业声明函》。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第十四　条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第十五条　鼓励各地区、各部门在采购活动中允许中小企业引入信用担保手段，为中小企业在投标（响应）保证、履约保证等方面提供专业化服务。鼓励中小企业依法合规通过政府采购合同融资。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第十六条　政府采购监督检查、投诉处理及政府采购行政处罚中对中小企业的认定，由货物制造商或者工程、服务供应商注册登记所在地的县级以上人民政府中小企业主管部门负责。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中小企业主管部门应当在收到财政部门或者有关招标投标行政监督部门关于协助开展中小企业认定函后10个工作日内做出书面答复。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第十七条　各地区、各部门应当对涉及中小企业采购的预算项目实施全过程绩效管理，合理设置绩效目标和指标，落实扶持中小企业有关政策要求，定期开展绩效监控和评价，强化绩效评价结果应用。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第十八条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第二十条　供应商按照本办法规定提供声明函内容不实的，属于提供虚假材料谋取中标、成交，依照《中华人民共和国政府采购法》等国家有关规定追究相应责任。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适用招标投标法的政府采购工程建设项目，投标人按照本办法规定提供声明函内容不实的，属于弄虚作假骗取中标，依照《中华人民共和国招标投标法》等国家有关规定追究相应责任。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第二十一条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第二十二条　对外援助项目、国家相关资格或者资质管理制度另有规定的项目，不适用本办法。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第二十三条　关于视同中小企业的其他主体的政府采购扶持政策，由财政部会同有关部门另行规定。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第二十四条　省级财政部门可以会同中小企业主管部门根据本办法的规定制定具体实施办法。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第二十五条　本办法自2021年1月1日起施行。《财政部工业和信息化部关于印发〈政府采购促进中小企业发展暂行办法〉的通知》（财库﹝2011﹞181号）同时废止。</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jc w:val="center"/>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关于印发中小企业划型标准规定的通知</w:t>
      </w:r>
      <w:r>
        <w:rPr>
          <w:rFonts w:hint="eastAsia" w:ascii="仿宋_GB2312" w:hAnsi="仿宋_GB2312" w:eastAsia="仿宋_GB2312" w:cs="仿宋_GB2312"/>
          <w:color w:val="auto"/>
          <w:spacing w:val="-11"/>
          <w:sz w:val="28"/>
          <w:szCs w:val="28"/>
        </w:rPr>
        <w:br w:type="textWrapping"/>
      </w:r>
      <w:r>
        <w:rPr>
          <w:rFonts w:hint="eastAsia" w:ascii="仿宋_GB2312" w:hAnsi="仿宋_GB2312" w:eastAsia="仿宋_GB2312" w:cs="仿宋_GB2312"/>
          <w:color w:val="auto"/>
          <w:spacing w:val="-11"/>
          <w:sz w:val="28"/>
          <w:szCs w:val="28"/>
        </w:rPr>
        <w:t>工信部联企业〔2011〕300号</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各省、自治区、直辖市人民政府，国务院各部委、各直属机构及有关单位：</w:t>
      </w:r>
      <w:r>
        <w:rPr>
          <w:rFonts w:hint="eastAsia" w:ascii="仿宋_GB2312" w:hAnsi="仿宋_GB2312" w:eastAsia="仿宋_GB2312" w:cs="仿宋_GB2312"/>
          <w:color w:val="auto"/>
          <w:spacing w:val="-11"/>
          <w:sz w:val="28"/>
          <w:szCs w:val="28"/>
        </w:rPr>
        <w:br w:type="textWrapping"/>
      </w:r>
      <w:r>
        <w:rPr>
          <w:rFonts w:hint="eastAsia" w:ascii="仿宋_GB2312" w:hAnsi="仿宋_GB2312" w:eastAsia="仿宋_GB2312" w:cs="仿宋_GB2312"/>
          <w:color w:val="auto"/>
          <w:spacing w:val="-11"/>
          <w:sz w:val="28"/>
          <w:szCs w:val="28"/>
          <w:lang w:val="en-US" w:eastAsia="zh-CN"/>
        </w:rPr>
        <w:t xml:space="preserve">  </w:t>
      </w:r>
      <w:r>
        <w:rPr>
          <w:rFonts w:hint="eastAsia" w:ascii="仿宋_GB2312" w:hAnsi="仿宋_GB2312" w:eastAsia="仿宋_GB2312" w:cs="仿宋_GB2312"/>
          <w:color w:val="auto"/>
          <w:spacing w:val="-11"/>
          <w:sz w:val="28"/>
          <w:szCs w:val="28"/>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left="1128" w:leftChars="403" w:firstLine="3096" w:firstLineChars="12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工业和信息化部      国家统计局</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w:t>
      </w:r>
      <w:r>
        <w:rPr>
          <w:rFonts w:hint="eastAsia" w:ascii="仿宋_GB2312" w:hAnsi="仿宋_GB2312" w:eastAsia="仿宋_GB2312" w:cs="仿宋_GB2312"/>
          <w:color w:val="auto"/>
          <w:spacing w:val="-11"/>
          <w:sz w:val="28"/>
          <w:szCs w:val="28"/>
          <w:lang w:val="en-US" w:eastAsia="zh-CN"/>
        </w:rPr>
        <w:t xml:space="preserve">                     </w:t>
      </w:r>
      <w:r>
        <w:rPr>
          <w:rFonts w:hint="eastAsia" w:ascii="仿宋_GB2312" w:hAnsi="仿宋_GB2312" w:eastAsia="仿宋_GB2312" w:cs="仿宋_GB2312"/>
          <w:color w:val="auto"/>
          <w:spacing w:val="-11"/>
          <w:sz w:val="28"/>
          <w:szCs w:val="28"/>
        </w:rPr>
        <w:t>国家发展和改革委员会       财政部</w:t>
      </w:r>
    </w:p>
    <w:p>
      <w:pPr>
        <w:keepNext w:val="0"/>
        <w:keepLines w:val="0"/>
        <w:pageBreakBefore w:val="0"/>
        <w:widowControl w:val="0"/>
        <w:kinsoku/>
        <w:wordWrap/>
        <w:overflowPunct/>
        <w:topLinePunct w:val="0"/>
        <w:autoSpaceDE/>
        <w:autoSpaceDN/>
        <w:bidi w:val="0"/>
        <w:adjustRightInd/>
        <w:snapToGrid/>
        <w:spacing w:line="560" w:lineRule="exact"/>
        <w:ind w:left="1109" w:leftChars="304" w:hanging="258" w:hangingChars="100"/>
        <w:textAlignment w:val="auto"/>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pacing w:val="-11"/>
          <w:sz w:val="28"/>
          <w:szCs w:val="28"/>
        </w:rPr>
        <w:t>　　                                                 </w:t>
      </w:r>
      <w:r>
        <w:rPr>
          <w:rFonts w:hint="eastAsia" w:ascii="仿宋_GB2312" w:hAnsi="仿宋_GB2312" w:eastAsia="仿宋_GB2312" w:cs="仿宋_GB2312"/>
          <w:color w:val="auto"/>
          <w:spacing w:val="-11"/>
          <w:sz w:val="28"/>
          <w:szCs w:val="28"/>
          <w:lang w:val="en-US" w:eastAsia="zh-CN"/>
        </w:rPr>
        <w:t xml:space="preserve">       </w:t>
      </w:r>
      <w:r>
        <w:rPr>
          <w:rFonts w:hint="eastAsia" w:ascii="仿宋_GB2312" w:hAnsi="仿宋_GB2312" w:eastAsia="仿宋_GB2312" w:cs="仿宋_GB2312"/>
          <w:color w:val="auto"/>
          <w:spacing w:val="-11"/>
          <w:sz w:val="28"/>
          <w:szCs w:val="28"/>
        </w:rPr>
        <w:t>二○一一年六月十八日</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1150" w:leftChars="304" w:hanging="299" w:hangingChars="100"/>
        <w:jc w:val="center"/>
        <w:textAlignment w:val="auto"/>
        <w:rPr>
          <w:rFonts w:hint="eastAsia" w:ascii="仿宋_GB2312" w:hAnsi="仿宋_GB2312" w:eastAsia="仿宋_GB2312" w:cs="仿宋_GB2312"/>
          <w:b/>
          <w:bCs/>
          <w:color w:val="auto"/>
          <w:spacing w:val="-11"/>
          <w:sz w:val="32"/>
          <w:szCs w:val="32"/>
        </w:rPr>
      </w:pPr>
      <w:r>
        <w:rPr>
          <w:rFonts w:hint="eastAsia" w:ascii="仿宋_GB2312" w:hAnsi="仿宋_GB2312" w:eastAsia="仿宋_GB2312" w:cs="仿宋_GB2312"/>
          <w:b/>
          <w:bCs/>
          <w:color w:val="auto"/>
          <w:spacing w:val="-11"/>
          <w:sz w:val="32"/>
          <w:szCs w:val="32"/>
        </w:rPr>
        <w:t>中小企业划型标准规定</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一、根据《中华人民共和国中小企业促进法》和《国务院关于进一步促进中小企业发展的若干意见》(国发〔2009〕36号)，制定本规定。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lang w:val="en-US" w:eastAsia="zh-CN"/>
        </w:rPr>
        <w:t xml:space="preserve">   </w:t>
      </w:r>
      <w:r>
        <w:rPr>
          <w:rFonts w:hint="eastAsia" w:ascii="仿宋_GB2312" w:hAnsi="仿宋_GB2312" w:eastAsia="仿宋_GB2312" w:cs="仿宋_GB2312"/>
          <w:color w:val="auto"/>
          <w:spacing w:val="-11"/>
          <w:sz w:val="32"/>
          <w:szCs w:val="32"/>
        </w:rPr>
        <w:t>二、中小企业划分为中型、小型、微型三种类型，具体标准根据企业从业人员、营业收入、资产总额等指标，结合行业特点制定。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lang w:val="en-US" w:eastAsia="zh-CN"/>
        </w:rPr>
        <w:t xml:space="preserve">   </w:t>
      </w:r>
      <w:r>
        <w:rPr>
          <w:rFonts w:hint="eastAsia" w:ascii="仿宋_GB2312" w:hAnsi="仿宋_GB2312" w:eastAsia="仿宋_GB2312" w:cs="仿宋_GB2312"/>
          <w:color w:val="auto"/>
          <w:spacing w:val="-11"/>
          <w:sz w:val="32"/>
          <w:szCs w:val="32"/>
        </w:rPr>
        <w:t>四、各行业划型标准为：</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（一）农、林、牧、渔业。营业收入20000万元以下的为中小微型企业。其中，营业收入500万元及以上的为中型企业，营业收入50万元及以上的为小型企业，营业收入50万元以下的为微型企业。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（十六）其他未列明行业。从业人员300人以下的为中小微型企业。其中，从业人员100人及以上的为中型企业；从业人员10人及以上的为小型企业；从业人员10人以下的为微型企业。</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五、企业类型的划分以统计部门的统计数据为依据。</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六、本规定适用于在中华人民共和国境内依法设立的各类所有制和各种组织形式的企业。个体工商户和本规定以外的行业，参照本规定进行划型。</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八、本规定由工业和信息化部、国家统计局会同有关部门根据《国民经济行业分类》修订情况和企业发展变化情况适时修订。</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九、本规定由工业和信息化部、国家统计局会同有关部门负责解释。</w:t>
      </w:r>
      <w:r>
        <w:rPr>
          <w:rFonts w:hint="eastAsia" w:ascii="仿宋_GB2312" w:hAnsi="仿宋_GB2312" w:eastAsia="仿宋_GB2312" w:cs="仿宋_GB2312"/>
          <w:color w:val="auto"/>
          <w:spacing w:val="-11"/>
          <w:sz w:val="32"/>
          <w:szCs w:val="32"/>
        </w:rPr>
        <w:br w:type="textWrapping"/>
      </w:r>
      <w:r>
        <w:rPr>
          <w:rFonts w:hint="eastAsia" w:ascii="仿宋_GB2312" w:hAnsi="仿宋_GB2312" w:eastAsia="仿宋_GB2312" w:cs="仿宋_GB2312"/>
          <w:color w:val="auto"/>
          <w:spacing w:val="-11"/>
          <w:sz w:val="32"/>
          <w:szCs w:val="32"/>
        </w:rPr>
        <w:t>　　十、本规定自发布之日起执行，原国家经贸委、原国家计委、财政部和国家统计局2003年颁布的《中小企业标准暂行规定》同时废止。</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财政部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关于进一步加大政府采购支持中小企业力度的通知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财库〔2022〕19号</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各中央预算单位，各省、自治区、直辖市、计划单列市财政厅(局)，新疆生产建设兵团财政局：</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为贯彻落实《国务院关于印发扎实稳住经济一揽子政策措施的通知》(国发〔2022〕12号)有关要求，做好财政政策支持中小企业纾困解难工作，助力经济平稳健康发展，现就加大政府采购支持中小企业力度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一、严格落实支持中小企业政府采购政策。</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二、调整对小微企业的价格评审优惠幅度。</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三、提高政府采购工程面向中小企业预留份额。</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日前将落实情况汇总报财政部。</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认真做好组织实施。</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各地区、各部门应当加强组织领导，明确工作责任，细化执行要求，强化监督检查，确保国务院部署落实到位，对通知执行中出现的问题要及时向财政部报告。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本通知自2022年7月1日起执行。</w:t>
      </w:r>
    </w:p>
    <w:p>
      <w:pPr>
        <w:keepNext w:val="0"/>
        <w:keepLines w:val="0"/>
        <w:pageBreakBefore w:val="0"/>
        <w:widowControl w:val="0"/>
        <w:kinsoku/>
        <w:wordWrap/>
        <w:overflowPunct/>
        <w:topLinePunct w:val="0"/>
        <w:autoSpaceDE/>
        <w:autoSpaceDN/>
        <w:bidi w:val="0"/>
        <w:adjustRightInd/>
        <w:snapToGrid/>
        <w:spacing w:line="560" w:lineRule="exact"/>
        <w:ind w:left="1277" w:leftChars="456" w:firstLine="5066" w:firstLineChars="17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lang w:val="en-US" w:eastAsia="zh-CN"/>
        </w:rPr>
        <w:t>财政部</w:t>
      </w:r>
    </w:p>
    <w:p>
      <w:pPr>
        <w:keepNext w:val="0"/>
        <w:keepLines w:val="0"/>
        <w:pageBreakBefore w:val="0"/>
        <w:widowControl w:val="0"/>
        <w:kinsoku/>
        <w:wordWrap/>
        <w:overflowPunct/>
        <w:topLinePunct w:val="0"/>
        <w:autoSpaceDE/>
        <w:autoSpaceDN/>
        <w:bidi w:val="0"/>
        <w:adjustRightInd/>
        <w:snapToGrid/>
        <w:spacing w:line="560" w:lineRule="exact"/>
        <w:ind w:firstLine="5364" w:firstLineChars="1800"/>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2022年5月30日</w:t>
      </w:r>
    </w:p>
    <w:p>
      <w:pPr>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br w:type="page"/>
      </w:r>
    </w:p>
    <w:tbl>
      <w:tblPr>
        <w:tblStyle w:val="30"/>
        <w:tblW w:w="8505" w:type="dxa"/>
        <w:jc w:val="center"/>
        <w:tblCellSpacing w:w="0" w:type="dxa"/>
        <w:tblLayout w:type="fixed"/>
        <w:tblCellMar>
          <w:top w:w="0" w:type="dxa"/>
          <w:left w:w="0" w:type="dxa"/>
          <w:bottom w:w="0" w:type="dxa"/>
          <w:right w:w="0" w:type="dxa"/>
        </w:tblCellMar>
      </w:tblPr>
      <w:tblGrid>
        <w:gridCol w:w="8505"/>
      </w:tblGrid>
      <w:tr>
        <w:tblPrEx>
          <w:tblCellMar>
            <w:top w:w="0" w:type="dxa"/>
            <w:left w:w="0" w:type="dxa"/>
            <w:bottom w:w="0" w:type="dxa"/>
            <w:right w:w="0" w:type="dxa"/>
          </w:tblCellMar>
        </w:tblPrEx>
        <w:trPr>
          <w:tblCellSpacing w:w="0" w:type="dxa"/>
          <w:jc w:val="center"/>
        </w:trPr>
        <w:tc>
          <w:tcPr>
            <w:tcW w:w="8505" w:type="dxa"/>
            <w:vAlign w:val="center"/>
          </w:tcPr>
          <w:tbl>
            <w:tblPr>
              <w:tblStyle w:val="30"/>
              <w:tblW w:w="8505" w:type="dxa"/>
              <w:tblCellSpacing w:w="0" w:type="dxa"/>
              <w:tblInd w:w="0" w:type="dxa"/>
              <w:shd w:val="clear" w:color="auto" w:fill="FFFFFF"/>
              <w:tblLayout w:type="fixed"/>
              <w:tblCellMar>
                <w:top w:w="0" w:type="dxa"/>
                <w:left w:w="0" w:type="dxa"/>
                <w:bottom w:w="0" w:type="dxa"/>
                <w:right w:w="0" w:type="dxa"/>
              </w:tblCellMar>
            </w:tblPr>
            <w:tblGrid>
              <w:gridCol w:w="8505"/>
            </w:tblGrid>
            <w:tr>
              <w:tblPrEx>
                <w:shd w:val="clear" w:color="auto" w:fill="FFFFFF"/>
                <w:tblCellMar>
                  <w:top w:w="0" w:type="dxa"/>
                  <w:left w:w="0" w:type="dxa"/>
                  <w:bottom w:w="0" w:type="dxa"/>
                  <w:right w:w="0" w:type="dxa"/>
                </w:tblCellMar>
              </w:tblPrEx>
              <w:trPr>
                <w:trHeight w:val="1140" w:hRule="atLeast"/>
                <w:tblCellSpacing w:w="0" w:type="dxa"/>
              </w:trPr>
              <w:tc>
                <w:tcPr>
                  <w:tcW w:w="8505" w:type="dxa"/>
                  <w:shd w:val="clear" w:color="auto" w:fill="FFFFFF"/>
                </w:tcPr>
                <w:tbl>
                  <w:tblPr>
                    <w:tblStyle w:val="30"/>
                    <w:tblW w:w="7871" w:type="dxa"/>
                    <w:jc w:val="center"/>
                    <w:tblCellSpacing w:w="0" w:type="dxa"/>
                    <w:tblLayout w:type="fixed"/>
                    <w:tblCellMar>
                      <w:top w:w="0" w:type="dxa"/>
                      <w:left w:w="0" w:type="dxa"/>
                      <w:bottom w:w="0" w:type="dxa"/>
                      <w:right w:w="0" w:type="dxa"/>
                    </w:tblCellMar>
                  </w:tblPr>
                  <w:tblGrid>
                    <w:gridCol w:w="7871"/>
                  </w:tblGrid>
                  <w:tr>
                    <w:tblPrEx>
                      <w:tblCellMar>
                        <w:top w:w="0" w:type="dxa"/>
                        <w:left w:w="0" w:type="dxa"/>
                        <w:bottom w:w="0" w:type="dxa"/>
                        <w:right w:w="0" w:type="dxa"/>
                      </w:tblCellMar>
                    </w:tblPrEx>
                    <w:trPr>
                      <w:tblCellSpacing w:w="0" w:type="dxa"/>
                      <w:jc w:val="center"/>
                    </w:trPr>
                    <w:tc>
                      <w:tcPr>
                        <w:tcW w:w="78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财库〔2017〕141号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bookmarkStart w:id="440" w:name="toDeptId"/>
                        <w:r>
                          <w:rPr>
                            <w:rFonts w:hint="eastAsia" w:ascii="仿宋_GB2312" w:hAnsi="仿宋_GB2312" w:eastAsia="仿宋_GB2312" w:cs="仿宋_GB2312"/>
                            <w:color w:val="auto"/>
                            <w:spacing w:val="-11"/>
                            <w:sz w:val="32"/>
                            <w:szCs w:val="32"/>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440"/>
                        <w:r>
                          <w:rPr>
                            <w:rFonts w:hint="eastAsia" w:ascii="仿宋_GB2312" w:hAnsi="仿宋_GB2312" w:eastAsia="仿宋_GB2312" w:cs="仿宋_GB2312"/>
                            <w:color w:val="auto"/>
                            <w:spacing w:val="-1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为了发挥政府采购促进残疾人就业的作用，进一步保障残疾人权益，依照《政府采购法》、《残疾人保障法》等法律法规及相关规定，现就促进残疾人就业政府采购政策通知如下：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　一、享受政府采购支持政策的残疾人福利性单位应当同时满足以下条件：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（一）安置的残疾人占本单位在职职工人数的比例不低于25%（含25%），并且安置的残疾人人数不少于10人（含10人）；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（二）依法与安置的每位残疾人签订了一年以上（含一年）的劳动合同或服务协议；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（三）为安置的每位残疾人按月足额缴纳了基本养老保险、基本医疗保险、失业保险、工伤保险和生育保险等社会保险费；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（四）通过银行等金融机构向安置的每位残疾人，按月支付了不低于单位所在区县适用的经省级人民政府批准的月最低工资标准的工资；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中标、成交供应商为残疾人福利性单位的，采购人或者其委托的采购代理机构应当随中标、成交结果同时公告其《残疾人福利性单位声明函》，接受社会监督。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四、采购人采购公开招标数额标准以上的货物或者服务，因落实促进残疾人就业政策的需要，依法履行有关报批程序后，可采用公开招标以外的采购方式。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七、本通知自2017年10月1日起执行。</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 xml:space="preserve">财政部 </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 xml:space="preserve">民政部 </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中国残疾人联合会</w:t>
                        </w:r>
                      </w:p>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　　                                               2017年8月22日</w:t>
                        </w:r>
                      </w:p>
                    </w:tc>
                  </w:tr>
                </w:tbl>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left="1149" w:leftChars="304" w:hanging="298" w:hangingChars="100"/>
              <w:textAlignment w:val="auto"/>
              <w:rPr>
                <w:rFonts w:hint="eastAsia" w:ascii="仿宋_GB2312" w:hAnsi="仿宋_GB2312" w:eastAsia="仿宋_GB2312" w:cs="仿宋_GB2312"/>
                <w:color w:val="auto"/>
                <w:spacing w:val="-11"/>
                <w:sz w:val="32"/>
                <w:szCs w:val="32"/>
              </w:rPr>
            </w:pPr>
          </w:p>
        </w:tc>
      </w:tr>
    </w:tbl>
    <w:p>
      <w:pPr>
        <w:pStyle w:val="27"/>
        <w:spacing w:line="432" w:lineRule="auto"/>
        <w:rPr>
          <w:color w:val="auto"/>
        </w:rPr>
      </w:pPr>
    </w:p>
    <w:p>
      <w:pPr>
        <w:rPr>
          <w:color w:val="auto"/>
        </w:rPr>
      </w:pPr>
    </w:p>
    <w:p>
      <w:pPr>
        <w:rPr>
          <w:color w:val="auto"/>
        </w:rPr>
      </w:pPr>
    </w:p>
    <w:sectPr>
      <w:pgSz w:w="11906" w:h="16838"/>
      <w:pgMar w:top="1440" w:right="1803" w:bottom="1440" w:left="1803" w:header="709" w:footer="709" w:gutter="0"/>
      <w:pgNumType w:fmt="decimal"/>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宋?">
    <w:altName w:val="宋体"/>
    <w:panose1 w:val="00000000000000000000"/>
    <w:charset w:val="81"/>
    <w:family w:val="roman"/>
    <w:pitch w:val="default"/>
    <w:sig w:usb0="00000000" w:usb1="00000000" w:usb2="00000010" w:usb3="00000000" w:csb0="0008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彩云">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5"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zVF0AAAAAMBAAAPAAAAAAAAAAEAIAAA&#10;ACIAAABkcnMvZG93bnJldi54bWxQSwECFAAUAAAACACHTuJArAc++dsBAACtAwAADgAAAAAAAAAB&#10;ACAAAAAfAQAAZHJzL2Uyb0RvYy54bWxQSwUGAAAAAAYABgBZAQAAb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4"/>
      </w:rPr>
    </w:pPr>
    <w:r>
      <w:fldChar w:fldCharType="begin"/>
    </w:r>
    <w:r>
      <w:rPr>
        <w:rStyle w:val="34"/>
      </w:rPr>
      <w:instrText xml:space="preserve">PAGE  </w:instrText>
    </w:r>
    <w:r>
      <w:fldChar w:fldCharType="separate"/>
    </w:r>
    <w:r>
      <w:rPr>
        <w:rStyle w:val="34"/>
      </w:rPr>
      <w:t>57</w: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53035"/>
              <wp:effectExtent l="0" t="0" r="0" b="0"/>
              <wp:wrapNone/>
              <wp:docPr id="6" name="文本框 3"/>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90</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2.05pt;width:10.55pt;mso-position-horizontal:center;mso-position-horizontal-relative:margin;mso-wrap-style:none;z-index:251660288;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HtdM9AAAAADAQAADwAAAAAAAAABACAA&#10;AAAiAAAAZHJzL2Rvd25yZXYueG1sUEsBAhQAFAAAAAgAh07iQECY5pHcAQAArgMAAA4AAAAAAAAA&#10;AQAgAAAAHwEAAGRycy9lMm9Eb2MueG1sUEsFBgAAAAAGAAYAWQEAAG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3985" cy="153035"/>
              <wp:effectExtent l="0" t="0" r="0" b="0"/>
              <wp:wrapNone/>
              <wp:docPr id="7" name="文本框 2"/>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2.05pt;width:10.55pt;mso-position-horizontal:center;mso-position-horizontal-relative:margin;mso-wrap-style:none;z-index:251661312;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HtdM9AAAAADAQAADwAAAAAAAAABACAA&#10;AAAiAAAAZHJzL2Rvd25yZXYueG1sUEsBAhQAFAAAAAgAh07iQKfinVfcAQAArgMAAA4AAAAAAAAA&#10;AQAgAAAAHwEAAGRycy9lMm9Eb2MueG1sUEsFBgAAAAAGAAYAWQEAAG0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宋体" w:hAnsi="宋体" w:cs="宋体"/>
        <w:iCs/>
        <w:sz w:val="21"/>
        <w:szCs w:val="21"/>
      </w:rPr>
    </w:pPr>
    <w:r>
      <w:rPr>
        <w:sz w:val="18"/>
      </w:rPr>
      <w:pict>
        <v:shape id="PowerPlusWaterMarkObject52093" o:spid="_x0000_s2061" o:spt="136" type="#_x0000_t136" style="position:absolute;left:0pt;height:62.3pt;width:524.95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定西市公共资源交易中心" style="font-family:微软雅黑;font-size:36pt;v-same-letter-heights:f;v-text-align:center;"/>
        </v:shape>
      </w:pict>
    </w:r>
    <w:r>
      <w:rPr>
        <w:rFonts w:hint="eastAsia" w:ascii="宋体" w:hAnsi="宋体" w:cs="宋体"/>
        <w:b/>
        <w:iCs/>
        <w:sz w:val="21"/>
        <w:szCs w:val="21"/>
        <w:lang w:eastAsia="zh-CN"/>
      </w:rPr>
      <w:t>定西市公共资源交易中心</w:t>
    </w:r>
    <w:r>
      <w:rPr>
        <w:rFonts w:hint="eastAsia" w:ascii="宋体" w:hAnsi="宋体" w:cs="宋体"/>
        <w:b/>
        <w:iCs/>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90" w:firstLineChars="50"/>
      <w:jc w:val="left"/>
      <w:rPr>
        <w:rFonts w:ascii="宋体" w:hAnsi="宋体" w:cs="宋体"/>
        <w:iCs/>
        <w:sz w:val="21"/>
        <w:szCs w:val="21"/>
      </w:rPr>
    </w:pPr>
    <w:r>
      <w:rPr>
        <w:sz w:val="18"/>
      </w:rPr>
      <w:pict>
        <v:shape id="_x0000_s2062" o:spid="_x0000_s2062" o:spt="136" type="#_x0000_t136" style="position:absolute;left:0pt;height:62.3pt;width:524.9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定西市公共资源交易中心" style="font-family:微软雅黑;font-size:36pt;v-same-letter-heights:f;v-text-align:center;"/>
        </v:shape>
      </w:pict>
    </w:r>
    <w:r>
      <w:rPr>
        <w:rFonts w:hint="eastAsia" w:ascii="宋体" w:hAnsi="宋体" w:cs="宋体"/>
        <w:b/>
        <w:iCs/>
        <w:sz w:val="21"/>
        <w:szCs w:val="21"/>
        <w:lang w:eastAsia="zh-CN"/>
      </w:rPr>
      <w:t>定西市公共资源交易中心</w:t>
    </w:r>
    <w:r>
      <w:rPr>
        <w:rFonts w:hint="eastAsia" w:ascii="宋体" w:hAnsi="宋体" w:cs="宋体"/>
        <w:b/>
        <w:iCs/>
        <w:sz w:val="21"/>
        <w:szCs w:val="21"/>
      </w:rPr>
      <w:t xml:space="preserve">                              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宋体" w:hAnsi="宋体" w:eastAsia="宋体" w:cs="宋体"/>
        <w:iCs/>
        <w:sz w:val="21"/>
        <w:szCs w:val="21"/>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both"/>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jc w:val="both"/>
                    </w:pPr>
                  </w:p>
                </w:txbxContent>
              </v:textbox>
            </v:shape>
          </w:pict>
        </mc:Fallback>
      </mc:AlternateContent>
    </w:r>
    <w:r>
      <w:rPr>
        <w:sz w:val="18"/>
      </w:rPr>
      <w:pict>
        <v:shape id="_x0000_s2063" o:spid="_x0000_s2063" o:spt="136" type="#_x0000_t136" style="position:absolute;left:0pt;height:62.3pt;width:524.95pt;mso-position-horizontal:center;mso-position-horizontal-relative:margin;mso-position-vertical:center;mso-position-vertical-relative:margin;rotation:-2949120f;z-index:-251652096;mso-width-relative:page;mso-height-relative:page;" fillcolor="#C0C0C0" filled="t" stroked="f" coordsize="21600,21600" adj="10800">
          <v:path/>
          <v:fill on="t" opacity="32768f" focussize="0,0"/>
          <v:stroke on="f"/>
          <v:imagedata o:title=""/>
          <o:lock v:ext="edit" aspectratio="t"/>
          <v:textpath on="t" fitshape="t" fitpath="t" trim="t" xscale="f" string="定西市公共资源交易中心" style="font-family:微软雅黑;font-size:36pt;v-same-letter-heights:f;v-text-align:center;"/>
        </v:shape>
      </w:pict>
    </w:r>
    <w:r>
      <w:rPr>
        <w:rFonts w:hint="eastAsia" w:ascii="宋体" w:hAnsi="宋体" w:cs="宋体"/>
        <w:b/>
        <w:iCs/>
        <w:sz w:val="21"/>
        <w:szCs w:val="21"/>
      </w:rPr>
      <w:t xml:space="preserve"> </w:t>
    </w:r>
    <w:r>
      <w:rPr>
        <w:rFonts w:hint="eastAsia" w:ascii="宋体" w:hAnsi="宋体" w:cs="宋体"/>
        <w:b/>
        <w:iCs/>
        <w:sz w:val="21"/>
        <w:szCs w:val="21"/>
        <w:lang w:eastAsia="zh-CN"/>
      </w:rPr>
      <w:t>定西市公共资源交易中心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iCs/>
      </w:rPr>
    </w:pPr>
    <w:r>
      <w:rPr>
        <w:rFonts w:hint="eastAsia" w:ascii="华文彩云" w:eastAsia="华文彩云"/>
        <w:b/>
        <w:iCs/>
        <w:sz w:val="21"/>
        <w:szCs w:val="21"/>
        <w:lang w:eastAsia="zh-CN"/>
      </w:rPr>
      <w:t>甘肃德智兴工程管理有限公司</w:t>
    </w:r>
    <w:r>
      <w:rPr>
        <w:rFonts w:hint="eastAsia" w:ascii="华文彩云" w:eastAsia="华文彩云"/>
        <w:b/>
        <w:iCs/>
        <w:sz w:val="21"/>
        <w:szCs w:val="21"/>
      </w:rPr>
      <w:t xml:space="preserve">                                           招标文件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iCs/>
      </w:rPr>
    </w:pPr>
    <w:r>
      <w:rPr>
        <w:rFonts w:hint="eastAsia" w:ascii="宋体" w:hAnsi="宋体" w:cs="宋体"/>
        <w:b/>
        <w:iCs/>
        <w:sz w:val="24"/>
        <w:szCs w:val="24"/>
        <w:lang w:eastAsia="zh-CN"/>
      </w:rPr>
      <w:t>甘肃德智兴工程管理有限公司</w:t>
    </w:r>
    <w:r>
      <w:rPr>
        <w:rFonts w:hint="eastAsia" w:ascii="宋体" w:hAnsi="宋体" w:cs="宋体"/>
        <w:b/>
        <w:iCs/>
        <w:sz w:val="24"/>
        <w:szCs w:val="24"/>
      </w:rPr>
      <w:t xml:space="preserve">                                招标文件                                                                </w:t>
    </w:r>
    <w:r>
      <w:rPr>
        <w:rFonts w:hint="eastAsia" w:ascii="华文彩云" w:eastAsia="华文彩云"/>
        <w:b/>
        <w:i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57A27"/>
    <w:multiLevelType w:val="singleLevel"/>
    <w:tmpl w:val="A7357A27"/>
    <w:lvl w:ilvl="0" w:tentative="0">
      <w:start w:val="6"/>
      <w:numFmt w:val="chineseCounting"/>
      <w:suff w:val="space"/>
      <w:lvlText w:val="第%1章"/>
      <w:lvlJc w:val="left"/>
      <w:rPr>
        <w:rFonts w:hint="eastAsia"/>
      </w:rPr>
    </w:lvl>
  </w:abstractNum>
  <w:abstractNum w:abstractNumId="1">
    <w:nsid w:val="0000000B"/>
    <w:multiLevelType w:val="multilevel"/>
    <w:tmpl w:val="0000000B"/>
    <w:lvl w:ilvl="0" w:tentative="0">
      <w:start w:val="1"/>
      <w:numFmt w:val="lowerLetter"/>
      <w:lvlText w:val="%1."/>
      <w:lvlJc w:val="left"/>
      <w:pPr>
        <w:tabs>
          <w:tab w:val="left" w:pos="1200"/>
        </w:tabs>
        <w:ind w:left="1200" w:hanging="360"/>
      </w:pPr>
      <w:rPr>
        <w:rFonts w:hint="default" w:cs="Times New Roman"/>
      </w:rPr>
    </w:lvl>
    <w:lvl w:ilvl="1" w:tentative="0">
      <w:start w:val="1"/>
      <w:numFmt w:val="decimal"/>
      <w:lvlText w:val="（%2）"/>
      <w:lvlJc w:val="left"/>
      <w:pPr>
        <w:tabs>
          <w:tab w:val="left" w:pos="1980"/>
        </w:tabs>
        <w:ind w:left="1980" w:hanging="720"/>
      </w:pPr>
      <w:rPr>
        <w:rFonts w:hint="eastAsia" w:cs="Times New Roman"/>
      </w:rPr>
    </w:lvl>
    <w:lvl w:ilvl="2" w:tentative="0">
      <w:start w:val="1"/>
      <w:numFmt w:val="decimal"/>
      <w:lvlText w:val="%3-"/>
      <w:lvlJc w:val="left"/>
      <w:pPr>
        <w:tabs>
          <w:tab w:val="left" w:pos="2040"/>
        </w:tabs>
        <w:ind w:left="2040" w:hanging="360"/>
      </w:pPr>
      <w:rPr>
        <w:rFonts w:hint="eastAsia" w:cs="Times New Roman"/>
      </w:rPr>
    </w:lvl>
    <w:lvl w:ilvl="3" w:tentative="0">
      <w:start w:val="1"/>
      <w:numFmt w:val="decimal"/>
      <w:lvlText w:val="%4．"/>
      <w:lvlJc w:val="left"/>
      <w:pPr>
        <w:tabs>
          <w:tab w:val="left" w:pos="2820"/>
        </w:tabs>
        <w:ind w:left="2820" w:hanging="720"/>
      </w:pPr>
      <w:rPr>
        <w:rFonts w:hint="eastAsia" w:cs="Times New Roman"/>
      </w:rPr>
    </w:lvl>
    <w:lvl w:ilvl="4" w:tentative="0">
      <w:start w:val="1"/>
      <w:numFmt w:val="decimal"/>
      <w:lvlText w:val="%5、"/>
      <w:lvlJc w:val="left"/>
      <w:pPr>
        <w:tabs>
          <w:tab w:val="left" w:pos="2880"/>
        </w:tabs>
        <w:ind w:left="2880" w:hanging="360"/>
      </w:pPr>
      <w:rPr>
        <w:rFonts w:hint="eastAsia"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abstractNum w:abstractNumId="2">
    <w:nsid w:val="0000000F"/>
    <w:multiLevelType w:val="multilevel"/>
    <w:tmpl w:val="0000000F"/>
    <w:lvl w:ilvl="0" w:tentative="0">
      <w:start w:val="1"/>
      <w:numFmt w:val="none"/>
      <w:lvlText w:val="10.1"/>
      <w:lvlJc w:val="left"/>
      <w:pPr>
        <w:tabs>
          <w:tab w:val="left" w:pos="720"/>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3">
    <w:nsid w:val="00000010"/>
    <w:multiLevelType w:val="multilevel"/>
    <w:tmpl w:val="00000010"/>
    <w:lvl w:ilvl="0" w:tentative="0">
      <w:start w:val="7"/>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4">
    <w:nsid w:val="00000011"/>
    <w:multiLevelType w:val="multilevel"/>
    <w:tmpl w:val="00000011"/>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5">
    <w:nsid w:val="00000012"/>
    <w:multiLevelType w:val="multilevel"/>
    <w:tmpl w:val="00000012"/>
    <w:lvl w:ilvl="0" w:tentative="0">
      <w:start w:val="3"/>
      <w:numFmt w:val="decimal"/>
      <w:lvlText w:val="%1"/>
      <w:lvlJc w:val="left"/>
      <w:pPr>
        <w:tabs>
          <w:tab w:val="left" w:pos="720"/>
        </w:tabs>
        <w:ind w:left="720" w:hanging="720"/>
      </w:pPr>
      <w:rPr>
        <w:rFonts w:hint="default" w:cs="Times New Roman"/>
      </w:rPr>
    </w:lvl>
    <w:lvl w:ilvl="1" w:tentative="0">
      <w:start w:val="1"/>
      <w:numFmt w:val="decimal"/>
      <w:lvlText w:val="13.%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6">
    <w:nsid w:val="00000015"/>
    <w:multiLevelType w:val="multilevel"/>
    <w:tmpl w:val="00000015"/>
    <w:lvl w:ilvl="0" w:tentative="0">
      <w:start w:val="5"/>
      <w:numFmt w:val="decimal"/>
      <w:lvlText w:val="%1"/>
      <w:lvlJc w:val="left"/>
      <w:pPr>
        <w:tabs>
          <w:tab w:val="left" w:pos="720"/>
        </w:tabs>
        <w:ind w:left="720" w:hanging="720"/>
      </w:pPr>
      <w:rPr>
        <w:rFonts w:hint="default" w:cs="Times New Roman"/>
      </w:rPr>
    </w:lvl>
    <w:lvl w:ilvl="1" w:tentative="0">
      <w:start w:val="1"/>
      <w:numFmt w:val="decimal"/>
      <w:lvlText w:val="%1.%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7">
    <w:nsid w:val="0000001A"/>
    <w:multiLevelType w:val="multilevel"/>
    <w:tmpl w:val="0000001A"/>
    <w:lvl w:ilvl="0" w:tentative="0">
      <w:start w:val="8"/>
      <w:numFmt w:val="decimal"/>
      <w:lvlText w:val="%1"/>
      <w:lvlJc w:val="left"/>
      <w:pPr>
        <w:tabs>
          <w:tab w:val="left" w:pos="432"/>
        </w:tabs>
        <w:ind w:left="432" w:hanging="432"/>
      </w:pPr>
      <w:rPr>
        <w:rFonts w:hint="eastAsia" w:cs="Times New Roman"/>
      </w:rPr>
    </w:lvl>
    <w:lvl w:ilvl="1" w:tentative="0">
      <w:start w:val="1"/>
      <w:numFmt w:val="decimal"/>
      <w:lvlText w:val="%1.%2"/>
      <w:lvlJc w:val="left"/>
      <w:pPr>
        <w:tabs>
          <w:tab w:val="left" w:pos="576"/>
        </w:tabs>
        <w:ind w:left="576" w:hanging="576"/>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8">
    <w:nsid w:val="0000001D"/>
    <w:multiLevelType w:val="multilevel"/>
    <w:tmpl w:val="0000001D"/>
    <w:lvl w:ilvl="0" w:tentative="0">
      <w:start w:val="3"/>
      <w:numFmt w:val="decimal"/>
      <w:lvlText w:val="%1"/>
      <w:lvlJc w:val="left"/>
      <w:pPr>
        <w:tabs>
          <w:tab w:val="left" w:pos="720"/>
        </w:tabs>
        <w:ind w:left="720" w:hanging="720"/>
      </w:pPr>
      <w:rPr>
        <w:rFonts w:hint="default" w:cs="Times New Roman"/>
      </w:rPr>
    </w:lvl>
    <w:lvl w:ilvl="1" w:tentative="0">
      <w:start w:val="1"/>
      <w:numFmt w:val="decimal"/>
      <w:lvlText w:val="12.%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9">
    <w:nsid w:val="00000029"/>
    <w:multiLevelType w:val="multilevel"/>
    <w:tmpl w:val="00000029"/>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2）"/>
      <w:lvlJc w:val="left"/>
      <w:pPr>
        <w:tabs>
          <w:tab w:val="left" w:pos="785"/>
        </w:tabs>
        <w:ind w:left="785" w:hanging="360"/>
      </w:pPr>
      <w:rPr>
        <w:rFonts w:hint="default"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2356"/>
        </w:tabs>
        <w:ind w:left="1984" w:hanging="708"/>
      </w:pPr>
      <w:rPr>
        <w:rFonts w:hint="eastAsia" w:cs="Times New Roman"/>
      </w:rPr>
    </w:lvl>
    <w:lvl w:ilvl="4" w:tentative="0">
      <w:start w:val="1"/>
      <w:numFmt w:val="decimal"/>
      <w:lvlText w:val="%1.%2.%3.%4.%5"/>
      <w:lvlJc w:val="left"/>
      <w:pPr>
        <w:tabs>
          <w:tab w:val="left" w:pos="2781"/>
        </w:tabs>
        <w:ind w:left="2551" w:hanging="850"/>
      </w:pPr>
      <w:rPr>
        <w:rFonts w:hint="eastAsia" w:cs="Times New Roman"/>
      </w:rPr>
    </w:lvl>
    <w:lvl w:ilvl="5" w:tentative="0">
      <w:start w:val="1"/>
      <w:numFmt w:val="decimal"/>
      <w:lvlText w:val="%1.%2.%3.%4.%5.%6"/>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202"/>
        </w:tabs>
        <w:ind w:left="5102" w:hanging="1700"/>
      </w:pPr>
      <w:rPr>
        <w:rFonts w:hint="eastAsia" w:cs="Times New Roman"/>
      </w:rPr>
    </w:lvl>
  </w:abstractNum>
  <w:abstractNum w:abstractNumId="10">
    <w:nsid w:val="0000002F"/>
    <w:multiLevelType w:val="multilevel"/>
    <w:tmpl w:val="0000002F"/>
    <w:lvl w:ilvl="0" w:tentative="0">
      <w:start w:val="1"/>
      <w:numFmt w:val="lowerLetter"/>
      <w:lvlText w:val="%1."/>
      <w:lvlJc w:val="left"/>
      <w:pPr>
        <w:tabs>
          <w:tab w:val="left" w:pos="1200"/>
        </w:tabs>
        <w:ind w:left="1200" w:hanging="360"/>
      </w:pPr>
      <w:rPr>
        <w:rFonts w:hint="default" w:cs="Times New Roman"/>
      </w:rPr>
    </w:lvl>
    <w:lvl w:ilvl="1" w:tentative="0">
      <w:start w:val="1"/>
      <w:numFmt w:val="lowerLetter"/>
      <w:lvlText w:val="%2．"/>
      <w:lvlJc w:val="left"/>
      <w:pPr>
        <w:tabs>
          <w:tab w:val="left" w:pos="1620"/>
        </w:tabs>
        <w:ind w:left="1620" w:hanging="360"/>
      </w:pPr>
      <w:rPr>
        <w:rFonts w:hint="eastAsia" w:cs="Times New Roman"/>
      </w:rPr>
    </w:lvl>
    <w:lvl w:ilvl="2" w:tentative="0">
      <w:start w:val="1"/>
      <w:numFmt w:val="decimal"/>
      <w:lvlText w:val="（%3）"/>
      <w:lvlJc w:val="left"/>
      <w:pPr>
        <w:tabs>
          <w:tab w:val="left" w:pos="2400"/>
        </w:tabs>
        <w:ind w:left="2400" w:hanging="720"/>
      </w:pPr>
      <w:rPr>
        <w:rFonts w:hint="eastAsia" w:cs="Times New Roman"/>
      </w:rPr>
    </w:lvl>
    <w:lvl w:ilvl="3" w:tentative="0">
      <w:start w:val="1"/>
      <w:numFmt w:val="bullet"/>
      <w:lvlText w:val=""/>
      <w:lvlJc w:val="left"/>
      <w:pPr>
        <w:tabs>
          <w:tab w:val="left" w:pos="2520"/>
        </w:tabs>
        <w:ind w:left="2520" w:hanging="420"/>
      </w:pPr>
      <w:rPr>
        <w:rFonts w:hint="default" w:ascii="Wingdings" w:hAnsi="Wingdings"/>
      </w:rPr>
    </w:lvl>
    <w:lvl w:ilvl="4" w:tentative="0">
      <w:start w:val="1"/>
      <w:numFmt w:val="decimal"/>
      <w:lvlText w:val="%5、"/>
      <w:lvlJc w:val="left"/>
      <w:pPr>
        <w:tabs>
          <w:tab w:val="left" w:pos="2770"/>
        </w:tabs>
        <w:ind w:left="2770" w:hanging="360"/>
      </w:pPr>
      <w:rPr>
        <w:rFonts w:hint="eastAsia" w:cs="Times New Roman"/>
      </w:rPr>
    </w:lvl>
    <w:lvl w:ilvl="5" w:tentative="0">
      <w:start w:val="1"/>
      <w:numFmt w:val="lowerRoman"/>
      <w:lvlText w:val="%6."/>
      <w:lvlJc w:val="right"/>
      <w:pPr>
        <w:tabs>
          <w:tab w:val="left" w:pos="3360"/>
        </w:tabs>
        <w:ind w:left="3360" w:hanging="420"/>
      </w:pPr>
      <w:rPr>
        <w:rFonts w:cs="Times New Roman"/>
      </w:rPr>
    </w:lvl>
    <w:lvl w:ilvl="6" w:tentative="0">
      <w:start w:val="1"/>
      <w:numFmt w:val="decimal"/>
      <w:lvlText w:val="%7."/>
      <w:lvlJc w:val="left"/>
      <w:pPr>
        <w:tabs>
          <w:tab w:val="left" w:pos="3780"/>
        </w:tabs>
        <w:ind w:left="3780" w:hanging="420"/>
      </w:pPr>
      <w:rPr>
        <w:rFonts w:cs="Times New Roman"/>
      </w:rPr>
    </w:lvl>
    <w:lvl w:ilvl="7" w:tentative="0">
      <w:start w:val="1"/>
      <w:numFmt w:val="lowerLetter"/>
      <w:lvlText w:val="%8)"/>
      <w:lvlJc w:val="left"/>
      <w:pPr>
        <w:tabs>
          <w:tab w:val="left" w:pos="4200"/>
        </w:tabs>
        <w:ind w:left="4200" w:hanging="420"/>
      </w:pPr>
      <w:rPr>
        <w:rFonts w:cs="Times New Roman"/>
      </w:rPr>
    </w:lvl>
    <w:lvl w:ilvl="8" w:tentative="0">
      <w:start w:val="1"/>
      <w:numFmt w:val="lowerRoman"/>
      <w:lvlText w:val="%9."/>
      <w:lvlJc w:val="right"/>
      <w:pPr>
        <w:tabs>
          <w:tab w:val="left" w:pos="4620"/>
        </w:tabs>
        <w:ind w:left="4620" w:hanging="420"/>
      </w:pPr>
      <w:rPr>
        <w:rFonts w:cs="Times New Roman"/>
      </w:rPr>
    </w:lvl>
  </w:abstractNum>
  <w:abstractNum w:abstractNumId="11">
    <w:nsid w:val="00000037"/>
    <w:multiLevelType w:val="multilevel"/>
    <w:tmpl w:val="00000037"/>
    <w:lvl w:ilvl="0" w:tentative="0">
      <w:start w:val="3"/>
      <w:numFmt w:val="decimal"/>
      <w:lvlText w:val="%1"/>
      <w:lvlJc w:val="left"/>
      <w:pPr>
        <w:tabs>
          <w:tab w:val="left" w:pos="720"/>
        </w:tabs>
        <w:ind w:left="720" w:hanging="720"/>
      </w:pPr>
      <w:rPr>
        <w:rFonts w:hint="default" w:cs="Times New Roman"/>
      </w:rPr>
    </w:lvl>
    <w:lvl w:ilvl="1" w:tentative="0">
      <w:start w:val="1"/>
      <w:numFmt w:val="decimal"/>
      <w:lvlText w:val="11.%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12">
    <w:nsid w:val="00000038"/>
    <w:multiLevelType w:val="multilevel"/>
    <w:tmpl w:val="00000038"/>
    <w:lvl w:ilvl="0" w:tentative="0">
      <w:start w:val="3"/>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13">
    <w:nsid w:val="00000039"/>
    <w:multiLevelType w:val="multilevel"/>
    <w:tmpl w:val="00000039"/>
    <w:lvl w:ilvl="0" w:tentative="0">
      <w:start w:val="6"/>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14">
    <w:nsid w:val="0000003D"/>
    <w:multiLevelType w:val="multilevel"/>
    <w:tmpl w:val="0000003D"/>
    <w:lvl w:ilvl="0" w:tentative="0">
      <w:start w:val="1"/>
      <w:numFmt w:val="decimal"/>
      <w:lvlText w:val="(%1)"/>
      <w:lvlJc w:val="left"/>
      <w:pPr>
        <w:tabs>
          <w:tab w:val="left" w:pos="1410"/>
        </w:tabs>
        <w:ind w:left="1410" w:hanging="360"/>
      </w:pPr>
      <w:rPr>
        <w:rFonts w:hint="default" w:cs="Times New Roman"/>
      </w:rPr>
    </w:lvl>
    <w:lvl w:ilvl="1" w:tentative="0">
      <w:start w:val="1"/>
      <w:numFmt w:val="lowerLetter"/>
      <w:lvlText w:val="%2."/>
      <w:lvlJc w:val="left"/>
      <w:pPr>
        <w:tabs>
          <w:tab w:val="left" w:pos="360"/>
        </w:tabs>
        <w:ind w:left="360" w:hanging="360"/>
      </w:pPr>
      <w:rPr>
        <w:rFonts w:hint="default" w:cs="Times New Roman"/>
      </w:rPr>
    </w:lvl>
    <w:lvl w:ilvl="2" w:tentative="0">
      <w:start w:val="1"/>
      <w:numFmt w:val="decimal"/>
      <w:lvlText w:val="%3-"/>
      <w:lvlJc w:val="left"/>
      <w:pPr>
        <w:tabs>
          <w:tab w:val="left" w:pos="780"/>
        </w:tabs>
        <w:ind w:left="780" w:hanging="360"/>
      </w:pPr>
      <w:rPr>
        <w:rFonts w:hint="eastAsia" w:ascii="Times New Roman" w:hAnsi="Times New Roman" w:cs="Times New Roman"/>
        <w:color w:val="000000"/>
        <w:sz w:val="28"/>
      </w:rPr>
    </w:lvl>
    <w:lvl w:ilvl="3" w:tentative="0">
      <w:start w:val="1"/>
      <w:numFmt w:val="decimal"/>
      <w:lvlText w:val="%4."/>
      <w:lvlJc w:val="left"/>
      <w:pPr>
        <w:tabs>
          <w:tab w:val="left" w:pos="1200"/>
        </w:tabs>
        <w:ind w:left="1200" w:hanging="360"/>
      </w:pPr>
      <w:rPr>
        <w:rFonts w:hint="eastAsia"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15">
    <w:nsid w:val="0000003E"/>
    <w:multiLevelType w:val="multilevel"/>
    <w:tmpl w:val="0000003E"/>
    <w:lvl w:ilvl="0" w:tentative="0">
      <w:start w:val="1"/>
      <w:numFmt w:val="decimal"/>
      <w:lvlText w:val="16.%1"/>
      <w:lvlJc w:val="left"/>
      <w:pPr>
        <w:tabs>
          <w:tab w:val="left" w:pos="720"/>
        </w:tabs>
        <w:ind w:left="720" w:hanging="720"/>
      </w:pPr>
      <w:rPr>
        <w:rFonts w:hint="default" w:cs="Times New Roman"/>
      </w:rPr>
    </w:lvl>
    <w:lvl w:ilvl="1" w:tentative="0">
      <w:start w:val="1"/>
      <w:numFmt w:val="decimal"/>
      <w:lvlText w:val="16.%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16">
    <w:nsid w:val="0000003F"/>
    <w:multiLevelType w:val="multilevel"/>
    <w:tmpl w:val="0000003F"/>
    <w:lvl w:ilvl="0" w:tentative="0">
      <w:start w:val="3"/>
      <w:numFmt w:val="decimal"/>
      <w:lvlText w:val="%1"/>
      <w:lvlJc w:val="left"/>
      <w:pPr>
        <w:tabs>
          <w:tab w:val="left" w:pos="720"/>
        </w:tabs>
        <w:ind w:left="720" w:hanging="720"/>
      </w:pPr>
      <w:rPr>
        <w:rFonts w:hint="default" w:cs="Times New Roman"/>
      </w:rPr>
    </w:lvl>
    <w:lvl w:ilvl="1" w:tentative="0">
      <w:start w:val="1"/>
      <w:numFmt w:val="decimal"/>
      <w:lvlText w:val="15.%2"/>
      <w:lvlJc w:val="left"/>
      <w:pPr>
        <w:tabs>
          <w:tab w:val="left" w:pos="720"/>
        </w:tabs>
        <w:ind w:left="720" w:hanging="7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720"/>
        </w:tabs>
        <w:ind w:left="720" w:hanging="720"/>
      </w:pPr>
      <w:rPr>
        <w:rFonts w:hint="default" w:cs="Times New Roman"/>
      </w:rPr>
    </w:lvl>
    <w:lvl w:ilvl="5" w:tentative="0">
      <w:start w:val="1"/>
      <w:numFmt w:val="decimal"/>
      <w:lvlText w:val="%1.%2.%3.%4.%5.%6"/>
      <w:lvlJc w:val="left"/>
      <w:pPr>
        <w:tabs>
          <w:tab w:val="left" w:pos="720"/>
        </w:tabs>
        <w:ind w:left="720" w:hanging="720"/>
      </w:pPr>
      <w:rPr>
        <w:rFonts w:hint="default" w:cs="Times New Roman"/>
      </w:rPr>
    </w:lvl>
    <w:lvl w:ilvl="6" w:tentative="0">
      <w:start w:val="1"/>
      <w:numFmt w:val="decimal"/>
      <w:lvlText w:val="%1.%2.%3.%4.%5.%6.%7"/>
      <w:lvlJc w:val="left"/>
      <w:pPr>
        <w:tabs>
          <w:tab w:val="left" w:pos="720"/>
        </w:tabs>
        <w:ind w:left="720" w:hanging="720"/>
      </w:pPr>
      <w:rPr>
        <w:rFonts w:hint="default" w:cs="Times New Roman"/>
      </w:rPr>
    </w:lvl>
    <w:lvl w:ilvl="7" w:tentative="0">
      <w:start w:val="1"/>
      <w:numFmt w:val="decimal"/>
      <w:lvlText w:val="%1.%2.%3.%4.%5.%6.%7.%8"/>
      <w:lvlJc w:val="left"/>
      <w:pPr>
        <w:tabs>
          <w:tab w:val="left" w:pos="720"/>
        </w:tabs>
        <w:ind w:left="720" w:hanging="720"/>
      </w:pPr>
      <w:rPr>
        <w:rFonts w:hint="default" w:cs="Times New Roman"/>
      </w:rPr>
    </w:lvl>
    <w:lvl w:ilvl="8" w:tentative="0">
      <w:start w:val="1"/>
      <w:numFmt w:val="decimal"/>
      <w:lvlText w:val="%1.%2.%3.%4.%5.%6.%7.%8.%9"/>
      <w:lvlJc w:val="left"/>
      <w:pPr>
        <w:tabs>
          <w:tab w:val="left" w:pos="720"/>
        </w:tabs>
        <w:ind w:left="720" w:hanging="720"/>
      </w:pPr>
      <w:rPr>
        <w:rFonts w:hint="default" w:cs="Times New Roman"/>
      </w:rPr>
    </w:lvl>
  </w:abstractNum>
  <w:abstractNum w:abstractNumId="17">
    <w:nsid w:val="00000040"/>
    <w:multiLevelType w:val="multilevel"/>
    <w:tmpl w:val="00000040"/>
    <w:lvl w:ilvl="0" w:tentative="0">
      <w:start w:val="1"/>
      <w:numFmt w:val="lowerLetter"/>
      <w:lvlText w:val="%1."/>
      <w:lvlJc w:val="left"/>
      <w:pPr>
        <w:tabs>
          <w:tab w:val="left" w:pos="2355"/>
        </w:tabs>
        <w:ind w:left="2355"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4"/>
      <w:numFmt w:val="decimal"/>
      <w:lvlText w:val="（%3）"/>
      <w:lvlJc w:val="left"/>
      <w:pPr>
        <w:tabs>
          <w:tab w:val="left" w:pos="1560"/>
        </w:tabs>
        <w:ind w:left="1560" w:hanging="720"/>
      </w:pPr>
      <w:rPr>
        <w:rFonts w:hint="eastAsia" w:ascii="Times New Roman" w:hAnsi="Times New Roman"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0000004B"/>
    <w:multiLevelType w:val="multilevel"/>
    <w:tmpl w:val="0000004B"/>
    <w:lvl w:ilvl="0" w:tentative="0">
      <w:start w:val="2"/>
      <w:numFmt w:val="decimal"/>
      <w:lvlText w:val="%1"/>
      <w:lvlJc w:val="left"/>
      <w:pPr>
        <w:tabs>
          <w:tab w:val="left" w:pos="360"/>
        </w:tabs>
        <w:ind w:left="360" w:hanging="360"/>
      </w:pPr>
      <w:rPr>
        <w:rFonts w:hint="default" w:cs="Times New Roman"/>
        <w:color w:val="000000"/>
      </w:rPr>
    </w:lvl>
    <w:lvl w:ilvl="1" w:tentative="0">
      <w:start w:val="1"/>
      <w:numFmt w:val="decimal"/>
      <w:lvlText w:val="%1.%2"/>
      <w:lvlJc w:val="left"/>
      <w:pPr>
        <w:tabs>
          <w:tab w:val="left" w:pos="567"/>
        </w:tabs>
        <w:ind w:left="567" w:hanging="567"/>
      </w:pPr>
      <w:rPr>
        <w:rFonts w:hint="default" w:cs="Times New Roman"/>
        <w:color w:val="000000"/>
      </w:rPr>
    </w:lvl>
    <w:lvl w:ilvl="2" w:tentative="0">
      <w:start w:val="1"/>
      <w:numFmt w:val="decimal"/>
      <w:lvlText w:val="%1.%2.%3"/>
      <w:lvlJc w:val="left"/>
      <w:pPr>
        <w:tabs>
          <w:tab w:val="left" w:pos="720"/>
        </w:tabs>
        <w:ind w:left="720" w:hanging="720"/>
      </w:pPr>
      <w:rPr>
        <w:rFonts w:hint="default" w:cs="Times New Roman"/>
        <w:color w:val="000000"/>
      </w:rPr>
    </w:lvl>
    <w:lvl w:ilvl="3" w:tentative="0">
      <w:start w:val="1"/>
      <w:numFmt w:val="decimal"/>
      <w:lvlText w:val="%1.%2.%3.%4"/>
      <w:lvlJc w:val="left"/>
      <w:pPr>
        <w:tabs>
          <w:tab w:val="left" w:pos="1080"/>
        </w:tabs>
        <w:ind w:left="1080" w:hanging="1080"/>
      </w:pPr>
      <w:rPr>
        <w:rFonts w:hint="default" w:cs="Times New Roman"/>
        <w:color w:val="000000"/>
      </w:rPr>
    </w:lvl>
    <w:lvl w:ilvl="4" w:tentative="0">
      <w:start w:val="1"/>
      <w:numFmt w:val="decimal"/>
      <w:lvlText w:val="%1.%2.%3.%4.%5"/>
      <w:lvlJc w:val="left"/>
      <w:pPr>
        <w:tabs>
          <w:tab w:val="left" w:pos="1080"/>
        </w:tabs>
        <w:ind w:left="1080" w:hanging="1080"/>
      </w:pPr>
      <w:rPr>
        <w:rFonts w:hint="default" w:cs="Times New Roman"/>
        <w:color w:val="000000"/>
      </w:rPr>
    </w:lvl>
    <w:lvl w:ilvl="5" w:tentative="0">
      <w:start w:val="1"/>
      <w:numFmt w:val="decimal"/>
      <w:lvlText w:val="%1.%2.%3.%4.%5.%6"/>
      <w:lvlJc w:val="left"/>
      <w:pPr>
        <w:tabs>
          <w:tab w:val="left" w:pos="1440"/>
        </w:tabs>
        <w:ind w:left="1440" w:hanging="1440"/>
      </w:pPr>
      <w:rPr>
        <w:rFonts w:hint="default" w:cs="Times New Roman"/>
        <w:color w:val="000000"/>
      </w:rPr>
    </w:lvl>
    <w:lvl w:ilvl="6" w:tentative="0">
      <w:start w:val="1"/>
      <w:numFmt w:val="decimal"/>
      <w:lvlText w:val="%1.%2.%3.%4.%5.%6.%7"/>
      <w:lvlJc w:val="left"/>
      <w:pPr>
        <w:tabs>
          <w:tab w:val="left" w:pos="1800"/>
        </w:tabs>
        <w:ind w:left="1800" w:hanging="1800"/>
      </w:pPr>
      <w:rPr>
        <w:rFonts w:hint="default" w:cs="Times New Roman"/>
        <w:color w:val="000000"/>
      </w:rPr>
    </w:lvl>
    <w:lvl w:ilvl="7" w:tentative="0">
      <w:start w:val="1"/>
      <w:numFmt w:val="decimal"/>
      <w:lvlText w:val="%1.%2.%3.%4.%5.%6.%7.%8"/>
      <w:lvlJc w:val="left"/>
      <w:pPr>
        <w:tabs>
          <w:tab w:val="left" w:pos="1800"/>
        </w:tabs>
        <w:ind w:left="1800" w:hanging="1800"/>
      </w:pPr>
      <w:rPr>
        <w:rFonts w:hint="default" w:cs="Times New Roman"/>
        <w:color w:val="000000"/>
      </w:rPr>
    </w:lvl>
    <w:lvl w:ilvl="8" w:tentative="0">
      <w:start w:val="1"/>
      <w:numFmt w:val="decimal"/>
      <w:lvlText w:val="%1.%2.%3.%4.%5.%6.%7.%8.%9"/>
      <w:lvlJc w:val="left"/>
      <w:pPr>
        <w:tabs>
          <w:tab w:val="left" w:pos="2160"/>
        </w:tabs>
        <w:ind w:left="2160" w:hanging="2160"/>
      </w:pPr>
      <w:rPr>
        <w:rFonts w:hint="default" w:cs="Times New Roman"/>
        <w:color w:val="000000"/>
      </w:rPr>
    </w:lvl>
  </w:abstractNum>
  <w:abstractNum w:abstractNumId="19">
    <w:nsid w:val="0000004D"/>
    <w:multiLevelType w:val="multilevel"/>
    <w:tmpl w:val="0000004D"/>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20">
    <w:nsid w:val="0000004F"/>
    <w:multiLevelType w:val="multilevel"/>
    <w:tmpl w:val="0000004F"/>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800"/>
        </w:tabs>
        <w:ind w:left="1800" w:hanging="180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2160"/>
        </w:tabs>
        <w:ind w:left="2160" w:hanging="2160"/>
      </w:pPr>
      <w:rPr>
        <w:rFonts w:hint="default" w:cs="Times New Roman"/>
      </w:rPr>
    </w:lvl>
  </w:abstractNum>
  <w:abstractNum w:abstractNumId="21">
    <w:nsid w:val="00000050"/>
    <w:multiLevelType w:val="singleLevel"/>
    <w:tmpl w:val="00000050"/>
    <w:lvl w:ilvl="0" w:tentative="0">
      <w:start w:val="1"/>
      <w:numFmt w:val="decimal"/>
      <w:lvlText w:val="%1．"/>
      <w:lvlJc w:val="left"/>
      <w:pPr>
        <w:tabs>
          <w:tab w:val="left" w:pos="504"/>
        </w:tabs>
        <w:ind w:left="504" w:hanging="504"/>
      </w:pPr>
      <w:rPr>
        <w:rFonts w:hint="eastAsia" w:cs="Times New Roman"/>
        <w:b/>
      </w:rPr>
    </w:lvl>
  </w:abstractNum>
  <w:abstractNum w:abstractNumId="22">
    <w:nsid w:val="5055B8A7"/>
    <w:multiLevelType w:val="singleLevel"/>
    <w:tmpl w:val="5055B8A7"/>
    <w:lvl w:ilvl="0" w:tentative="0">
      <w:start w:val="4"/>
      <w:numFmt w:val="decimal"/>
      <w:suff w:val="nothing"/>
      <w:lvlText w:val="%1、"/>
      <w:lvlJc w:val="left"/>
    </w:lvl>
  </w:abstractNum>
  <w:abstractNum w:abstractNumId="23">
    <w:nsid w:val="59BE386A"/>
    <w:multiLevelType w:val="singleLevel"/>
    <w:tmpl w:val="59BE386A"/>
    <w:lvl w:ilvl="0" w:tentative="0">
      <w:start w:val="1"/>
      <w:numFmt w:val="decimal"/>
      <w:suff w:val="nothing"/>
      <w:lvlText w:val="%1、"/>
      <w:lvlJc w:val="left"/>
    </w:lvl>
  </w:abstractNum>
  <w:abstractNum w:abstractNumId="24">
    <w:nsid w:val="59BE3B96"/>
    <w:multiLevelType w:val="singleLevel"/>
    <w:tmpl w:val="59BE3B96"/>
    <w:lvl w:ilvl="0" w:tentative="0">
      <w:start w:val="10"/>
      <w:numFmt w:val="decimal"/>
      <w:suff w:val="space"/>
      <w:lvlText w:val="%1．"/>
      <w:lvlJc w:val="left"/>
    </w:lvl>
  </w:abstractNum>
  <w:num w:numId="1">
    <w:abstractNumId w:val="9"/>
  </w:num>
  <w:num w:numId="2">
    <w:abstractNumId w:val="19"/>
  </w:num>
  <w:num w:numId="3">
    <w:abstractNumId w:val="18"/>
  </w:num>
  <w:num w:numId="4">
    <w:abstractNumId w:val="12"/>
  </w:num>
  <w:num w:numId="5">
    <w:abstractNumId w:val="4"/>
  </w:num>
  <w:num w:numId="6">
    <w:abstractNumId w:val="6"/>
  </w:num>
  <w:num w:numId="7">
    <w:abstractNumId w:val="13"/>
  </w:num>
  <w:num w:numId="8">
    <w:abstractNumId w:val="3"/>
  </w:num>
  <w:num w:numId="9">
    <w:abstractNumId w:val="7"/>
  </w:num>
  <w:num w:numId="10">
    <w:abstractNumId w:val="20"/>
  </w:num>
  <w:num w:numId="11">
    <w:abstractNumId w:val="2"/>
  </w:num>
  <w:num w:numId="12">
    <w:abstractNumId w:val="11"/>
  </w:num>
  <w:num w:numId="13">
    <w:abstractNumId w:val="8"/>
  </w:num>
  <w:num w:numId="14">
    <w:abstractNumId w:val="5"/>
  </w:num>
  <w:num w:numId="15">
    <w:abstractNumId w:val="1"/>
  </w:num>
  <w:num w:numId="16">
    <w:abstractNumId w:val="16"/>
  </w:num>
  <w:num w:numId="17">
    <w:abstractNumId w:val="10"/>
  </w:num>
  <w:num w:numId="18">
    <w:abstractNumId w:val="15"/>
  </w:num>
  <w:num w:numId="19">
    <w:abstractNumId w:val="17"/>
  </w:num>
  <w:num w:numId="20">
    <w:abstractNumId w:val="22"/>
  </w:num>
  <w:num w:numId="21">
    <w:abstractNumId w:val="14"/>
  </w:num>
  <w:num w:numId="22">
    <w:abstractNumId w:val="23"/>
  </w:num>
  <w:num w:numId="23">
    <w:abstractNumId w:val="21"/>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YmQ4ZTllNTc5NDJiOTk3ZjJjYzE0ZTY1OWEwYmIifQ=="/>
  </w:docVars>
  <w:rsids>
    <w:rsidRoot w:val="351E2694"/>
    <w:rsid w:val="000177EF"/>
    <w:rsid w:val="00135F67"/>
    <w:rsid w:val="001A08E3"/>
    <w:rsid w:val="002E6F57"/>
    <w:rsid w:val="0031200E"/>
    <w:rsid w:val="00393D19"/>
    <w:rsid w:val="003D37B5"/>
    <w:rsid w:val="00417E03"/>
    <w:rsid w:val="0045091F"/>
    <w:rsid w:val="006A08C3"/>
    <w:rsid w:val="006B6F47"/>
    <w:rsid w:val="007441E7"/>
    <w:rsid w:val="00765C24"/>
    <w:rsid w:val="00805724"/>
    <w:rsid w:val="008B1170"/>
    <w:rsid w:val="008C7DAE"/>
    <w:rsid w:val="008F3D5A"/>
    <w:rsid w:val="00914722"/>
    <w:rsid w:val="009E139B"/>
    <w:rsid w:val="00B23E43"/>
    <w:rsid w:val="00B4266C"/>
    <w:rsid w:val="00D02D99"/>
    <w:rsid w:val="00E54293"/>
    <w:rsid w:val="00E82814"/>
    <w:rsid w:val="00F05FA7"/>
    <w:rsid w:val="00F44A0E"/>
    <w:rsid w:val="01310203"/>
    <w:rsid w:val="01377C65"/>
    <w:rsid w:val="013C6240"/>
    <w:rsid w:val="015102ED"/>
    <w:rsid w:val="0170606B"/>
    <w:rsid w:val="018F24AC"/>
    <w:rsid w:val="01A10FA3"/>
    <w:rsid w:val="02316129"/>
    <w:rsid w:val="023D5F64"/>
    <w:rsid w:val="024E3403"/>
    <w:rsid w:val="025517E0"/>
    <w:rsid w:val="02A159DF"/>
    <w:rsid w:val="02C97DC4"/>
    <w:rsid w:val="02E11315"/>
    <w:rsid w:val="03556DCC"/>
    <w:rsid w:val="03690803"/>
    <w:rsid w:val="037008D2"/>
    <w:rsid w:val="037648EF"/>
    <w:rsid w:val="037709BE"/>
    <w:rsid w:val="03913766"/>
    <w:rsid w:val="03BA5C1D"/>
    <w:rsid w:val="03C255BA"/>
    <w:rsid w:val="03C66B02"/>
    <w:rsid w:val="03CD10F7"/>
    <w:rsid w:val="03FB0D20"/>
    <w:rsid w:val="043E37C6"/>
    <w:rsid w:val="043F76C2"/>
    <w:rsid w:val="04405EE7"/>
    <w:rsid w:val="04705B2E"/>
    <w:rsid w:val="04972514"/>
    <w:rsid w:val="04BB1F4F"/>
    <w:rsid w:val="04CF69F1"/>
    <w:rsid w:val="05155876"/>
    <w:rsid w:val="051E1FF4"/>
    <w:rsid w:val="05470B23"/>
    <w:rsid w:val="054A2D34"/>
    <w:rsid w:val="055B5555"/>
    <w:rsid w:val="057703C6"/>
    <w:rsid w:val="05785B85"/>
    <w:rsid w:val="05883539"/>
    <w:rsid w:val="05AD653A"/>
    <w:rsid w:val="05CE252A"/>
    <w:rsid w:val="05CF6504"/>
    <w:rsid w:val="05DC03D8"/>
    <w:rsid w:val="060E39F5"/>
    <w:rsid w:val="063B2548"/>
    <w:rsid w:val="06613449"/>
    <w:rsid w:val="06672755"/>
    <w:rsid w:val="068E0F51"/>
    <w:rsid w:val="06985B7E"/>
    <w:rsid w:val="069F005C"/>
    <w:rsid w:val="06CD2F3A"/>
    <w:rsid w:val="0709089A"/>
    <w:rsid w:val="072A2416"/>
    <w:rsid w:val="07705CC0"/>
    <w:rsid w:val="078017DE"/>
    <w:rsid w:val="07C147C6"/>
    <w:rsid w:val="07C644D1"/>
    <w:rsid w:val="08191757"/>
    <w:rsid w:val="08345323"/>
    <w:rsid w:val="086E1606"/>
    <w:rsid w:val="08941C34"/>
    <w:rsid w:val="08AC25F6"/>
    <w:rsid w:val="08AC4695"/>
    <w:rsid w:val="08AD4770"/>
    <w:rsid w:val="08E13DC4"/>
    <w:rsid w:val="08EF7436"/>
    <w:rsid w:val="090444BA"/>
    <w:rsid w:val="090E629F"/>
    <w:rsid w:val="0911148D"/>
    <w:rsid w:val="091568A3"/>
    <w:rsid w:val="091E2504"/>
    <w:rsid w:val="09292A93"/>
    <w:rsid w:val="09685637"/>
    <w:rsid w:val="097C233E"/>
    <w:rsid w:val="09930631"/>
    <w:rsid w:val="09F102DE"/>
    <w:rsid w:val="0A0C236E"/>
    <w:rsid w:val="0A3F7BFE"/>
    <w:rsid w:val="0A4B5A8D"/>
    <w:rsid w:val="0A580F87"/>
    <w:rsid w:val="0A740CC9"/>
    <w:rsid w:val="0A844DFE"/>
    <w:rsid w:val="0AE563A5"/>
    <w:rsid w:val="0B2C69E0"/>
    <w:rsid w:val="0B447C35"/>
    <w:rsid w:val="0B5D6130"/>
    <w:rsid w:val="0B796AE0"/>
    <w:rsid w:val="0B817AB0"/>
    <w:rsid w:val="0B866132"/>
    <w:rsid w:val="0B8B7E15"/>
    <w:rsid w:val="0B9744A4"/>
    <w:rsid w:val="0BCB5EA3"/>
    <w:rsid w:val="0BEF6704"/>
    <w:rsid w:val="0C175F9F"/>
    <w:rsid w:val="0C461F42"/>
    <w:rsid w:val="0C860899"/>
    <w:rsid w:val="0C996583"/>
    <w:rsid w:val="0CB1463F"/>
    <w:rsid w:val="0CBF4BF8"/>
    <w:rsid w:val="0D0578EB"/>
    <w:rsid w:val="0D107E7B"/>
    <w:rsid w:val="0D5739D8"/>
    <w:rsid w:val="0D6C3AAB"/>
    <w:rsid w:val="0D7A70D7"/>
    <w:rsid w:val="0D8C2BDD"/>
    <w:rsid w:val="0DC660D3"/>
    <w:rsid w:val="0DCE0F6A"/>
    <w:rsid w:val="0DF626F7"/>
    <w:rsid w:val="0E5C5A3F"/>
    <w:rsid w:val="0E712E96"/>
    <w:rsid w:val="0EAA7C1C"/>
    <w:rsid w:val="0EAB5F6B"/>
    <w:rsid w:val="0EBA0E26"/>
    <w:rsid w:val="0EC74FCE"/>
    <w:rsid w:val="0EEB1C90"/>
    <w:rsid w:val="0EF73A15"/>
    <w:rsid w:val="0F2B6A4C"/>
    <w:rsid w:val="0F360E40"/>
    <w:rsid w:val="0F955C7B"/>
    <w:rsid w:val="0F9D3D2C"/>
    <w:rsid w:val="0FB21DEC"/>
    <w:rsid w:val="0FCB6B9E"/>
    <w:rsid w:val="10081C89"/>
    <w:rsid w:val="102E048E"/>
    <w:rsid w:val="10394DAB"/>
    <w:rsid w:val="1079638A"/>
    <w:rsid w:val="107D40BB"/>
    <w:rsid w:val="1085402A"/>
    <w:rsid w:val="108A12C2"/>
    <w:rsid w:val="10A54863"/>
    <w:rsid w:val="10B70DF3"/>
    <w:rsid w:val="10DD2565"/>
    <w:rsid w:val="10E32A2F"/>
    <w:rsid w:val="110A4333"/>
    <w:rsid w:val="111D6487"/>
    <w:rsid w:val="112C2F28"/>
    <w:rsid w:val="11461F0E"/>
    <w:rsid w:val="11550E7F"/>
    <w:rsid w:val="11A0172B"/>
    <w:rsid w:val="11B27FB9"/>
    <w:rsid w:val="11CE64CC"/>
    <w:rsid w:val="11F01C4F"/>
    <w:rsid w:val="11F54E05"/>
    <w:rsid w:val="11F93B8B"/>
    <w:rsid w:val="120A3E26"/>
    <w:rsid w:val="120F16D2"/>
    <w:rsid w:val="12145A02"/>
    <w:rsid w:val="122B3102"/>
    <w:rsid w:val="12555F97"/>
    <w:rsid w:val="128072E8"/>
    <w:rsid w:val="12921A90"/>
    <w:rsid w:val="12D312F0"/>
    <w:rsid w:val="13317A1B"/>
    <w:rsid w:val="13492587"/>
    <w:rsid w:val="13534933"/>
    <w:rsid w:val="135C54E2"/>
    <w:rsid w:val="135F0ED4"/>
    <w:rsid w:val="135F7B55"/>
    <w:rsid w:val="13692AE8"/>
    <w:rsid w:val="13745447"/>
    <w:rsid w:val="13A51777"/>
    <w:rsid w:val="13BC040B"/>
    <w:rsid w:val="13C55BCD"/>
    <w:rsid w:val="13D05D10"/>
    <w:rsid w:val="14000968"/>
    <w:rsid w:val="1417736B"/>
    <w:rsid w:val="142F0778"/>
    <w:rsid w:val="145C3EE7"/>
    <w:rsid w:val="14640782"/>
    <w:rsid w:val="14A54F2F"/>
    <w:rsid w:val="14C56B02"/>
    <w:rsid w:val="14C658CB"/>
    <w:rsid w:val="14D203B9"/>
    <w:rsid w:val="14D6523E"/>
    <w:rsid w:val="14F81BA6"/>
    <w:rsid w:val="15076350"/>
    <w:rsid w:val="15127C1F"/>
    <w:rsid w:val="152B2E1C"/>
    <w:rsid w:val="15564E3A"/>
    <w:rsid w:val="15594455"/>
    <w:rsid w:val="155B0CF0"/>
    <w:rsid w:val="15691D0A"/>
    <w:rsid w:val="156E4BA0"/>
    <w:rsid w:val="15AA6F86"/>
    <w:rsid w:val="15AF5AE4"/>
    <w:rsid w:val="15E2747F"/>
    <w:rsid w:val="16123289"/>
    <w:rsid w:val="1616292F"/>
    <w:rsid w:val="161B3187"/>
    <w:rsid w:val="163C336F"/>
    <w:rsid w:val="16437077"/>
    <w:rsid w:val="165B7F21"/>
    <w:rsid w:val="165E1689"/>
    <w:rsid w:val="166860C8"/>
    <w:rsid w:val="16716546"/>
    <w:rsid w:val="1672050C"/>
    <w:rsid w:val="168A0107"/>
    <w:rsid w:val="16E23F06"/>
    <w:rsid w:val="16EC4E48"/>
    <w:rsid w:val="16F75D54"/>
    <w:rsid w:val="16FA74C1"/>
    <w:rsid w:val="17084259"/>
    <w:rsid w:val="173F21B4"/>
    <w:rsid w:val="174A2743"/>
    <w:rsid w:val="17904D22"/>
    <w:rsid w:val="17B571D1"/>
    <w:rsid w:val="17C92FDA"/>
    <w:rsid w:val="17CE4636"/>
    <w:rsid w:val="186051FC"/>
    <w:rsid w:val="18610CEE"/>
    <w:rsid w:val="18E36E6A"/>
    <w:rsid w:val="18FB4688"/>
    <w:rsid w:val="18FD1FB3"/>
    <w:rsid w:val="190A4CA3"/>
    <w:rsid w:val="190C58B8"/>
    <w:rsid w:val="191E3819"/>
    <w:rsid w:val="19361289"/>
    <w:rsid w:val="195C2C06"/>
    <w:rsid w:val="19872C46"/>
    <w:rsid w:val="19AE090F"/>
    <w:rsid w:val="19B90F48"/>
    <w:rsid w:val="19D702E9"/>
    <w:rsid w:val="19DE320D"/>
    <w:rsid w:val="19DF509A"/>
    <w:rsid w:val="19F50124"/>
    <w:rsid w:val="1A0568BC"/>
    <w:rsid w:val="1A124430"/>
    <w:rsid w:val="1A1F43C3"/>
    <w:rsid w:val="1A343726"/>
    <w:rsid w:val="1A5412F7"/>
    <w:rsid w:val="1A5E1C97"/>
    <w:rsid w:val="1A8705A5"/>
    <w:rsid w:val="1A9C7F2C"/>
    <w:rsid w:val="1AAD78D2"/>
    <w:rsid w:val="1AAE5354"/>
    <w:rsid w:val="1AC059F4"/>
    <w:rsid w:val="1AE072B3"/>
    <w:rsid w:val="1B200885"/>
    <w:rsid w:val="1B305C07"/>
    <w:rsid w:val="1B3077A5"/>
    <w:rsid w:val="1B434A21"/>
    <w:rsid w:val="1B735B90"/>
    <w:rsid w:val="1B7D3571"/>
    <w:rsid w:val="1BD85D3B"/>
    <w:rsid w:val="1BD91845"/>
    <w:rsid w:val="1BDB0389"/>
    <w:rsid w:val="1BEF2980"/>
    <w:rsid w:val="1BF53B0B"/>
    <w:rsid w:val="1C290F2D"/>
    <w:rsid w:val="1C2B1F4E"/>
    <w:rsid w:val="1C326495"/>
    <w:rsid w:val="1C470B95"/>
    <w:rsid w:val="1C586701"/>
    <w:rsid w:val="1CB63344"/>
    <w:rsid w:val="1CCE01BA"/>
    <w:rsid w:val="1CE913FB"/>
    <w:rsid w:val="1D0D0DC7"/>
    <w:rsid w:val="1D2F1F8E"/>
    <w:rsid w:val="1D3D4708"/>
    <w:rsid w:val="1D544796"/>
    <w:rsid w:val="1D7906B9"/>
    <w:rsid w:val="1DA41DF7"/>
    <w:rsid w:val="1DB15AE0"/>
    <w:rsid w:val="1DB5784A"/>
    <w:rsid w:val="1DF027FC"/>
    <w:rsid w:val="1DF5642E"/>
    <w:rsid w:val="1DFD3958"/>
    <w:rsid w:val="1E1C3D76"/>
    <w:rsid w:val="1E34141D"/>
    <w:rsid w:val="1E351835"/>
    <w:rsid w:val="1E487F8E"/>
    <w:rsid w:val="1E761259"/>
    <w:rsid w:val="1E813D13"/>
    <w:rsid w:val="1EAC1C93"/>
    <w:rsid w:val="1EB84B12"/>
    <w:rsid w:val="1EE63DB1"/>
    <w:rsid w:val="1EFF7005"/>
    <w:rsid w:val="1F13558F"/>
    <w:rsid w:val="1F32289F"/>
    <w:rsid w:val="1F5D25AD"/>
    <w:rsid w:val="1F6539A9"/>
    <w:rsid w:val="1F6C7FC5"/>
    <w:rsid w:val="1F7C64A5"/>
    <w:rsid w:val="1F884D3D"/>
    <w:rsid w:val="1FC81547"/>
    <w:rsid w:val="1FE5682F"/>
    <w:rsid w:val="201D53CC"/>
    <w:rsid w:val="202A0ADD"/>
    <w:rsid w:val="202F6CF9"/>
    <w:rsid w:val="204019DC"/>
    <w:rsid w:val="20816646"/>
    <w:rsid w:val="20973FB4"/>
    <w:rsid w:val="20995D65"/>
    <w:rsid w:val="20C50451"/>
    <w:rsid w:val="20C932CD"/>
    <w:rsid w:val="20D564EE"/>
    <w:rsid w:val="20EF4E94"/>
    <w:rsid w:val="20F441D2"/>
    <w:rsid w:val="210234ED"/>
    <w:rsid w:val="2103423C"/>
    <w:rsid w:val="210D3F68"/>
    <w:rsid w:val="211341C8"/>
    <w:rsid w:val="211401D1"/>
    <w:rsid w:val="21290455"/>
    <w:rsid w:val="21313675"/>
    <w:rsid w:val="213F3D81"/>
    <w:rsid w:val="21583E75"/>
    <w:rsid w:val="21993CAD"/>
    <w:rsid w:val="21C24E71"/>
    <w:rsid w:val="21E248B5"/>
    <w:rsid w:val="21F10FBF"/>
    <w:rsid w:val="2217457B"/>
    <w:rsid w:val="224E71BB"/>
    <w:rsid w:val="225F38D9"/>
    <w:rsid w:val="22734C95"/>
    <w:rsid w:val="229209DB"/>
    <w:rsid w:val="229B6D53"/>
    <w:rsid w:val="22B84105"/>
    <w:rsid w:val="22B92FD9"/>
    <w:rsid w:val="22CE0412"/>
    <w:rsid w:val="22E6098F"/>
    <w:rsid w:val="23030D01"/>
    <w:rsid w:val="234E0A56"/>
    <w:rsid w:val="23551A04"/>
    <w:rsid w:val="238056D6"/>
    <w:rsid w:val="238B5F2D"/>
    <w:rsid w:val="23A331FA"/>
    <w:rsid w:val="23C254E6"/>
    <w:rsid w:val="23CF1649"/>
    <w:rsid w:val="241565BF"/>
    <w:rsid w:val="242E0ED2"/>
    <w:rsid w:val="243110E3"/>
    <w:rsid w:val="245628AC"/>
    <w:rsid w:val="246C06F0"/>
    <w:rsid w:val="246C2851"/>
    <w:rsid w:val="24813AC7"/>
    <w:rsid w:val="2485597A"/>
    <w:rsid w:val="24A34A93"/>
    <w:rsid w:val="24B96906"/>
    <w:rsid w:val="24BA4B4F"/>
    <w:rsid w:val="24CA4578"/>
    <w:rsid w:val="24F75DE1"/>
    <w:rsid w:val="25273308"/>
    <w:rsid w:val="2529699D"/>
    <w:rsid w:val="254B4C46"/>
    <w:rsid w:val="25587045"/>
    <w:rsid w:val="25671CD5"/>
    <w:rsid w:val="25702FF9"/>
    <w:rsid w:val="25924832"/>
    <w:rsid w:val="25C2110E"/>
    <w:rsid w:val="25EA03CE"/>
    <w:rsid w:val="261563AF"/>
    <w:rsid w:val="261F7259"/>
    <w:rsid w:val="26245D73"/>
    <w:rsid w:val="262A3AAC"/>
    <w:rsid w:val="2642029B"/>
    <w:rsid w:val="2691548D"/>
    <w:rsid w:val="26A80A99"/>
    <w:rsid w:val="26B17383"/>
    <w:rsid w:val="26CD0D37"/>
    <w:rsid w:val="26E87362"/>
    <w:rsid w:val="272557C1"/>
    <w:rsid w:val="27341B5F"/>
    <w:rsid w:val="27510D23"/>
    <w:rsid w:val="27572566"/>
    <w:rsid w:val="27583F40"/>
    <w:rsid w:val="2762122A"/>
    <w:rsid w:val="27647B1C"/>
    <w:rsid w:val="27691392"/>
    <w:rsid w:val="277718C3"/>
    <w:rsid w:val="27862868"/>
    <w:rsid w:val="27AE18C7"/>
    <w:rsid w:val="27B03D3A"/>
    <w:rsid w:val="27B46E2F"/>
    <w:rsid w:val="27BE444B"/>
    <w:rsid w:val="27F85FD8"/>
    <w:rsid w:val="284B5CF4"/>
    <w:rsid w:val="28652068"/>
    <w:rsid w:val="2894550F"/>
    <w:rsid w:val="28A21BB6"/>
    <w:rsid w:val="28B9400A"/>
    <w:rsid w:val="28D715E3"/>
    <w:rsid w:val="28DA200E"/>
    <w:rsid w:val="28DC66C3"/>
    <w:rsid w:val="28E625ED"/>
    <w:rsid w:val="28F5376C"/>
    <w:rsid w:val="292F7D0E"/>
    <w:rsid w:val="294F7CE6"/>
    <w:rsid w:val="295254E2"/>
    <w:rsid w:val="295E3B66"/>
    <w:rsid w:val="296E2BCB"/>
    <w:rsid w:val="298639B2"/>
    <w:rsid w:val="29A23DC8"/>
    <w:rsid w:val="29C0458C"/>
    <w:rsid w:val="29CE1F49"/>
    <w:rsid w:val="29EB2351"/>
    <w:rsid w:val="2A0730C3"/>
    <w:rsid w:val="2A806F49"/>
    <w:rsid w:val="2A951ABA"/>
    <w:rsid w:val="2AC37A65"/>
    <w:rsid w:val="2ADB3322"/>
    <w:rsid w:val="2B1419BB"/>
    <w:rsid w:val="2B2C4F71"/>
    <w:rsid w:val="2B3202B6"/>
    <w:rsid w:val="2B5F515B"/>
    <w:rsid w:val="2B634FBD"/>
    <w:rsid w:val="2B6A4459"/>
    <w:rsid w:val="2B941DEA"/>
    <w:rsid w:val="2B9F73A1"/>
    <w:rsid w:val="2BEF6732"/>
    <w:rsid w:val="2BF960EC"/>
    <w:rsid w:val="2C016EF4"/>
    <w:rsid w:val="2C263D0B"/>
    <w:rsid w:val="2C374832"/>
    <w:rsid w:val="2C714E0E"/>
    <w:rsid w:val="2C87382C"/>
    <w:rsid w:val="2CC504F0"/>
    <w:rsid w:val="2D2F620E"/>
    <w:rsid w:val="2D3E7721"/>
    <w:rsid w:val="2D576F7C"/>
    <w:rsid w:val="2D5A50DA"/>
    <w:rsid w:val="2D6E01F0"/>
    <w:rsid w:val="2D787FA4"/>
    <w:rsid w:val="2D826987"/>
    <w:rsid w:val="2DB15B07"/>
    <w:rsid w:val="2DB74C32"/>
    <w:rsid w:val="2DC8572C"/>
    <w:rsid w:val="2DDB7C50"/>
    <w:rsid w:val="2DE31076"/>
    <w:rsid w:val="2E047B0F"/>
    <w:rsid w:val="2E121C13"/>
    <w:rsid w:val="2E306395"/>
    <w:rsid w:val="2E423D71"/>
    <w:rsid w:val="2E8C55BF"/>
    <w:rsid w:val="2E8E60BB"/>
    <w:rsid w:val="2E9C0F87"/>
    <w:rsid w:val="2EB536D8"/>
    <w:rsid w:val="2ED87AE7"/>
    <w:rsid w:val="2EEA3E6A"/>
    <w:rsid w:val="2F021739"/>
    <w:rsid w:val="2F343621"/>
    <w:rsid w:val="2F46399F"/>
    <w:rsid w:val="2F510CB0"/>
    <w:rsid w:val="2F5B1A9D"/>
    <w:rsid w:val="2F757E8F"/>
    <w:rsid w:val="2F854862"/>
    <w:rsid w:val="2F97641E"/>
    <w:rsid w:val="2FB32CCE"/>
    <w:rsid w:val="2FCA3E73"/>
    <w:rsid w:val="2FDB3E92"/>
    <w:rsid w:val="2FE84C90"/>
    <w:rsid w:val="302A7494"/>
    <w:rsid w:val="3039650A"/>
    <w:rsid w:val="303A760C"/>
    <w:rsid w:val="3070786D"/>
    <w:rsid w:val="3089116F"/>
    <w:rsid w:val="30D01735"/>
    <w:rsid w:val="30F720CF"/>
    <w:rsid w:val="30FD62FE"/>
    <w:rsid w:val="3100040A"/>
    <w:rsid w:val="310A76EC"/>
    <w:rsid w:val="311D4DF4"/>
    <w:rsid w:val="31273F18"/>
    <w:rsid w:val="31302DE8"/>
    <w:rsid w:val="313C473A"/>
    <w:rsid w:val="31480807"/>
    <w:rsid w:val="315301FC"/>
    <w:rsid w:val="31672A77"/>
    <w:rsid w:val="31837266"/>
    <w:rsid w:val="319C7BB4"/>
    <w:rsid w:val="31A1007D"/>
    <w:rsid w:val="31F67A05"/>
    <w:rsid w:val="31F83C9F"/>
    <w:rsid w:val="31F915CB"/>
    <w:rsid w:val="32070FA4"/>
    <w:rsid w:val="32A25A46"/>
    <w:rsid w:val="32B225D5"/>
    <w:rsid w:val="32CD697B"/>
    <w:rsid w:val="32D23EF0"/>
    <w:rsid w:val="33497046"/>
    <w:rsid w:val="33684063"/>
    <w:rsid w:val="33C32B99"/>
    <w:rsid w:val="33ED56C2"/>
    <w:rsid w:val="33F97D52"/>
    <w:rsid w:val="34092DA0"/>
    <w:rsid w:val="34244F26"/>
    <w:rsid w:val="342A40CE"/>
    <w:rsid w:val="345C216C"/>
    <w:rsid w:val="3475306B"/>
    <w:rsid w:val="348C2460"/>
    <w:rsid w:val="34A6185A"/>
    <w:rsid w:val="35026383"/>
    <w:rsid w:val="350370B2"/>
    <w:rsid w:val="3505471D"/>
    <w:rsid w:val="35136F96"/>
    <w:rsid w:val="351E2694"/>
    <w:rsid w:val="352F0E38"/>
    <w:rsid w:val="352F39CF"/>
    <w:rsid w:val="35507371"/>
    <w:rsid w:val="355A1A6F"/>
    <w:rsid w:val="35703AFE"/>
    <w:rsid w:val="357A05CB"/>
    <w:rsid w:val="35A01C5F"/>
    <w:rsid w:val="35AE094C"/>
    <w:rsid w:val="35ED40CF"/>
    <w:rsid w:val="36000F33"/>
    <w:rsid w:val="360A2438"/>
    <w:rsid w:val="360D2181"/>
    <w:rsid w:val="36137470"/>
    <w:rsid w:val="36434EFB"/>
    <w:rsid w:val="364B4E53"/>
    <w:rsid w:val="36781DF6"/>
    <w:rsid w:val="367B39F1"/>
    <w:rsid w:val="368D0655"/>
    <w:rsid w:val="36D02851"/>
    <w:rsid w:val="36D53F35"/>
    <w:rsid w:val="37051D53"/>
    <w:rsid w:val="37091EA9"/>
    <w:rsid w:val="37181F7A"/>
    <w:rsid w:val="37576857"/>
    <w:rsid w:val="3767002F"/>
    <w:rsid w:val="37B20D03"/>
    <w:rsid w:val="37CD1D19"/>
    <w:rsid w:val="38042FDA"/>
    <w:rsid w:val="38091A52"/>
    <w:rsid w:val="38114B0E"/>
    <w:rsid w:val="38272076"/>
    <w:rsid w:val="38376253"/>
    <w:rsid w:val="386910C0"/>
    <w:rsid w:val="38B41341"/>
    <w:rsid w:val="38EB5AFD"/>
    <w:rsid w:val="390A70F5"/>
    <w:rsid w:val="39343BEA"/>
    <w:rsid w:val="39732735"/>
    <w:rsid w:val="39A62C24"/>
    <w:rsid w:val="39B9147F"/>
    <w:rsid w:val="39BC17C9"/>
    <w:rsid w:val="39ED23D8"/>
    <w:rsid w:val="39FE10B4"/>
    <w:rsid w:val="3A0666C3"/>
    <w:rsid w:val="3A32471E"/>
    <w:rsid w:val="3A3D661B"/>
    <w:rsid w:val="3A7843A0"/>
    <w:rsid w:val="3A826E66"/>
    <w:rsid w:val="3A8A5522"/>
    <w:rsid w:val="3A8C0FA7"/>
    <w:rsid w:val="3A8C4B8E"/>
    <w:rsid w:val="3A98381F"/>
    <w:rsid w:val="3A9F7076"/>
    <w:rsid w:val="3AAB2C99"/>
    <w:rsid w:val="3AB42A96"/>
    <w:rsid w:val="3AC30D2D"/>
    <w:rsid w:val="3AF200F0"/>
    <w:rsid w:val="3AFD3678"/>
    <w:rsid w:val="3B25544B"/>
    <w:rsid w:val="3B2A00AE"/>
    <w:rsid w:val="3B4C5462"/>
    <w:rsid w:val="3B677002"/>
    <w:rsid w:val="3B7A783B"/>
    <w:rsid w:val="3B944E5F"/>
    <w:rsid w:val="3BA20E60"/>
    <w:rsid w:val="3BBA2C5F"/>
    <w:rsid w:val="3BE230E3"/>
    <w:rsid w:val="3C084222"/>
    <w:rsid w:val="3C351D45"/>
    <w:rsid w:val="3C402568"/>
    <w:rsid w:val="3C6810EB"/>
    <w:rsid w:val="3C785F45"/>
    <w:rsid w:val="3CD2305F"/>
    <w:rsid w:val="3CF84295"/>
    <w:rsid w:val="3D05582A"/>
    <w:rsid w:val="3D3C56AC"/>
    <w:rsid w:val="3D407D0B"/>
    <w:rsid w:val="3D4A0FDB"/>
    <w:rsid w:val="3D4C5F1D"/>
    <w:rsid w:val="3D577B32"/>
    <w:rsid w:val="3D622C7D"/>
    <w:rsid w:val="3D6530AD"/>
    <w:rsid w:val="3D741DF1"/>
    <w:rsid w:val="3D8164C6"/>
    <w:rsid w:val="3D8776C8"/>
    <w:rsid w:val="3DAD1550"/>
    <w:rsid w:val="3DC36E61"/>
    <w:rsid w:val="3DDF7A1F"/>
    <w:rsid w:val="3DE30BCA"/>
    <w:rsid w:val="3DFC254F"/>
    <w:rsid w:val="3E05743A"/>
    <w:rsid w:val="3E2E6510"/>
    <w:rsid w:val="3E33528C"/>
    <w:rsid w:val="3E367CD6"/>
    <w:rsid w:val="3E561A44"/>
    <w:rsid w:val="3E690C74"/>
    <w:rsid w:val="3E9B4F0A"/>
    <w:rsid w:val="3E9E2047"/>
    <w:rsid w:val="3EB766DA"/>
    <w:rsid w:val="3EBA0411"/>
    <w:rsid w:val="3EFE1E7B"/>
    <w:rsid w:val="3EFE5ED5"/>
    <w:rsid w:val="3F0D5C17"/>
    <w:rsid w:val="3F417686"/>
    <w:rsid w:val="3F541AF5"/>
    <w:rsid w:val="3F795F8F"/>
    <w:rsid w:val="3F7C1A35"/>
    <w:rsid w:val="3FD8434D"/>
    <w:rsid w:val="40285790"/>
    <w:rsid w:val="40543C97"/>
    <w:rsid w:val="40BE1148"/>
    <w:rsid w:val="40D65B11"/>
    <w:rsid w:val="40E51A68"/>
    <w:rsid w:val="41891072"/>
    <w:rsid w:val="418E352A"/>
    <w:rsid w:val="41905708"/>
    <w:rsid w:val="419B3044"/>
    <w:rsid w:val="41E364D3"/>
    <w:rsid w:val="42207BF3"/>
    <w:rsid w:val="42416496"/>
    <w:rsid w:val="42481BD8"/>
    <w:rsid w:val="425D211A"/>
    <w:rsid w:val="42673BFF"/>
    <w:rsid w:val="42757194"/>
    <w:rsid w:val="429116F5"/>
    <w:rsid w:val="42962F4C"/>
    <w:rsid w:val="429C41C6"/>
    <w:rsid w:val="42B41206"/>
    <w:rsid w:val="43070731"/>
    <w:rsid w:val="430C5E17"/>
    <w:rsid w:val="43225119"/>
    <w:rsid w:val="43472D70"/>
    <w:rsid w:val="43537411"/>
    <w:rsid w:val="437C6DB5"/>
    <w:rsid w:val="438A163C"/>
    <w:rsid w:val="43A57732"/>
    <w:rsid w:val="43CF4A4E"/>
    <w:rsid w:val="43D03E23"/>
    <w:rsid w:val="43D05B31"/>
    <w:rsid w:val="44052C37"/>
    <w:rsid w:val="441375AE"/>
    <w:rsid w:val="443C6B00"/>
    <w:rsid w:val="44864FEE"/>
    <w:rsid w:val="448E7E2F"/>
    <w:rsid w:val="44EB7B9D"/>
    <w:rsid w:val="45132420"/>
    <w:rsid w:val="452C534D"/>
    <w:rsid w:val="45333815"/>
    <w:rsid w:val="45B253E8"/>
    <w:rsid w:val="45D120D4"/>
    <w:rsid w:val="45E00D45"/>
    <w:rsid w:val="460C1224"/>
    <w:rsid w:val="4630083B"/>
    <w:rsid w:val="463D754A"/>
    <w:rsid w:val="46A240EA"/>
    <w:rsid w:val="46C02CED"/>
    <w:rsid w:val="46ED6394"/>
    <w:rsid w:val="46F900DD"/>
    <w:rsid w:val="46FB0C02"/>
    <w:rsid w:val="470526CA"/>
    <w:rsid w:val="473D2DDF"/>
    <w:rsid w:val="474C2B5B"/>
    <w:rsid w:val="476E313F"/>
    <w:rsid w:val="47801583"/>
    <w:rsid w:val="478E39F4"/>
    <w:rsid w:val="479770F2"/>
    <w:rsid w:val="47A63299"/>
    <w:rsid w:val="47B81CDA"/>
    <w:rsid w:val="47B96CFF"/>
    <w:rsid w:val="47BA7D3C"/>
    <w:rsid w:val="47DE29D4"/>
    <w:rsid w:val="47EB586A"/>
    <w:rsid w:val="47FB0B30"/>
    <w:rsid w:val="48160319"/>
    <w:rsid w:val="48185A56"/>
    <w:rsid w:val="48186936"/>
    <w:rsid w:val="48236B39"/>
    <w:rsid w:val="48515048"/>
    <w:rsid w:val="48524A37"/>
    <w:rsid w:val="485B3598"/>
    <w:rsid w:val="48634E64"/>
    <w:rsid w:val="48642A52"/>
    <w:rsid w:val="48A32BEE"/>
    <w:rsid w:val="48B441C8"/>
    <w:rsid w:val="48EB2456"/>
    <w:rsid w:val="4903154C"/>
    <w:rsid w:val="49245C32"/>
    <w:rsid w:val="493E20B6"/>
    <w:rsid w:val="494940E7"/>
    <w:rsid w:val="494C47CB"/>
    <w:rsid w:val="49814347"/>
    <w:rsid w:val="498F0BBB"/>
    <w:rsid w:val="499A08BB"/>
    <w:rsid w:val="49C04C0E"/>
    <w:rsid w:val="49C1112E"/>
    <w:rsid w:val="49E22ECD"/>
    <w:rsid w:val="49EB3EA2"/>
    <w:rsid w:val="4A116FB8"/>
    <w:rsid w:val="4A34038E"/>
    <w:rsid w:val="4A502DF8"/>
    <w:rsid w:val="4A505F9C"/>
    <w:rsid w:val="4A6A7625"/>
    <w:rsid w:val="4A813F4D"/>
    <w:rsid w:val="4ABA52FA"/>
    <w:rsid w:val="4B287A02"/>
    <w:rsid w:val="4B355021"/>
    <w:rsid w:val="4B434D8A"/>
    <w:rsid w:val="4B493410"/>
    <w:rsid w:val="4B6126D7"/>
    <w:rsid w:val="4B8200F2"/>
    <w:rsid w:val="4B8F6430"/>
    <w:rsid w:val="4B962868"/>
    <w:rsid w:val="4BAD160A"/>
    <w:rsid w:val="4BBB4BFD"/>
    <w:rsid w:val="4BC0436E"/>
    <w:rsid w:val="4BCF2CB7"/>
    <w:rsid w:val="4BD2117B"/>
    <w:rsid w:val="4BD95242"/>
    <w:rsid w:val="4C005303"/>
    <w:rsid w:val="4C057BB6"/>
    <w:rsid w:val="4C1B7FA1"/>
    <w:rsid w:val="4C244843"/>
    <w:rsid w:val="4C6528E3"/>
    <w:rsid w:val="4C8760A3"/>
    <w:rsid w:val="4CAE734C"/>
    <w:rsid w:val="4D1E10CC"/>
    <w:rsid w:val="4DAD60FD"/>
    <w:rsid w:val="4DD26FFA"/>
    <w:rsid w:val="4DE51ADA"/>
    <w:rsid w:val="4E1461DF"/>
    <w:rsid w:val="4E203C5E"/>
    <w:rsid w:val="4E36142F"/>
    <w:rsid w:val="4E367944"/>
    <w:rsid w:val="4E424534"/>
    <w:rsid w:val="4E446CE2"/>
    <w:rsid w:val="4E464163"/>
    <w:rsid w:val="4E73075A"/>
    <w:rsid w:val="4E857460"/>
    <w:rsid w:val="4EC549CB"/>
    <w:rsid w:val="4ECB44ED"/>
    <w:rsid w:val="4ED358B9"/>
    <w:rsid w:val="4EF35E8A"/>
    <w:rsid w:val="4F0068D4"/>
    <w:rsid w:val="4F0961BC"/>
    <w:rsid w:val="4F485674"/>
    <w:rsid w:val="4F5B1CF1"/>
    <w:rsid w:val="4F6A43BA"/>
    <w:rsid w:val="4FA918B9"/>
    <w:rsid w:val="4FAF23CA"/>
    <w:rsid w:val="4FF95CC2"/>
    <w:rsid w:val="503D7A06"/>
    <w:rsid w:val="503E2411"/>
    <w:rsid w:val="50407E38"/>
    <w:rsid w:val="50411444"/>
    <w:rsid w:val="50BC5616"/>
    <w:rsid w:val="50C40411"/>
    <w:rsid w:val="50D112CB"/>
    <w:rsid w:val="50E74D10"/>
    <w:rsid w:val="50F0100F"/>
    <w:rsid w:val="512B401E"/>
    <w:rsid w:val="51361AA3"/>
    <w:rsid w:val="514B7BED"/>
    <w:rsid w:val="5156277D"/>
    <w:rsid w:val="516A03BF"/>
    <w:rsid w:val="518F4E5F"/>
    <w:rsid w:val="51A354B8"/>
    <w:rsid w:val="51A73C3B"/>
    <w:rsid w:val="51B43D99"/>
    <w:rsid w:val="51B9241F"/>
    <w:rsid w:val="51E37417"/>
    <w:rsid w:val="52027D1F"/>
    <w:rsid w:val="52107C65"/>
    <w:rsid w:val="5241621E"/>
    <w:rsid w:val="5277086A"/>
    <w:rsid w:val="52B07B9C"/>
    <w:rsid w:val="52BB40CD"/>
    <w:rsid w:val="53196CBE"/>
    <w:rsid w:val="533741BF"/>
    <w:rsid w:val="53AF28DA"/>
    <w:rsid w:val="53C460C1"/>
    <w:rsid w:val="54122E2B"/>
    <w:rsid w:val="541A5EC5"/>
    <w:rsid w:val="541B04C5"/>
    <w:rsid w:val="54312C9C"/>
    <w:rsid w:val="54373F8A"/>
    <w:rsid w:val="545108C3"/>
    <w:rsid w:val="54591A3B"/>
    <w:rsid w:val="54752D2A"/>
    <w:rsid w:val="54BE7214"/>
    <w:rsid w:val="54E00A4E"/>
    <w:rsid w:val="55334ED4"/>
    <w:rsid w:val="5563538C"/>
    <w:rsid w:val="55652035"/>
    <w:rsid w:val="55740FE7"/>
    <w:rsid w:val="559D2858"/>
    <w:rsid w:val="55A17C3B"/>
    <w:rsid w:val="55D11F3D"/>
    <w:rsid w:val="55DD18EA"/>
    <w:rsid w:val="55FF6F02"/>
    <w:rsid w:val="560662B2"/>
    <w:rsid w:val="56373C2C"/>
    <w:rsid w:val="56612F93"/>
    <w:rsid w:val="566B5FD6"/>
    <w:rsid w:val="56C75675"/>
    <w:rsid w:val="56D647C4"/>
    <w:rsid w:val="56F36600"/>
    <w:rsid w:val="570766C2"/>
    <w:rsid w:val="572C6094"/>
    <w:rsid w:val="5740502C"/>
    <w:rsid w:val="576314CD"/>
    <w:rsid w:val="576F63F2"/>
    <w:rsid w:val="57832397"/>
    <w:rsid w:val="57887538"/>
    <w:rsid w:val="57C00B06"/>
    <w:rsid w:val="57D27903"/>
    <w:rsid w:val="57D36752"/>
    <w:rsid w:val="58232824"/>
    <w:rsid w:val="58495567"/>
    <w:rsid w:val="58696610"/>
    <w:rsid w:val="586F79A5"/>
    <w:rsid w:val="58856B03"/>
    <w:rsid w:val="58962D30"/>
    <w:rsid w:val="58A30250"/>
    <w:rsid w:val="59296C24"/>
    <w:rsid w:val="593F0502"/>
    <w:rsid w:val="59417CFE"/>
    <w:rsid w:val="594605A0"/>
    <w:rsid w:val="59670BF6"/>
    <w:rsid w:val="59726828"/>
    <w:rsid w:val="597410D6"/>
    <w:rsid w:val="5999618E"/>
    <w:rsid w:val="59BC3DC4"/>
    <w:rsid w:val="59BE4C8C"/>
    <w:rsid w:val="59E90588"/>
    <w:rsid w:val="59F861A7"/>
    <w:rsid w:val="5A3552C9"/>
    <w:rsid w:val="5A355EEF"/>
    <w:rsid w:val="5A414094"/>
    <w:rsid w:val="5A422118"/>
    <w:rsid w:val="5A6432D8"/>
    <w:rsid w:val="5A6620FC"/>
    <w:rsid w:val="5A6C79C9"/>
    <w:rsid w:val="5A84441E"/>
    <w:rsid w:val="5A9F56BB"/>
    <w:rsid w:val="5AC30EB6"/>
    <w:rsid w:val="5AFA0AB3"/>
    <w:rsid w:val="5B021EDD"/>
    <w:rsid w:val="5B6A25B2"/>
    <w:rsid w:val="5B93724D"/>
    <w:rsid w:val="5BB374D3"/>
    <w:rsid w:val="5BE16BBE"/>
    <w:rsid w:val="5BEF0861"/>
    <w:rsid w:val="5C48267F"/>
    <w:rsid w:val="5C487FF6"/>
    <w:rsid w:val="5C5A6EE4"/>
    <w:rsid w:val="5C91041D"/>
    <w:rsid w:val="5CAE109C"/>
    <w:rsid w:val="5CB361EA"/>
    <w:rsid w:val="5CD04799"/>
    <w:rsid w:val="5CE57AF4"/>
    <w:rsid w:val="5CFC2863"/>
    <w:rsid w:val="5CFE0FF9"/>
    <w:rsid w:val="5D09204C"/>
    <w:rsid w:val="5D145819"/>
    <w:rsid w:val="5D331A55"/>
    <w:rsid w:val="5D3B66C4"/>
    <w:rsid w:val="5D4328AC"/>
    <w:rsid w:val="5D4E1E3E"/>
    <w:rsid w:val="5D7D1914"/>
    <w:rsid w:val="5D814A02"/>
    <w:rsid w:val="5D8A5C8A"/>
    <w:rsid w:val="5DAD352B"/>
    <w:rsid w:val="5DEE20C6"/>
    <w:rsid w:val="5E0839A8"/>
    <w:rsid w:val="5E1309FE"/>
    <w:rsid w:val="5E22291F"/>
    <w:rsid w:val="5E267DE4"/>
    <w:rsid w:val="5E4D0599"/>
    <w:rsid w:val="5E630CC6"/>
    <w:rsid w:val="5E6A32E8"/>
    <w:rsid w:val="5E810ED7"/>
    <w:rsid w:val="5E9716B6"/>
    <w:rsid w:val="5EB1243B"/>
    <w:rsid w:val="5EC33448"/>
    <w:rsid w:val="5EC8181A"/>
    <w:rsid w:val="5EF02567"/>
    <w:rsid w:val="5F056D61"/>
    <w:rsid w:val="5F084236"/>
    <w:rsid w:val="5F976163"/>
    <w:rsid w:val="5FB87106"/>
    <w:rsid w:val="5FE6019F"/>
    <w:rsid w:val="6004199E"/>
    <w:rsid w:val="60053376"/>
    <w:rsid w:val="60081D46"/>
    <w:rsid w:val="602C254F"/>
    <w:rsid w:val="60391F57"/>
    <w:rsid w:val="609E0F14"/>
    <w:rsid w:val="60A868EC"/>
    <w:rsid w:val="60C146D7"/>
    <w:rsid w:val="61093819"/>
    <w:rsid w:val="61587EFC"/>
    <w:rsid w:val="617E75CD"/>
    <w:rsid w:val="61901639"/>
    <w:rsid w:val="61A63975"/>
    <w:rsid w:val="61C85F1D"/>
    <w:rsid w:val="61DE4ED4"/>
    <w:rsid w:val="61E664C3"/>
    <w:rsid w:val="620F67EC"/>
    <w:rsid w:val="62310B14"/>
    <w:rsid w:val="62481652"/>
    <w:rsid w:val="62487BA4"/>
    <w:rsid w:val="62724313"/>
    <w:rsid w:val="627A157C"/>
    <w:rsid w:val="628E4CD1"/>
    <w:rsid w:val="62A0195F"/>
    <w:rsid w:val="62B54689"/>
    <w:rsid w:val="62C94A9B"/>
    <w:rsid w:val="62D3188A"/>
    <w:rsid w:val="62DA2A3D"/>
    <w:rsid w:val="62EE6294"/>
    <w:rsid w:val="6315739F"/>
    <w:rsid w:val="63282C74"/>
    <w:rsid w:val="633E6EDE"/>
    <w:rsid w:val="634F0D89"/>
    <w:rsid w:val="636049E8"/>
    <w:rsid w:val="63912E23"/>
    <w:rsid w:val="63B74FDB"/>
    <w:rsid w:val="63C9062F"/>
    <w:rsid w:val="63F96CAE"/>
    <w:rsid w:val="63FB5349"/>
    <w:rsid w:val="640C35BA"/>
    <w:rsid w:val="641859BD"/>
    <w:rsid w:val="642B176B"/>
    <w:rsid w:val="64424F2F"/>
    <w:rsid w:val="64490695"/>
    <w:rsid w:val="644F259F"/>
    <w:rsid w:val="645B7B9B"/>
    <w:rsid w:val="6491292F"/>
    <w:rsid w:val="64A2188E"/>
    <w:rsid w:val="64AD05FA"/>
    <w:rsid w:val="64C32497"/>
    <w:rsid w:val="64C869E5"/>
    <w:rsid w:val="64F92CB9"/>
    <w:rsid w:val="64FF0C2E"/>
    <w:rsid w:val="655E6B03"/>
    <w:rsid w:val="657E30C1"/>
    <w:rsid w:val="658A3DFD"/>
    <w:rsid w:val="659550EE"/>
    <w:rsid w:val="65E970BC"/>
    <w:rsid w:val="661B74C8"/>
    <w:rsid w:val="665D6F4F"/>
    <w:rsid w:val="66793381"/>
    <w:rsid w:val="66A40B05"/>
    <w:rsid w:val="66B06FF1"/>
    <w:rsid w:val="66D82D48"/>
    <w:rsid w:val="671805FF"/>
    <w:rsid w:val="672235F1"/>
    <w:rsid w:val="67342641"/>
    <w:rsid w:val="673C27EF"/>
    <w:rsid w:val="673C3EEB"/>
    <w:rsid w:val="675B7173"/>
    <w:rsid w:val="67616F20"/>
    <w:rsid w:val="676A4DBB"/>
    <w:rsid w:val="67896F93"/>
    <w:rsid w:val="67B94B5C"/>
    <w:rsid w:val="67CD70E1"/>
    <w:rsid w:val="67D0070B"/>
    <w:rsid w:val="67FF1716"/>
    <w:rsid w:val="681F7D61"/>
    <w:rsid w:val="6825011B"/>
    <w:rsid w:val="68290CC7"/>
    <w:rsid w:val="68862DDF"/>
    <w:rsid w:val="68916D9B"/>
    <w:rsid w:val="68A73B9E"/>
    <w:rsid w:val="68B5399C"/>
    <w:rsid w:val="68B85C5F"/>
    <w:rsid w:val="68B95471"/>
    <w:rsid w:val="68C10151"/>
    <w:rsid w:val="68CA0DB9"/>
    <w:rsid w:val="68EA0B9C"/>
    <w:rsid w:val="69212E07"/>
    <w:rsid w:val="69241E45"/>
    <w:rsid w:val="692A5C95"/>
    <w:rsid w:val="69725E6B"/>
    <w:rsid w:val="697271A5"/>
    <w:rsid w:val="69732C11"/>
    <w:rsid w:val="69765410"/>
    <w:rsid w:val="699E3A55"/>
    <w:rsid w:val="699F5C09"/>
    <w:rsid w:val="69E676CD"/>
    <w:rsid w:val="69F05A5E"/>
    <w:rsid w:val="69F908EC"/>
    <w:rsid w:val="6A083105"/>
    <w:rsid w:val="6A0E556A"/>
    <w:rsid w:val="6A270960"/>
    <w:rsid w:val="6A2D545E"/>
    <w:rsid w:val="6A555782"/>
    <w:rsid w:val="6A6106DA"/>
    <w:rsid w:val="6A8B7E5B"/>
    <w:rsid w:val="6AA77479"/>
    <w:rsid w:val="6AF33231"/>
    <w:rsid w:val="6B107AAC"/>
    <w:rsid w:val="6B312A7F"/>
    <w:rsid w:val="6B431148"/>
    <w:rsid w:val="6B4A6F94"/>
    <w:rsid w:val="6B572182"/>
    <w:rsid w:val="6B5D60CD"/>
    <w:rsid w:val="6B782404"/>
    <w:rsid w:val="6B8E25CA"/>
    <w:rsid w:val="6BA20565"/>
    <w:rsid w:val="6BC1115D"/>
    <w:rsid w:val="6BEE7AA2"/>
    <w:rsid w:val="6BEF4509"/>
    <w:rsid w:val="6C1B6E74"/>
    <w:rsid w:val="6C4478D2"/>
    <w:rsid w:val="6C45763B"/>
    <w:rsid w:val="6C670665"/>
    <w:rsid w:val="6C6A0AAF"/>
    <w:rsid w:val="6CA46AD1"/>
    <w:rsid w:val="6CDC1A21"/>
    <w:rsid w:val="6CE028AE"/>
    <w:rsid w:val="6D0A2483"/>
    <w:rsid w:val="6D1049A1"/>
    <w:rsid w:val="6D600F6C"/>
    <w:rsid w:val="6D6239A7"/>
    <w:rsid w:val="6D655660"/>
    <w:rsid w:val="6D732529"/>
    <w:rsid w:val="6D8F6606"/>
    <w:rsid w:val="6D9241C8"/>
    <w:rsid w:val="6DB82591"/>
    <w:rsid w:val="6DD753C4"/>
    <w:rsid w:val="6E1A77ED"/>
    <w:rsid w:val="6E525A5A"/>
    <w:rsid w:val="6EB904EA"/>
    <w:rsid w:val="6ECA36D3"/>
    <w:rsid w:val="6EDB198E"/>
    <w:rsid w:val="6F23234A"/>
    <w:rsid w:val="6F503E53"/>
    <w:rsid w:val="6F5E6145"/>
    <w:rsid w:val="6F853C35"/>
    <w:rsid w:val="6F8654C7"/>
    <w:rsid w:val="6F9B74EE"/>
    <w:rsid w:val="6FA44CF7"/>
    <w:rsid w:val="6FA50BA3"/>
    <w:rsid w:val="6FB70558"/>
    <w:rsid w:val="6FB77BC5"/>
    <w:rsid w:val="6FE80A5D"/>
    <w:rsid w:val="70042156"/>
    <w:rsid w:val="70257EC5"/>
    <w:rsid w:val="70404CBA"/>
    <w:rsid w:val="70411FBB"/>
    <w:rsid w:val="705824A8"/>
    <w:rsid w:val="70823C36"/>
    <w:rsid w:val="70A976BB"/>
    <w:rsid w:val="70B8616B"/>
    <w:rsid w:val="70BB20FE"/>
    <w:rsid w:val="70C711AD"/>
    <w:rsid w:val="715B0960"/>
    <w:rsid w:val="716B1618"/>
    <w:rsid w:val="71B77C0D"/>
    <w:rsid w:val="71F41601"/>
    <w:rsid w:val="72124F14"/>
    <w:rsid w:val="72147937"/>
    <w:rsid w:val="72326EE7"/>
    <w:rsid w:val="72540721"/>
    <w:rsid w:val="72622DD6"/>
    <w:rsid w:val="726C0A10"/>
    <w:rsid w:val="7284346E"/>
    <w:rsid w:val="72A313D3"/>
    <w:rsid w:val="72B15B7F"/>
    <w:rsid w:val="72B7036F"/>
    <w:rsid w:val="72F33E3B"/>
    <w:rsid w:val="73046080"/>
    <w:rsid w:val="73214465"/>
    <w:rsid w:val="73364A83"/>
    <w:rsid w:val="73437C84"/>
    <w:rsid w:val="734511D4"/>
    <w:rsid w:val="734C1A08"/>
    <w:rsid w:val="734C3DF1"/>
    <w:rsid w:val="73505624"/>
    <w:rsid w:val="736C66C4"/>
    <w:rsid w:val="73845BE8"/>
    <w:rsid w:val="73B10C81"/>
    <w:rsid w:val="740174A1"/>
    <w:rsid w:val="74120A20"/>
    <w:rsid w:val="744E41B8"/>
    <w:rsid w:val="74627698"/>
    <w:rsid w:val="746E22B6"/>
    <w:rsid w:val="747043AB"/>
    <w:rsid w:val="748E6D46"/>
    <w:rsid w:val="74BA1EAB"/>
    <w:rsid w:val="74D04F8A"/>
    <w:rsid w:val="7539165E"/>
    <w:rsid w:val="753B02AD"/>
    <w:rsid w:val="75594D9A"/>
    <w:rsid w:val="755B70CA"/>
    <w:rsid w:val="755E5F7F"/>
    <w:rsid w:val="75681F2D"/>
    <w:rsid w:val="75B545AA"/>
    <w:rsid w:val="75C32949"/>
    <w:rsid w:val="75D00FA8"/>
    <w:rsid w:val="760C69DC"/>
    <w:rsid w:val="76157956"/>
    <w:rsid w:val="761C3CED"/>
    <w:rsid w:val="762502C9"/>
    <w:rsid w:val="76370D1A"/>
    <w:rsid w:val="76372791"/>
    <w:rsid w:val="76A4655E"/>
    <w:rsid w:val="76BD0D9B"/>
    <w:rsid w:val="76D25C7C"/>
    <w:rsid w:val="76E36927"/>
    <w:rsid w:val="770664D6"/>
    <w:rsid w:val="7732187A"/>
    <w:rsid w:val="77373422"/>
    <w:rsid w:val="77651CE4"/>
    <w:rsid w:val="77713255"/>
    <w:rsid w:val="77841D17"/>
    <w:rsid w:val="779934C6"/>
    <w:rsid w:val="77CF037D"/>
    <w:rsid w:val="77E40890"/>
    <w:rsid w:val="77E559FF"/>
    <w:rsid w:val="781F6DFC"/>
    <w:rsid w:val="783E4FA1"/>
    <w:rsid w:val="78803FB3"/>
    <w:rsid w:val="78B13178"/>
    <w:rsid w:val="78E0289D"/>
    <w:rsid w:val="78EB79B0"/>
    <w:rsid w:val="78F76D0C"/>
    <w:rsid w:val="791A5CDF"/>
    <w:rsid w:val="794E6E79"/>
    <w:rsid w:val="79542CD0"/>
    <w:rsid w:val="796A08BF"/>
    <w:rsid w:val="79906C9F"/>
    <w:rsid w:val="79C350D5"/>
    <w:rsid w:val="79D60872"/>
    <w:rsid w:val="79E157FD"/>
    <w:rsid w:val="79E8625B"/>
    <w:rsid w:val="79FB2FB5"/>
    <w:rsid w:val="79FE74E5"/>
    <w:rsid w:val="7A310D0B"/>
    <w:rsid w:val="7A3C0E56"/>
    <w:rsid w:val="7A4211AE"/>
    <w:rsid w:val="7A62539A"/>
    <w:rsid w:val="7A7463F3"/>
    <w:rsid w:val="7A8B5318"/>
    <w:rsid w:val="7A9B68AB"/>
    <w:rsid w:val="7ABD52ED"/>
    <w:rsid w:val="7AD8776C"/>
    <w:rsid w:val="7B1D56CA"/>
    <w:rsid w:val="7B25542F"/>
    <w:rsid w:val="7B3A4AE0"/>
    <w:rsid w:val="7B3A6971"/>
    <w:rsid w:val="7B9D5607"/>
    <w:rsid w:val="7BFB76CD"/>
    <w:rsid w:val="7C0C2CC4"/>
    <w:rsid w:val="7C0F5905"/>
    <w:rsid w:val="7C132C18"/>
    <w:rsid w:val="7C160DA1"/>
    <w:rsid w:val="7C264CF7"/>
    <w:rsid w:val="7C626300"/>
    <w:rsid w:val="7C694FA8"/>
    <w:rsid w:val="7C6F3253"/>
    <w:rsid w:val="7CA76112"/>
    <w:rsid w:val="7CC3045F"/>
    <w:rsid w:val="7CE26D27"/>
    <w:rsid w:val="7CF70D50"/>
    <w:rsid w:val="7D19514C"/>
    <w:rsid w:val="7D264462"/>
    <w:rsid w:val="7D442606"/>
    <w:rsid w:val="7D5D6B3A"/>
    <w:rsid w:val="7D673DBF"/>
    <w:rsid w:val="7D7162B4"/>
    <w:rsid w:val="7D8325D2"/>
    <w:rsid w:val="7DB95CB8"/>
    <w:rsid w:val="7DCB6288"/>
    <w:rsid w:val="7DE81DE3"/>
    <w:rsid w:val="7E2D1EC0"/>
    <w:rsid w:val="7E380150"/>
    <w:rsid w:val="7E6924ED"/>
    <w:rsid w:val="7E877FC2"/>
    <w:rsid w:val="7E8E0531"/>
    <w:rsid w:val="7E9D5086"/>
    <w:rsid w:val="7E9F7D26"/>
    <w:rsid w:val="7EFB52E1"/>
    <w:rsid w:val="7F076F4A"/>
    <w:rsid w:val="7F18206F"/>
    <w:rsid w:val="7F5D3EAE"/>
    <w:rsid w:val="7F6B6E76"/>
    <w:rsid w:val="7F876226"/>
    <w:rsid w:val="7FAA4EB9"/>
    <w:rsid w:val="7FBE4A25"/>
    <w:rsid w:val="7FCA767E"/>
    <w:rsid w:val="7FDE59B3"/>
    <w:rsid w:val="7FE61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3">
    <w:name w:val="heading 1"/>
    <w:basedOn w:val="4"/>
    <w:next w:val="1"/>
    <w:link w:val="52"/>
    <w:qFormat/>
    <w:uiPriority w:val="0"/>
    <w:pPr>
      <w:keepNext/>
      <w:keepLines/>
      <w:spacing w:line="360" w:lineRule="auto"/>
    </w:pPr>
    <w:rPr>
      <w:rFonts w:eastAsia="黑体"/>
      <w:kern w:val="44"/>
      <w:sz w:val="36"/>
    </w:rPr>
  </w:style>
  <w:style w:type="paragraph" w:styleId="5">
    <w:name w:val="heading 2"/>
    <w:basedOn w:val="1"/>
    <w:next w:val="1"/>
    <w:link w:val="53"/>
    <w:unhideWhenUsed/>
    <w:qFormat/>
    <w:uiPriority w:val="0"/>
    <w:pPr>
      <w:autoSpaceDE w:val="0"/>
      <w:autoSpaceDN w:val="0"/>
      <w:spacing w:before="34"/>
      <w:outlineLvl w:val="1"/>
    </w:pPr>
    <w:rPr>
      <w:rFonts w:ascii="宋体" w:hAnsi="宋体" w:cs="宋体"/>
      <w:b/>
      <w:bCs/>
      <w:sz w:val="30"/>
      <w:szCs w:val="32"/>
      <w:lang w:val="zh-CN" w:bidi="zh-CN"/>
    </w:rPr>
  </w:style>
  <w:style w:type="paragraph" w:styleId="6">
    <w:name w:val="heading 3"/>
    <w:basedOn w:val="1"/>
    <w:next w:val="1"/>
    <w:qFormat/>
    <w:uiPriority w:val="0"/>
    <w:pPr>
      <w:keepNext/>
      <w:keepLines/>
      <w:adjustRightInd w:val="0"/>
      <w:spacing w:before="240" w:after="120" w:line="300" w:lineRule="auto"/>
      <w:jc w:val="left"/>
      <w:textAlignment w:val="baseline"/>
      <w:outlineLvl w:val="2"/>
    </w:pPr>
    <w:rPr>
      <w:b/>
      <w:bCs/>
      <w:kern w:val="0"/>
      <w:sz w:val="32"/>
      <w:szCs w:val="32"/>
    </w:rPr>
  </w:style>
  <w:style w:type="paragraph" w:styleId="7">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header"/>
    <w:basedOn w:val="1"/>
    <w:next w:val="1"/>
    <w:qFormat/>
    <w:uiPriority w:val="99"/>
    <w:pPr>
      <w:pBdr>
        <w:bottom w:val="single" w:color="auto" w:sz="6" w:space="1"/>
      </w:pBdr>
      <w:tabs>
        <w:tab w:val="center" w:pos="4153"/>
        <w:tab w:val="right" w:pos="8306"/>
      </w:tabs>
      <w:snapToGrid w:val="0"/>
      <w:jc w:val="center"/>
    </w:pPr>
    <w:rPr>
      <w:sz w:val="18"/>
      <w:szCs w:val="20"/>
    </w:rPr>
  </w:style>
  <w:style w:type="paragraph" w:styleId="4">
    <w:name w:val="Title"/>
    <w:basedOn w:val="1"/>
    <w:next w:val="1"/>
    <w:qFormat/>
    <w:uiPriority w:val="10"/>
    <w:pPr>
      <w:spacing w:before="240" w:after="60"/>
      <w:jc w:val="center"/>
      <w:outlineLvl w:val="0"/>
    </w:pPr>
    <w:rPr>
      <w:rFonts w:ascii="Cambria" w:hAnsi="Cambria"/>
      <w:b/>
      <w:bCs/>
      <w:kern w:val="0"/>
      <w:sz w:val="32"/>
      <w:szCs w:val="32"/>
    </w:rPr>
  </w:style>
  <w:style w:type="paragraph" w:styleId="8">
    <w:name w:val="table of authorities"/>
    <w:basedOn w:val="1"/>
    <w:next w:val="1"/>
    <w:qFormat/>
    <w:uiPriority w:val="99"/>
    <w:pPr>
      <w:ind w:left="420" w:leftChars="200"/>
    </w:pPr>
  </w:style>
  <w:style w:type="paragraph" w:styleId="9">
    <w:name w:val="Normal Indent"/>
    <w:basedOn w:val="1"/>
    <w:qFormat/>
    <w:uiPriority w:val="99"/>
    <w:pPr>
      <w:ind w:firstLine="420"/>
    </w:pPr>
  </w:style>
  <w:style w:type="paragraph" w:styleId="10">
    <w:name w:val="annotation text"/>
    <w:basedOn w:val="1"/>
    <w:qFormat/>
    <w:uiPriority w:val="99"/>
    <w:pPr>
      <w:adjustRightInd w:val="0"/>
      <w:spacing w:line="360" w:lineRule="atLeast"/>
      <w:jc w:val="left"/>
      <w:textAlignment w:val="baseline"/>
    </w:pPr>
    <w:rPr>
      <w:kern w:val="0"/>
      <w:sz w:val="24"/>
    </w:rPr>
  </w:style>
  <w:style w:type="paragraph" w:styleId="11">
    <w:name w:val="index 6"/>
    <w:basedOn w:val="1"/>
    <w:next w:val="1"/>
    <w:qFormat/>
    <w:uiPriority w:val="0"/>
    <w:pPr>
      <w:ind w:left="2100"/>
    </w:pPr>
    <w:rPr>
      <w:rFonts w:ascii="Times New Roman" w:hAnsi="Times New Roman" w:eastAsia="宋体" w:cs="Times New Roman"/>
    </w:rPr>
  </w:style>
  <w:style w:type="paragraph" w:styleId="12">
    <w:name w:val="Body Text"/>
    <w:basedOn w:val="1"/>
    <w:next w:val="1"/>
    <w:link w:val="57"/>
    <w:qFormat/>
    <w:uiPriority w:val="99"/>
    <w:pPr>
      <w:tabs>
        <w:tab w:val="left" w:pos="420"/>
      </w:tabs>
    </w:pPr>
    <w:rPr>
      <w:kern w:val="0"/>
      <w:sz w:val="24"/>
    </w:rPr>
  </w:style>
  <w:style w:type="paragraph" w:styleId="13">
    <w:name w:val="Body Text Indent"/>
    <w:basedOn w:val="1"/>
    <w:next w:val="14"/>
    <w:qFormat/>
    <w:uiPriority w:val="0"/>
    <w:pPr>
      <w:spacing w:after="120"/>
      <w:ind w:left="420" w:leftChars="200"/>
    </w:pPr>
  </w:style>
  <w:style w:type="paragraph" w:styleId="14">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15">
    <w:name w:val="toc 3"/>
    <w:basedOn w:val="1"/>
    <w:next w:val="1"/>
    <w:qFormat/>
    <w:uiPriority w:val="39"/>
    <w:pPr>
      <w:tabs>
        <w:tab w:val="right" w:leader="dot" w:pos="8392"/>
      </w:tabs>
      <w:spacing w:line="500" w:lineRule="exact"/>
      <w:ind w:left="420"/>
      <w:jc w:val="left"/>
    </w:pPr>
    <w:rPr>
      <w:rFonts w:ascii="Arial" w:hAnsi="Arial" w:eastAsia="仿宋"/>
      <w:iCs/>
      <w:szCs w:val="20"/>
    </w:rPr>
  </w:style>
  <w:style w:type="paragraph" w:styleId="16">
    <w:name w:val="Plain Text"/>
    <w:basedOn w:val="1"/>
    <w:next w:val="11"/>
    <w:qFormat/>
    <w:uiPriority w:val="99"/>
    <w:rPr>
      <w:rFonts w:ascii="宋体" w:hAnsi="Courier New"/>
      <w:sz w:val="24"/>
      <w:szCs w:val="20"/>
    </w:rPr>
  </w:style>
  <w:style w:type="paragraph" w:styleId="17">
    <w:name w:val="Body Text Indent 2"/>
    <w:basedOn w:val="1"/>
    <w:next w:val="12"/>
    <w:qFormat/>
    <w:uiPriority w:val="0"/>
    <w:pPr>
      <w:ind w:firstLine="645"/>
    </w:pPr>
    <w:rPr>
      <w:rFonts w:eastAsia="仿宋_GB2312"/>
      <w:sz w:val="32"/>
    </w:rPr>
  </w:style>
  <w:style w:type="paragraph" w:styleId="18">
    <w:name w:val="footer"/>
    <w:basedOn w:val="1"/>
    <w:next w:val="19"/>
    <w:qFormat/>
    <w:uiPriority w:val="99"/>
    <w:pPr>
      <w:tabs>
        <w:tab w:val="center" w:pos="4153"/>
        <w:tab w:val="right" w:pos="8306"/>
      </w:tabs>
      <w:snapToGrid w:val="0"/>
      <w:jc w:val="left"/>
    </w:pPr>
    <w:rPr>
      <w:kern w:val="0"/>
      <w:sz w:val="18"/>
      <w:szCs w:val="18"/>
    </w:rPr>
  </w:style>
  <w:style w:type="paragraph" w:customStyle="1" w:styleId="19">
    <w:name w:val="样式 宋体 小四1 Char"/>
    <w:basedOn w:val="1"/>
    <w:qFormat/>
    <w:uiPriority w:val="0"/>
    <w:pPr>
      <w:spacing w:before="100" w:beforeLines="0" w:beforeAutospacing="1" w:after="100" w:afterLines="0" w:afterAutospacing="1" w:line="300" w:lineRule="auto"/>
    </w:pPr>
    <w:rPr>
      <w:rFonts w:ascii="宋体" w:hAnsi="宋体"/>
      <w:szCs w:val="21"/>
    </w:rPr>
  </w:style>
  <w:style w:type="paragraph" w:styleId="20">
    <w:name w:val="toc 1"/>
    <w:basedOn w:val="1"/>
    <w:next w:val="1"/>
    <w:qFormat/>
    <w:uiPriority w:val="39"/>
    <w:pPr>
      <w:spacing w:before="120" w:after="120"/>
      <w:jc w:val="left"/>
    </w:pPr>
    <w:rPr>
      <w:rFonts w:ascii="Arial" w:hAnsi="Arial" w:eastAsia="仿宋"/>
      <w:b/>
      <w:bCs/>
      <w:caps/>
      <w:sz w:val="28"/>
      <w:szCs w:val="20"/>
    </w:rPr>
  </w:style>
  <w:style w:type="paragraph" w:styleId="21">
    <w:name w:val="index heading"/>
    <w:basedOn w:val="1"/>
    <w:next w:val="22"/>
    <w:qFormat/>
    <w:uiPriority w:val="0"/>
    <w:rPr>
      <w:rFonts w:ascii="Arial" w:hAnsi="Arial" w:cs="Arial"/>
      <w:b/>
      <w:bCs/>
    </w:rPr>
  </w:style>
  <w:style w:type="paragraph" w:styleId="22">
    <w:name w:val="index 1"/>
    <w:basedOn w:val="1"/>
    <w:next w:val="1"/>
    <w:qFormat/>
    <w:uiPriority w:val="0"/>
  </w:style>
  <w:style w:type="paragraph" w:styleId="23">
    <w:name w:val="Subtitle"/>
    <w:basedOn w:val="1"/>
    <w:next w:val="1"/>
    <w:qFormat/>
    <w:uiPriority w:val="11"/>
    <w:pPr>
      <w:spacing w:before="120" w:beforeLines="50" w:line="360" w:lineRule="auto"/>
      <w:ind w:firstLine="602" w:firstLineChars="200"/>
      <w:jc w:val="left"/>
    </w:pPr>
    <w:rPr>
      <w:b/>
      <w:bCs/>
      <w:kern w:val="28"/>
      <w:sz w:val="30"/>
      <w:szCs w:val="32"/>
    </w:rPr>
  </w:style>
  <w:style w:type="paragraph" w:styleId="24">
    <w:name w:val="Body Text Indent 3"/>
    <w:basedOn w:val="1"/>
    <w:qFormat/>
    <w:uiPriority w:val="99"/>
    <w:pPr>
      <w:ind w:left="473" w:hanging="473" w:hangingChars="225"/>
    </w:pPr>
    <w:rPr>
      <w:kern w:val="0"/>
      <w:sz w:val="16"/>
      <w:szCs w:val="16"/>
    </w:rPr>
  </w:style>
  <w:style w:type="paragraph" w:styleId="25">
    <w:name w:val="toc 2"/>
    <w:basedOn w:val="1"/>
    <w:next w:val="1"/>
    <w:qFormat/>
    <w:uiPriority w:val="39"/>
    <w:pPr>
      <w:ind w:left="210"/>
      <w:jc w:val="left"/>
    </w:pPr>
    <w:rPr>
      <w:rFonts w:ascii="Arial" w:hAnsi="Arial" w:eastAsia="仿宋"/>
      <w:b/>
      <w:smallCaps/>
      <w:sz w:val="24"/>
      <w:szCs w:val="20"/>
    </w:rPr>
  </w:style>
  <w:style w:type="paragraph" w:styleId="2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7">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28">
    <w:name w:val="Body Text First Indent"/>
    <w:basedOn w:val="12"/>
    <w:qFormat/>
    <w:uiPriority w:val="99"/>
    <w:pPr>
      <w:spacing w:after="120" w:afterLines="0"/>
      <w:ind w:firstLine="420" w:firstLineChars="100"/>
    </w:pPr>
    <w:rPr>
      <w:rFonts w:ascii="Times New Roman" w:hAnsi="Times New Roman"/>
    </w:rPr>
  </w:style>
  <w:style w:type="paragraph" w:styleId="29">
    <w:name w:val="Body Text First Indent 2"/>
    <w:basedOn w:val="13"/>
    <w:unhideWhenUsed/>
    <w:qFormat/>
    <w:uiPriority w:val="99"/>
    <w:pPr>
      <w:ind w:firstLine="420" w:firstLineChars="200"/>
    </w:pPr>
    <w:rPr>
      <w:rFonts w:eastAsia="宋?"/>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rFonts w:cs="Times New Roman"/>
      <w:b/>
    </w:rPr>
  </w:style>
  <w:style w:type="character" w:styleId="34">
    <w:name w:val="page number"/>
    <w:basedOn w:val="32"/>
    <w:qFormat/>
    <w:uiPriority w:val="0"/>
    <w:rPr>
      <w:rFonts w:cs="Times New Roman"/>
    </w:rPr>
  </w:style>
  <w:style w:type="character" w:styleId="35">
    <w:name w:val="FollowedHyperlink"/>
    <w:basedOn w:val="32"/>
    <w:qFormat/>
    <w:uiPriority w:val="0"/>
    <w:rPr>
      <w:color w:val="333333"/>
      <w:u w:val="none"/>
    </w:rPr>
  </w:style>
  <w:style w:type="character" w:styleId="36">
    <w:name w:val="Emphasis"/>
    <w:basedOn w:val="32"/>
    <w:qFormat/>
    <w:uiPriority w:val="0"/>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qFormat/>
    <w:uiPriority w:val="99"/>
    <w:rPr>
      <w:rFonts w:cs="Times New Roman"/>
      <w:color w:val="0000FF"/>
      <w:u w:val="single"/>
    </w:rPr>
  </w:style>
  <w:style w:type="character" w:styleId="42">
    <w:name w:val="HTML Code"/>
    <w:basedOn w:val="32"/>
    <w:qFormat/>
    <w:uiPriority w:val="0"/>
    <w:rPr>
      <w:rFonts w:hint="default" w:ascii="monospace" w:hAnsi="monospace" w:eastAsia="monospace" w:cs="monospace"/>
      <w:sz w:val="20"/>
    </w:rPr>
  </w:style>
  <w:style w:type="character" w:styleId="43">
    <w:name w:val="HTML Cite"/>
    <w:basedOn w:val="32"/>
    <w:qFormat/>
    <w:uiPriority w:val="0"/>
  </w:style>
  <w:style w:type="character" w:styleId="44">
    <w:name w:val="HTML Keyboard"/>
    <w:basedOn w:val="32"/>
    <w:qFormat/>
    <w:uiPriority w:val="0"/>
    <w:rPr>
      <w:rFonts w:ascii="monospace" w:hAnsi="monospace" w:eastAsia="monospace" w:cs="monospace"/>
      <w:sz w:val="20"/>
    </w:rPr>
  </w:style>
  <w:style w:type="character" w:styleId="45">
    <w:name w:val="HTML Sample"/>
    <w:basedOn w:val="32"/>
    <w:qFormat/>
    <w:uiPriority w:val="0"/>
    <w:rPr>
      <w:rFonts w:hint="default" w:ascii="monospace" w:hAnsi="monospace" w:eastAsia="monospace" w:cs="monospace"/>
    </w:rPr>
  </w:style>
  <w:style w:type="paragraph" w:customStyle="1" w:styleId="46">
    <w:name w:val="index heading1"/>
    <w:basedOn w:val="47"/>
    <w:next w:val="48"/>
    <w:qFormat/>
    <w:uiPriority w:val="0"/>
    <w:rPr>
      <w:rFonts w:ascii="Arial" w:hAnsi="Arial" w:cs="Arial"/>
      <w:b/>
      <w:bCs/>
      <w:sz w:val="32"/>
      <w:szCs w:val="32"/>
    </w:rPr>
  </w:style>
  <w:style w:type="paragraph" w:customStyle="1" w:styleId="47">
    <w:name w:val="正文 New"/>
    <w:next w:val="46"/>
    <w:qFormat/>
    <w:uiPriority w:val="0"/>
    <w:pPr>
      <w:widowControl w:val="0"/>
      <w:jc w:val="both"/>
    </w:pPr>
    <w:rPr>
      <w:rFonts w:ascii="Calibri" w:hAnsi="Calibri" w:eastAsia="宋体" w:cs="Times New Roman"/>
      <w:kern w:val="2"/>
      <w:sz w:val="21"/>
      <w:szCs w:val="24"/>
      <w:lang w:val="en-US" w:eastAsia="zh-CN" w:bidi="ar-SA"/>
    </w:rPr>
  </w:style>
  <w:style w:type="paragraph" w:customStyle="1" w:styleId="48">
    <w:name w:val="index 11"/>
    <w:basedOn w:val="1"/>
    <w:next w:val="1"/>
    <w:qFormat/>
    <w:uiPriority w:val="0"/>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首行缩进"/>
    <w:basedOn w:val="1"/>
    <w:qFormat/>
    <w:uiPriority w:val="0"/>
    <w:pPr>
      <w:ind w:firstLine="480" w:firstLineChars="200"/>
    </w:pPr>
    <w:rPr>
      <w:rFonts w:ascii="Calibri" w:hAnsi="Calibri"/>
    </w:rPr>
  </w:style>
  <w:style w:type="paragraph" w:customStyle="1" w:styleId="5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52">
    <w:name w:val="标题 1 字符"/>
    <w:basedOn w:val="32"/>
    <w:link w:val="3"/>
    <w:qFormat/>
    <w:uiPriority w:val="0"/>
    <w:rPr>
      <w:rFonts w:ascii="Times New Roman" w:hAnsi="Times New Roman" w:eastAsia="黑体" w:cs="Times New Roman"/>
      <w:b/>
      <w:bCs/>
      <w:kern w:val="44"/>
      <w:sz w:val="36"/>
      <w:szCs w:val="44"/>
      <w:lang w:val="en-US" w:eastAsia="zh-CN" w:bidi="ar-SA"/>
    </w:rPr>
  </w:style>
  <w:style w:type="character" w:customStyle="1" w:styleId="53">
    <w:name w:val="标题 2 字符"/>
    <w:basedOn w:val="32"/>
    <w:link w:val="5"/>
    <w:qFormat/>
    <w:uiPriority w:val="1"/>
    <w:rPr>
      <w:rFonts w:ascii="宋体" w:hAnsi="宋体" w:eastAsia="宋体" w:cs="宋体"/>
      <w:b/>
      <w:bCs/>
      <w:color w:val="auto"/>
      <w:sz w:val="30"/>
      <w:szCs w:val="32"/>
      <w:lang w:val="zh-CN" w:bidi="zh-CN"/>
    </w:rPr>
  </w:style>
  <w:style w:type="paragraph" w:customStyle="1" w:styleId="54">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55">
    <w:name w:val="List Paragraph"/>
    <w:basedOn w:val="1"/>
    <w:link w:val="56"/>
    <w:qFormat/>
    <w:uiPriority w:val="1"/>
    <w:pPr>
      <w:ind w:left="778" w:hanging="602"/>
    </w:pPr>
    <w:rPr>
      <w:rFonts w:ascii="宋体" w:hAnsi="宋体" w:cs="宋体"/>
      <w:lang w:val="zh-CN" w:bidi="zh-CN"/>
    </w:rPr>
  </w:style>
  <w:style w:type="character" w:customStyle="1" w:styleId="56">
    <w:name w:val="列表段落 字符"/>
    <w:link w:val="55"/>
    <w:qFormat/>
    <w:uiPriority w:val="1"/>
    <w:rPr>
      <w:rFonts w:ascii="宋体" w:hAnsi="宋体" w:cs="宋体"/>
      <w:lang w:val="zh-CN" w:bidi="zh-CN"/>
    </w:rPr>
  </w:style>
  <w:style w:type="character" w:customStyle="1" w:styleId="57">
    <w:name w:val="正文文本 字符"/>
    <w:link w:val="12"/>
    <w:qFormat/>
    <w:uiPriority w:val="99"/>
    <w:rPr>
      <w:kern w:val="0"/>
      <w:sz w:val="24"/>
    </w:rPr>
  </w:style>
  <w:style w:type="paragraph" w:customStyle="1" w:styleId="58">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59">
    <w:name w:val="缺省文本"/>
    <w:basedOn w:val="1"/>
    <w:qFormat/>
    <w:uiPriority w:val="0"/>
    <w:pPr>
      <w:autoSpaceDE w:val="0"/>
      <w:autoSpaceDN w:val="0"/>
      <w:adjustRightInd w:val="0"/>
      <w:jc w:val="left"/>
    </w:pPr>
    <w:rPr>
      <w:kern w:val="0"/>
      <w:sz w:val="24"/>
    </w:rPr>
  </w:style>
  <w:style w:type="paragraph" w:customStyle="1" w:styleId="60">
    <w:name w:val="正文文本缩进 21"/>
    <w:basedOn w:val="1"/>
    <w:qFormat/>
    <w:uiPriority w:val="0"/>
    <w:pPr>
      <w:spacing w:line="500" w:lineRule="exact"/>
      <w:ind w:firstLine="589" w:firstLineChars="210"/>
    </w:pPr>
    <w:rPr>
      <w:b/>
      <w:sz w:val="28"/>
    </w:rPr>
  </w:style>
  <w:style w:type="character" w:customStyle="1" w:styleId="61">
    <w:name w:val="edui-clickable2"/>
    <w:basedOn w:val="32"/>
    <w:qFormat/>
    <w:uiPriority w:val="0"/>
    <w:rPr>
      <w:color w:val="0000FF"/>
      <w:u w:val="single"/>
    </w:rPr>
  </w:style>
  <w:style w:type="character" w:customStyle="1" w:styleId="62">
    <w:name w:val="edui-unclickable"/>
    <w:basedOn w:val="32"/>
    <w:qFormat/>
    <w:uiPriority w:val="0"/>
    <w:rPr>
      <w:color w:val="808080"/>
    </w:rPr>
  </w:style>
  <w:style w:type="character" w:customStyle="1" w:styleId="63">
    <w:name w:val="layui-layer-tabnow"/>
    <w:basedOn w:val="32"/>
    <w:qFormat/>
    <w:uiPriority w:val="0"/>
    <w:rPr>
      <w:bdr w:val="single" w:color="CCCCCC" w:sz="6" w:space="0"/>
      <w:shd w:val="clear" w:fill="FFFFFF"/>
    </w:rPr>
  </w:style>
  <w:style w:type="character" w:customStyle="1" w:styleId="64">
    <w:name w:val="first-child"/>
    <w:basedOn w:val="32"/>
    <w:qFormat/>
    <w:uiPriority w:val="0"/>
  </w:style>
  <w:style w:type="character" w:customStyle="1" w:styleId="65">
    <w:name w:val="font11"/>
    <w:basedOn w:val="32"/>
    <w:qFormat/>
    <w:uiPriority w:val="0"/>
    <w:rPr>
      <w:rFonts w:hint="eastAsia" w:ascii="宋体" w:hAnsi="宋体" w:eastAsia="宋体" w:cs="宋体"/>
      <w:color w:val="000000"/>
      <w:sz w:val="20"/>
      <w:szCs w:val="20"/>
      <w:u w:val="none"/>
    </w:rPr>
  </w:style>
  <w:style w:type="character" w:customStyle="1" w:styleId="66">
    <w:name w:val="edui-clickable"/>
    <w:basedOn w:val="32"/>
    <w:qFormat/>
    <w:uiPriority w:val="0"/>
    <w:rPr>
      <w:color w:val="0000FF"/>
      <w:u w:val="single"/>
    </w:rPr>
  </w:style>
  <w:style w:type="character" w:customStyle="1" w:styleId="67">
    <w:name w:val="font21"/>
    <w:basedOn w:val="32"/>
    <w:qFormat/>
    <w:uiPriority w:val="0"/>
    <w:rPr>
      <w:rFonts w:hint="eastAsia" w:ascii="宋体" w:hAnsi="宋体" w:eastAsia="宋体" w:cs="宋体"/>
      <w:color w:val="000000"/>
      <w:sz w:val="20"/>
      <w:szCs w:val="20"/>
      <w:u w:val="none"/>
    </w:rPr>
  </w:style>
  <w:style w:type="character" w:customStyle="1" w:styleId="68">
    <w:name w:val="font01"/>
    <w:basedOn w:val="32"/>
    <w:qFormat/>
    <w:uiPriority w:val="0"/>
    <w:rPr>
      <w:rFonts w:hint="eastAsia" w:ascii="宋体" w:hAnsi="宋体" w:eastAsia="宋体" w:cs="宋体"/>
      <w:color w:val="000000"/>
      <w:sz w:val="22"/>
      <w:szCs w:val="22"/>
      <w:u w:val="none"/>
    </w:rPr>
  </w:style>
  <w:style w:type="table" w:customStyle="1" w:styleId="69">
    <w:name w:val="Table Normal"/>
    <w:semiHidden/>
    <w:unhideWhenUsed/>
    <w:qFormat/>
    <w:uiPriority w:val="0"/>
    <w:tblPr>
      <w:tblCellMar>
        <w:top w:w="0" w:type="dxa"/>
        <w:left w:w="0" w:type="dxa"/>
        <w:bottom w:w="0" w:type="dxa"/>
        <w:right w:w="0" w:type="dxa"/>
      </w:tblCellMar>
    </w:tblPr>
  </w:style>
  <w:style w:type="character" w:customStyle="1" w:styleId="70">
    <w:name w:val="font31"/>
    <w:basedOn w:val="32"/>
    <w:qFormat/>
    <w:uiPriority w:val="0"/>
    <w:rPr>
      <w:rFonts w:hint="eastAsia" w:ascii="宋体" w:hAnsi="宋体" w:eastAsia="宋体" w:cs="宋体"/>
      <w:color w:val="000000"/>
      <w:sz w:val="20"/>
      <w:szCs w:val="20"/>
      <w:u w:val="none"/>
    </w:rPr>
  </w:style>
  <w:style w:type="paragraph" w:customStyle="1" w:styleId="71">
    <w:name w:val="正文（缩进）"/>
    <w:basedOn w:val="1"/>
    <w:qFormat/>
    <w:uiPriority w:val="0"/>
    <w:pPr>
      <w:spacing w:beforeLines="50" w:afterLines="50"/>
      <w:ind w:firstLine="48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61"/>
    <customShpInfo spid="_x0000_s2062"/>
    <customShpInfo spid="_x0000_s1026" textRotate="1"/>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131</Pages>
  <Words>61178</Words>
  <Characters>66505</Characters>
  <Lines>395</Lines>
  <Paragraphs>111</Paragraphs>
  <TotalTime>7</TotalTime>
  <ScaleCrop>false</ScaleCrop>
  <LinksUpToDate>false</LinksUpToDate>
  <CharactersWithSpaces>70163</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2020-10-10T13:11:00Z</dcterms:created>
  <dc:creator>NTKO</dc:creator>
  <cp:lastModifiedBy>Administrator</cp:lastModifiedBy>
  <cp:lastPrinted>2022-04-24T00:50:00Z</cp:lastPrinted>
  <dcterms:modified xsi:type="dcterms:W3CDTF">2023-08-08T03:48:46Z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97778143452D48A1A3FC1457715CB82D_13</vt:lpwstr>
  </property>
  <property fmtid="{D5CDD505-2E9C-101B-9397-08002B2CF9AE}" pid="4" name="commondata">
    <vt:lpwstr>eyJoZGlkIjoiYzBjZmEzZmQ2MmMyZDFmOWU1YjcxNzZlNWExNGZkODIifQ==</vt:lpwstr>
  </property>
</Properties>
</file>