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numPr>
          <w:ilvl w:val="0"/>
          <w:numId w:val="0"/>
        </w:numPr>
        <w:kinsoku/>
        <w:overflowPunct/>
        <w:topLinePunct w:val="0"/>
        <w:bidi w:val="0"/>
        <w:spacing w:before="240" w:after="120" w:line="500" w:lineRule="exact"/>
        <w:ind w:leftChars="0"/>
        <w:jc w:val="center"/>
        <w:textAlignment w:val="auto"/>
        <w:rPr>
          <w:rFonts w:hint="eastAsia" w:ascii="黑体" w:hAnsi="黑体"/>
          <w:szCs w:val="32"/>
        </w:rPr>
      </w:pPr>
      <w:bookmarkStart w:id="0" w:name="_Toc13831"/>
      <w:r>
        <w:rPr>
          <w:rFonts w:hint="eastAsia" w:ascii="黑体" w:hAnsi="黑体"/>
          <w:szCs w:val="32"/>
        </w:rPr>
        <w:t>项目服务及商务技术要求</w:t>
      </w:r>
      <w:bookmarkEnd w:id="0"/>
    </w:p>
    <w:p>
      <w:pPr>
        <w:pStyle w:val="4"/>
        <w:pageBreakBefore w:val="0"/>
        <w:numPr>
          <w:ilvl w:val="0"/>
          <w:numId w:val="2"/>
        </w:numPr>
        <w:kinsoku/>
        <w:overflowPunct/>
        <w:topLinePunct w:val="0"/>
        <w:bidi w:val="0"/>
        <w:spacing w:before="0" w:after="0" w:line="500" w:lineRule="exact"/>
        <w:ind w:left="616" w:hanging="616"/>
        <w:jc w:val="left"/>
        <w:textAlignment w:val="auto"/>
        <w:rPr>
          <w:rFonts w:ascii="宋体" w:hAnsi="宋体" w:cs="宋体"/>
          <w:bCs w:val="0"/>
          <w:sz w:val="28"/>
          <w:szCs w:val="28"/>
          <w:lang w:val="zh-CN"/>
        </w:rPr>
      </w:pPr>
      <w:bookmarkStart w:id="1" w:name="_Toc13364"/>
      <w:bookmarkStart w:id="2" w:name="_Toc25379"/>
      <w:r>
        <w:rPr>
          <w:rFonts w:hint="eastAsia" w:ascii="宋体" w:hAnsi="宋体" w:cs="宋体"/>
          <w:bCs w:val="0"/>
          <w:sz w:val="28"/>
          <w:szCs w:val="28"/>
        </w:rPr>
        <w:t>项目概况</w:t>
      </w:r>
      <w:bookmarkEnd w:id="1"/>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宋体" w:hAnsi="宋体" w:cs="宋体"/>
          <w:sz w:val="28"/>
          <w:szCs w:val="28"/>
        </w:rPr>
      </w:pPr>
      <w:r>
        <w:rPr>
          <w:rFonts w:hint="eastAsia" w:ascii="宋体" w:hAnsi="宋体" w:cs="仿宋"/>
          <w:sz w:val="28"/>
          <w:szCs w:val="28"/>
          <w:lang w:val="zh-CN"/>
        </w:rPr>
        <w:t>1.征集内容：</w:t>
      </w:r>
      <w:r>
        <w:rPr>
          <w:rFonts w:hint="eastAsia" w:ascii="宋体" w:hAnsi="宋体" w:cs="宋体"/>
          <w:sz w:val="28"/>
          <w:szCs w:val="28"/>
          <w:lang w:eastAsia="zh-CN"/>
        </w:rPr>
        <w:t>车辆维修和保养服务</w:t>
      </w:r>
      <w:r>
        <w:rPr>
          <w:rFonts w:hint="eastAsia" w:ascii="宋体" w:hAnsi="宋体" w:cs="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宋体" w:hAnsi="宋体" w:cs="仿宋"/>
          <w:sz w:val="28"/>
          <w:szCs w:val="28"/>
          <w:lang w:val="zh-CN"/>
        </w:rPr>
      </w:pPr>
      <w:r>
        <w:rPr>
          <w:rFonts w:hint="eastAsia" w:ascii="宋体" w:hAnsi="宋体" w:cs="仿宋"/>
          <w:sz w:val="28"/>
          <w:szCs w:val="28"/>
          <w:lang w:val="zh-CN"/>
        </w:rPr>
        <w:t>2.服务对象：金昌市市级行政事业单位，以下统称采购人。</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宋体" w:hAnsi="宋体" w:cs="仿宋"/>
          <w:sz w:val="28"/>
          <w:szCs w:val="28"/>
          <w:lang w:val="zh-CN"/>
        </w:rPr>
      </w:pPr>
      <w:r>
        <w:rPr>
          <w:rFonts w:hint="eastAsia" w:ascii="宋体" w:hAnsi="宋体" w:cs="仿宋"/>
          <w:sz w:val="28"/>
          <w:szCs w:val="28"/>
          <w:lang w:val="zh-CN"/>
        </w:rPr>
        <w:t>3.适用范围：依照《甘肃省2023—2024年政府集中采购目录和分散采购限额标准》规定。</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宋体" w:hAnsi="宋体" w:cs="仿宋"/>
          <w:sz w:val="28"/>
          <w:szCs w:val="28"/>
          <w:lang w:val="zh-CN"/>
        </w:rPr>
      </w:pPr>
      <w:r>
        <w:rPr>
          <w:rFonts w:hint="eastAsia" w:ascii="宋体" w:hAnsi="宋体" w:cs="仿宋"/>
          <w:sz w:val="28"/>
          <w:szCs w:val="28"/>
          <w:lang w:val="zh-CN"/>
        </w:rPr>
        <w:t>4.合同履行期限：自封闭式框架协议签订之日起至2024年12月31日。</w:t>
      </w:r>
    </w:p>
    <w:p>
      <w:pPr>
        <w:pStyle w:val="2"/>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宋体" w:hAnsi="宋体" w:eastAsia="仿宋_GB2312" w:cs="仿宋"/>
          <w:b/>
          <w:bCs/>
          <w:spacing w:val="-6"/>
          <w:kern w:val="2"/>
          <w:sz w:val="28"/>
          <w:szCs w:val="28"/>
          <w:lang w:val="en-US" w:eastAsia="zh-CN" w:bidi="ar-SA"/>
        </w:rPr>
      </w:pPr>
      <w:r>
        <w:rPr>
          <w:rFonts w:hint="eastAsia" w:ascii="宋体" w:hAnsi="宋体" w:cs="仿宋"/>
          <w:b/>
          <w:bCs/>
          <w:sz w:val="28"/>
          <w:szCs w:val="28"/>
          <w:lang w:val="en-US" w:eastAsia="zh-CN"/>
        </w:rPr>
        <w:t>5.</w:t>
      </w:r>
      <w:r>
        <w:rPr>
          <w:rFonts w:hint="eastAsia" w:ascii="宋体" w:hAnsi="宋体" w:eastAsia="仿宋_GB2312" w:cs="仿宋"/>
          <w:b/>
          <w:bCs/>
          <w:spacing w:val="-6"/>
          <w:kern w:val="2"/>
          <w:sz w:val="28"/>
          <w:szCs w:val="28"/>
          <w:lang w:val="en-US" w:eastAsia="zh-CN" w:bidi="ar-SA"/>
        </w:rPr>
        <w:t>有下列情况可选择非框架协议入围供应商进行维修：</w:t>
      </w:r>
    </w:p>
    <w:p>
      <w:pPr>
        <w:pStyle w:val="2"/>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1）保险公司负责理赔维修的车辆，可按其规定执行；</w:t>
      </w:r>
    </w:p>
    <w:p>
      <w:pPr>
        <w:pStyle w:val="2"/>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2）新购置的车辆，在保修期内，可到汽车生产厂指定的售后服务网点进行免费维护保养；</w:t>
      </w:r>
    </w:p>
    <w:p>
      <w:pPr>
        <w:pStyle w:val="4"/>
        <w:pageBreakBefore w:val="0"/>
        <w:numPr>
          <w:ilvl w:val="1"/>
          <w:numId w:val="0"/>
        </w:numPr>
        <w:kinsoku/>
        <w:overflowPunct/>
        <w:topLinePunct w:val="0"/>
        <w:bidi w:val="0"/>
        <w:spacing w:before="0" w:after="0" w:line="500" w:lineRule="exact"/>
        <w:ind w:leftChars="0" w:firstLine="538" w:firstLineChars="200"/>
        <w:jc w:val="left"/>
        <w:textAlignment w:val="auto"/>
      </w:pPr>
      <w:r>
        <w:rPr>
          <w:rFonts w:hint="eastAsia" w:ascii="宋体" w:hAnsi="宋体" w:eastAsia="仿宋_GB2312" w:cs="仿宋"/>
          <w:spacing w:val="-6"/>
          <w:kern w:val="2"/>
          <w:sz w:val="28"/>
          <w:szCs w:val="28"/>
          <w:lang w:val="en-US" w:eastAsia="zh-CN" w:bidi="ar-SA"/>
        </w:rPr>
        <w:t>3）在异地发生故障的车辆。</w:t>
      </w:r>
    </w:p>
    <w:p>
      <w:pPr>
        <w:pStyle w:val="4"/>
        <w:pageBreakBefore w:val="0"/>
        <w:numPr>
          <w:ilvl w:val="0"/>
          <w:numId w:val="2"/>
        </w:numPr>
        <w:kinsoku/>
        <w:overflowPunct/>
        <w:topLinePunct w:val="0"/>
        <w:bidi w:val="0"/>
        <w:spacing w:before="0" w:after="0" w:line="500" w:lineRule="exact"/>
        <w:ind w:left="616" w:hanging="616"/>
        <w:jc w:val="left"/>
        <w:textAlignment w:val="auto"/>
      </w:pPr>
      <w:r>
        <w:rPr>
          <w:rFonts w:hint="eastAsia" w:ascii="宋体" w:hAnsi="宋体" w:cs="宋体"/>
          <w:bCs w:val="0"/>
          <w:sz w:val="28"/>
          <w:szCs w:val="28"/>
        </w:rPr>
        <w:t>技术、服务要求</w:t>
      </w:r>
      <w:bookmarkEnd w:id="2"/>
    </w:p>
    <w:tbl>
      <w:tblPr>
        <w:tblStyle w:val="8"/>
        <w:tblW w:w="94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712"/>
        <w:gridCol w:w="7300"/>
        <w:gridCol w:w="475"/>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63" w:type="dxa"/>
            <w:noWrap w:val="0"/>
            <w:vAlign w:val="center"/>
          </w:tcPr>
          <w:p>
            <w:pPr>
              <w:jc w:val="center"/>
              <w:rPr>
                <w:color w:val="000000"/>
                <w:szCs w:val="21"/>
              </w:rPr>
            </w:pPr>
            <w:r>
              <w:rPr>
                <w:rFonts w:hint="eastAsia"/>
                <w:color w:val="000000"/>
                <w:szCs w:val="21"/>
              </w:rPr>
              <w:t>序号</w:t>
            </w:r>
          </w:p>
        </w:tc>
        <w:tc>
          <w:tcPr>
            <w:tcW w:w="712" w:type="dxa"/>
            <w:noWrap w:val="0"/>
            <w:vAlign w:val="center"/>
          </w:tcPr>
          <w:p>
            <w:pPr>
              <w:jc w:val="center"/>
              <w:rPr>
                <w:color w:val="000000"/>
                <w:szCs w:val="21"/>
              </w:rPr>
            </w:pPr>
            <w:r>
              <w:rPr>
                <w:rFonts w:hint="eastAsia"/>
                <w:color w:val="000000"/>
                <w:szCs w:val="21"/>
                <w:lang w:eastAsia="zh-CN"/>
              </w:rPr>
              <w:t>服务</w:t>
            </w:r>
            <w:r>
              <w:rPr>
                <w:rFonts w:hint="eastAsia"/>
                <w:color w:val="000000"/>
                <w:szCs w:val="21"/>
              </w:rPr>
              <w:t>名称</w:t>
            </w:r>
          </w:p>
        </w:tc>
        <w:tc>
          <w:tcPr>
            <w:tcW w:w="7300" w:type="dxa"/>
            <w:noWrap w:val="0"/>
            <w:vAlign w:val="center"/>
          </w:tcPr>
          <w:p>
            <w:pPr>
              <w:jc w:val="center"/>
              <w:rPr>
                <w:color w:val="000000"/>
                <w:szCs w:val="21"/>
              </w:rPr>
            </w:pPr>
            <w:r>
              <w:rPr>
                <w:rFonts w:hint="eastAsia" w:ascii="黑体" w:hAnsi="黑体"/>
                <w:szCs w:val="32"/>
              </w:rPr>
              <w:t>技术</w:t>
            </w:r>
            <w:r>
              <w:rPr>
                <w:rFonts w:hint="eastAsia" w:ascii="黑体" w:hAnsi="黑体"/>
                <w:szCs w:val="32"/>
                <w:lang w:eastAsia="zh-CN"/>
              </w:rPr>
              <w:t>服务</w:t>
            </w:r>
            <w:r>
              <w:rPr>
                <w:rFonts w:hint="eastAsia" w:ascii="黑体" w:hAnsi="黑体"/>
                <w:szCs w:val="32"/>
              </w:rPr>
              <w:t>要求</w:t>
            </w:r>
          </w:p>
        </w:tc>
        <w:tc>
          <w:tcPr>
            <w:tcW w:w="475" w:type="dxa"/>
            <w:noWrap w:val="0"/>
            <w:vAlign w:val="center"/>
          </w:tcPr>
          <w:p>
            <w:pPr>
              <w:jc w:val="center"/>
              <w:rPr>
                <w:rFonts w:hint="eastAsia" w:eastAsia="仿宋_GB2312"/>
                <w:color w:val="000000"/>
                <w:szCs w:val="21"/>
                <w:lang w:eastAsia="zh-CN"/>
              </w:rPr>
            </w:pPr>
            <w:r>
              <w:rPr>
                <w:rFonts w:hint="eastAsia"/>
                <w:color w:val="000000"/>
                <w:szCs w:val="21"/>
                <w:lang w:eastAsia="zh-CN"/>
              </w:rPr>
              <w:t>数量</w:t>
            </w:r>
          </w:p>
        </w:tc>
        <w:tc>
          <w:tcPr>
            <w:tcW w:w="500" w:type="dxa"/>
            <w:noWrap w:val="0"/>
            <w:vAlign w:val="center"/>
          </w:tcPr>
          <w:p>
            <w:pPr>
              <w:jc w:val="center"/>
              <w:rPr>
                <w:rFonts w:hint="eastAsia" w:eastAsia="仿宋_GB2312"/>
                <w:color w:val="000000"/>
                <w:szCs w:val="21"/>
                <w:lang w:eastAsia="zh-CN"/>
              </w:rPr>
            </w:pPr>
            <w:r>
              <w:rPr>
                <w:rFonts w:hint="eastAsia"/>
                <w:color w:val="00000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463" w:type="dxa"/>
            <w:noWrap w:val="0"/>
            <w:vAlign w:val="center"/>
          </w:tcPr>
          <w:p>
            <w:pPr>
              <w:jc w:val="center"/>
              <w:rPr>
                <w:rFonts w:hint="eastAsia" w:eastAsia="仿宋_GB2312"/>
                <w:color w:val="000000"/>
                <w:szCs w:val="21"/>
                <w:lang w:val="en-US" w:eastAsia="zh-CN"/>
              </w:rPr>
            </w:pPr>
            <w:r>
              <w:rPr>
                <w:rFonts w:hint="eastAsia"/>
                <w:color w:val="000000"/>
                <w:szCs w:val="21"/>
                <w:lang w:val="en-US" w:eastAsia="zh-CN"/>
              </w:rPr>
              <w:t>1</w:t>
            </w:r>
          </w:p>
        </w:tc>
        <w:tc>
          <w:tcPr>
            <w:tcW w:w="712" w:type="dxa"/>
            <w:noWrap w:val="0"/>
            <w:vAlign w:val="center"/>
          </w:tcPr>
          <w:p>
            <w:pPr>
              <w:jc w:val="center"/>
              <w:rPr>
                <w:rFonts w:hint="eastAsia"/>
                <w:color w:val="000000"/>
                <w:szCs w:val="21"/>
                <w:lang w:eastAsia="zh-CN"/>
              </w:rPr>
            </w:pPr>
            <w:r>
              <w:rPr>
                <w:rFonts w:hint="eastAsia" w:ascii="黑体" w:hAnsi="黑体"/>
                <w:sz w:val="21"/>
                <w:szCs w:val="24"/>
                <w:lang w:val="en-US" w:eastAsia="zh-CN"/>
              </w:rPr>
              <w:t>车辆维修和保养服务</w:t>
            </w:r>
          </w:p>
        </w:tc>
        <w:tc>
          <w:tcPr>
            <w:tcW w:w="7300" w:type="dxa"/>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技术服务要求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（一）服务内容</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车辆维修和保养服务。</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（二）服务标准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维修企业必须严格遵守《中华人民共和国交通运输行业标准机动车维修服务规范》JT/T816-2011、《交通运输部关于修改&lt;机动车维修管理规定&gt;的决定》（中华人民共和国交通运输部令2021年第18号）等相关规定。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（三）执行标准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所有维修车辆出厂时必须达到《机动车运行安全技术条件》GB7258-2012等国家安全技术标准及车辆维修标准。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（四）技术保障及服务人员要求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1.设施要求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供应商须在金昌市城区内具有以下设施：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（1）接待室（含客户休息室）</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接待室应整洁明亮，明示各类证、照、主修车型、作业项目、工时定额及单价等，并有供客户休息的设施。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（2）停车场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①具有与承修车型、经营规模相适应的合法停车场。不得占用公共用地。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②停车场地面应平整坚实，区域界定标志明显。</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（3）生产厂房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①生产厂房面积≥200m²，能满足仪表工具、专用设备、检测设备、通用设备的工位布置、生产工艺和正常作业，并与其经营业务相适应。</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②生产厂房内设有总成维修间，并设置总成维修所需的工作台、拆装工具、计量器具等。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③生产厂房内设有预检工位，预检工位应有相应的故障诊断、检测设备。</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④自有生产厂房具有产权登记证明；租赁的生产厂房应具有合法且在有效期内的租赁合同，租赁期限</w:t>
            </w:r>
            <w:r>
              <w:rPr>
                <w:rFonts w:hint="eastAsia" w:ascii="仿宋_GB2312" w:hAnsi="仿宋_GB2312" w:cs="仿宋_GB2312"/>
                <w:sz w:val="21"/>
                <w:szCs w:val="24"/>
                <w:lang w:val="en-US" w:eastAsia="zh-CN"/>
              </w:rPr>
              <w:t>不得少于一年</w:t>
            </w:r>
            <w:bookmarkStart w:id="3" w:name="_GoBack"/>
            <w:bookmarkEnd w:id="3"/>
            <w:r>
              <w:rPr>
                <w:rFonts w:hint="eastAsia" w:ascii="仿宋_GB2312" w:hAnsi="仿宋_GB2312" w:eastAsia="仿宋_GB2312" w:cs="仿宋_GB2312"/>
                <w:sz w:val="21"/>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⑤生产厂房地面应平整坚实。</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2.设备要求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（1）供应商应具备维修（保养）的基本设备和专业技术能力。</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（2）各种仪表工具、设备应能满足加工、检测精度的要求和使用要求，并应符合相关国家标准和行业标准的要求。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（3）允许外协的设备，应具有合法且在有效期内的合同书。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3.人员要求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（1）供应商须成立市级行政事业单位车辆维修</w:t>
            </w:r>
            <w:r>
              <w:rPr>
                <w:rFonts w:hint="eastAsia" w:ascii="仿宋_GB2312" w:hAnsi="仿宋_GB2312" w:cs="仿宋_GB2312"/>
                <w:sz w:val="21"/>
                <w:szCs w:val="24"/>
                <w:lang w:val="en-US" w:eastAsia="zh-CN"/>
              </w:rPr>
              <w:t>和保养服务团队</w:t>
            </w:r>
            <w:r>
              <w:rPr>
                <w:rFonts w:hint="eastAsia" w:ascii="仿宋_GB2312" w:hAnsi="仿宋_GB2312" w:eastAsia="仿宋_GB2312" w:cs="仿宋_GB2312"/>
                <w:sz w:val="21"/>
                <w:szCs w:val="24"/>
                <w:lang w:val="en-US" w:eastAsia="zh-CN"/>
              </w:rPr>
              <w:t>，明确服务团队负责人及组成人员。服务团队负责人由供应商单位主要负责人担任，同时指定专人负责信息沟通、工作协调等工作。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（2）服务团队组成人员须包含团队负责人、维修技术负责人、维修质量检验员、维修业务员、维修价格结算员、机修人员、联系人等。维修质量检验员数量应与其经营规模相适应，允许一人多岗，可兼任多职。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（3）响应文件中须提供服务团队人员一览表，列明服务团队人员的姓名、职务、工作职责、联系手机等信息，便于采购人与其进行联络。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（4）框架协议服务期内，供应商</w:t>
            </w:r>
            <w:r>
              <w:rPr>
                <w:rFonts w:hint="eastAsia" w:ascii="仿宋_GB2312" w:hAnsi="仿宋_GB2312" w:cs="仿宋_GB2312"/>
                <w:sz w:val="21"/>
                <w:szCs w:val="24"/>
                <w:lang w:val="en-US" w:eastAsia="zh-CN"/>
              </w:rPr>
              <w:t>服务团队</w:t>
            </w:r>
            <w:r>
              <w:rPr>
                <w:rFonts w:hint="eastAsia" w:ascii="仿宋_GB2312" w:hAnsi="仿宋_GB2312" w:eastAsia="仿宋_GB2312" w:cs="仿宋_GB2312"/>
                <w:sz w:val="21"/>
                <w:szCs w:val="24"/>
                <w:lang w:val="en-US" w:eastAsia="zh-CN"/>
              </w:rPr>
              <w:t>人员原则上不得更换，如出现人员调离等合理原因确需调整的，供应商须向征集人提出书面申请，进行更新调整。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4.安全生产要求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（1）建立并实施与其维修作业内容相适应的安全管理制度和安全保护措施。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（2）制定各类机电设备的安全操作规程，并明示在相应的工位或设备处。</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（3）使用与存储有毒、易燃、易爆物品和粉尘、腐蚀剂、污染物、压力容器等，均应具备相应的安全防护措施和设施。安全防护设施应有明显的警示、禁令标志。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（4）生产厂房和停车场应符合安全生产、消防等各项要求，安全、消防设施的设置地点应明示管理要求和操作规程。</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（5）具有安全生产事故的应急预案。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5.环境保护要求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1）具有废油、废液、废气、废水（以下简称“四废”）、废蓄电池、废轮胎、含石棉废料及有害垃圾等物质集中收集、有效处理和保持环境整洁的环境保护管理制度，并有效执行。有害物质存储区域应界定清楚，必要时应有隔离、控制措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（2）作业环境以及按生产工艺配置的处理“四废”及采光、通风、吸尘、净化、消声等设施，均应符合环境保护的有关规定。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 xml:space="preserve"> 6.消防要求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具备消防设备及管理能力，具有专业的消防栓、专门消防通道、消防池、灭火器、消防制度。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（五）质量要求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1、所采用的零部件、配件等材料必须符合国家或部颁标准和行业标准以及汽车维修相关标准。必须有合法的进货渠道,不得使用假冒伪劣产品或以次充好。经送修单位同意,可以用替代件或旧件的,框架协议入围供应商必须在材料清单中加以注明,否则不得使用旧件。机动车维修配件实行追溯制度，供应商应当记录配件采购、使用信息，查验产品合格证等相关证明，并按规定留存配件来源凭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2、被修车辆达不到规定的质量标准和技术要求的,返修不得再计价收费。车辆竣工出厂执行质量保证期制度,不能低于中华人民共和国交通部所颁布的《交通运输部关于修改&lt;机动车维修管理规定&gt;的决定》（中华人民共和国交通运输部令2021年第18号）的标准(供应商可对此提供更优的方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3、责任保障期限及车辆质量保障按照国家有关部门颁发的最新标准执行。在质量保证期内,因维修质量造成的直接经济损失,由框架协议入围供应商负责。</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4、车辆返修率要控制在 5%以内,并建立汽车维修档案,认真记录车辆维修情况。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（六）经营要求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1、日常运作(接车、维修、交车、结算、投诉、索赔)要做到规范化、制度化,实行定人定岗,严格落实岗位责任制度,形成岗位责任追究制度,促进生产管理活动有秩序地进行。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2、接受委托维修时,维修项目和维修费用(工时费和配件费)都必须由送修单位签名认可,框架协议入围供应商在标价时,应编制维修项目明细表,确保送修单位对维修内容及其细节的知情权。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3、检验人员必须在现场对车辆进行诊断,初步确定维修项目,并要充分征求送修单位的意见。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4、应详细向送修单位说明维修的项目、作业的内容、配件的来源渠道及价格、维修时间和维修费用。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5、工作单上没有的项目,在维修过程中发现某些项目是必须追加的,维修人员应立即告知调度或技术负责人,确认后,在维修前应事先通知送修单位,征得送修单位同意,方能增加费用开始施工,并同时要追加工作单或在原工作单上补项。</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6、维修人员更换配件时,应以旧件换取库房的新件,并向送修单位明确该新件的生产厂家和规格型号,同时旧件应交库房保存,车辆竣工出厂后,旧件应归还送修单位。</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7、汽车竣工出厂后,框架协议入围供应商应建立送修单位档案(包括用户名称、地址、电话、联系人、车牌号、维修资料等),以便今后监督检查、调查和服务。</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8、汽车竣工出厂后,责任保障期限及车辆质量保障按照国家有关部门颁发的最新标准执行。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9、在质量保证期内,因维修质量造成的车辆故障或损坏的,框架协议入围供应商应负责及时返修,由于维修质量问题造成的车辆异常损坏或车辆机件事故的,由框架协议入围供应商负责。</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10、框架协议入围供应商不得以任何借口动用公务车,未经送修单位允许不得将车开出厂试车或作它用。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11、在距离金昌市城区60公里范围内免费提供 24 小时拖车服务。</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12、严格执行在征集响应文件中提出的服务承诺。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13、必须服从相关部门的监督、管理,不得将送修单位的车辆转厂维修,不得代开发票、收取开票费。</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（七）维修材料费结算规则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szCs w:val="32"/>
              </w:rPr>
            </w:pPr>
            <w:r>
              <w:rPr>
                <w:rFonts w:hint="eastAsia" w:ascii="仿宋_GB2312" w:hAnsi="仿宋_GB2312" w:eastAsia="仿宋_GB2312" w:cs="仿宋_GB2312"/>
                <w:sz w:val="21"/>
                <w:szCs w:val="24"/>
                <w:lang w:val="en-US" w:eastAsia="zh-CN"/>
              </w:rPr>
              <w:t>1、供应商提供维修车辆零配件材料的，进货价加价率不得超过20%，采购人可与入围供应商就价格、服务等方面内容进行协商，以获得更大优惠。结算时供应商应向采购人提供相关证明材料。</w:t>
            </w:r>
          </w:p>
        </w:tc>
        <w:tc>
          <w:tcPr>
            <w:tcW w:w="475" w:type="dxa"/>
            <w:noWrap w:val="0"/>
            <w:vAlign w:val="center"/>
          </w:tcPr>
          <w:p>
            <w:pPr>
              <w:jc w:val="center"/>
              <w:rPr>
                <w:rFonts w:hint="eastAsia" w:eastAsia="仿宋_GB2312"/>
                <w:color w:val="000000"/>
                <w:szCs w:val="21"/>
                <w:lang w:val="en-US" w:eastAsia="zh-CN"/>
              </w:rPr>
            </w:pPr>
            <w:r>
              <w:rPr>
                <w:rFonts w:hint="eastAsia"/>
                <w:color w:val="000000"/>
                <w:szCs w:val="21"/>
                <w:lang w:val="en-US" w:eastAsia="zh-CN"/>
              </w:rPr>
              <w:t>1</w:t>
            </w:r>
          </w:p>
        </w:tc>
        <w:tc>
          <w:tcPr>
            <w:tcW w:w="500" w:type="dxa"/>
            <w:noWrap w:val="0"/>
            <w:vAlign w:val="center"/>
          </w:tcPr>
          <w:p>
            <w:pPr>
              <w:jc w:val="center"/>
              <w:rPr>
                <w:rFonts w:hint="eastAsia" w:eastAsia="仿宋_GB2312"/>
                <w:color w:val="000000"/>
                <w:szCs w:val="21"/>
                <w:lang w:val="en-US" w:eastAsia="zh-CN"/>
              </w:rPr>
            </w:pPr>
          </w:p>
        </w:tc>
      </w:tr>
    </w:tbl>
    <w:p/>
    <w:p>
      <w:pPr>
        <w:pStyle w:val="4"/>
        <w:pageBreakBefore w:val="0"/>
        <w:numPr>
          <w:ilvl w:val="0"/>
          <w:numId w:val="2"/>
        </w:numPr>
        <w:kinsoku/>
        <w:overflowPunct/>
        <w:topLinePunct w:val="0"/>
        <w:bidi w:val="0"/>
        <w:spacing w:before="0" w:after="0" w:line="500" w:lineRule="exact"/>
        <w:ind w:left="616" w:hanging="616"/>
        <w:jc w:val="left"/>
        <w:textAlignment w:val="auto"/>
        <w:rPr>
          <w:rFonts w:hint="eastAsia" w:ascii="宋体" w:hAnsi="宋体" w:cs="宋体"/>
          <w:bCs w:val="0"/>
          <w:sz w:val="28"/>
          <w:szCs w:val="28"/>
        </w:rPr>
      </w:pPr>
      <w:r>
        <w:rPr>
          <w:rFonts w:hint="eastAsia" w:ascii="宋体" w:hAnsi="宋体" w:cs="宋体"/>
          <w:bCs w:val="0"/>
          <w:sz w:val="28"/>
          <w:szCs w:val="28"/>
        </w:rPr>
        <w:t>商务要求</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1.合同履行期限：自封闭式框架协议签订之日起至2024年12月31日。</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2.服务交付或者实施的地域范围：采购人指定。</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3.响应报价要求：</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（1）供应商的报价将在框架协议服务期内作为采购人提供车辆维修服务最高限价。</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（2）维修项目工时费</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①维修项目工时费＝维修项目工时费最高限价×维修项目工时费折扣率。</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②维修项目工时费折扣率必须为：60%≤维修项目工时费折扣率≤100% 的某一确定数值，不能为数值区间，否则为无效响应（例如：某项维修项目工时费最高限价为 100 元，维修项目工时费折扣率为 70%，则维修项目工时费为 100*70%=70元）</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③主管部门及相关监督管理部门将不定期对框架协议入围供应商进行抽查，一旦发现框架协议入围供应商未按照本次采购确定的收费标准和规定执行的，将按违约处理。</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④在服务期限内，入围维修企业第一阶段响应时所报的维修项目工时费折扣率为入围维修企业给予金昌市市级行政事业单位车辆维修的最高折扣率，实际执行时，允许采购人向入围维修企业争取更低的折扣率。</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（3）维修费总金额＝维修项目工时费＋维修材料费</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（4）结算规定</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①当没有相应标准的车型时，结算时按相近的车型计算。</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②无相应标准的特殊结构作业项目以及在交通事故中损坏较严重的车辆，维修费用按保险公司或送修单位鉴定后进行结算。</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③维修材料费结算规则：供应商提供维修车辆零配件材料的，进货价加价率不得超过20%，采购人可与入围供应商就价格、服务等方面内容进行协商，以获得更大优惠。结算时供应商应向采购人提供相关证明材料。</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en-US" w:eastAsia="zh-CN" w:bidi="ar-SA"/>
        </w:rPr>
      </w:pPr>
      <w:r>
        <w:rPr>
          <w:rFonts w:hint="eastAsia" w:ascii="宋体" w:hAnsi="宋体" w:eastAsia="仿宋_GB2312" w:cs="仿宋"/>
          <w:spacing w:val="-6"/>
          <w:kern w:val="2"/>
          <w:sz w:val="28"/>
          <w:szCs w:val="28"/>
          <w:lang w:val="en-US" w:eastAsia="zh-CN" w:bidi="ar-SA"/>
        </w:rPr>
        <w:t xml:space="preserve">④如入围维修企业设有分厂（法人属下的分支机构，不具备独立的法人资格和税务登记证书，不含所有挂靠、挂名和联营的单位）的，需详细列明分厂的名称、地址、联系人、电话，分厂开具的发票必须与成交入围维修企业一致。 </w:t>
      </w:r>
    </w:p>
    <w:p>
      <w:pPr>
        <w:pStyle w:val="4"/>
        <w:pageBreakBefore w:val="0"/>
        <w:numPr>
          <w:ilvl w:val="0"/>
          <w:numId w:val="2"/>
        </w:numPr>
        <w:kinsoku/>
        <w:overflowPunct/>
        <w:topLinePunct w:val="0"/>
        <w:bidi w:val="0"/>
        <w:spacing w:before="0" w:after="0" w:line="500" w:lineRule="exact"/>
        <w:ind w:left="616" w:hanging="616"/>
        <w:jc w:val="left"/>
        <w:textAlignment w:val="auto"/>
        <w:rPr>
          <w:rFonts w:hint="eastAsia" w:ascii="宋体" w:hAnsi="宋体" w:cs="宋体"/>
          <w:bCs w:val="0"/>
          <w:sz w:val="28"/>
          <w:szCs w:val="28"/>
          <w:lang w:val="zh-CN" w:eastAsia="zh-CN"/>
        </w:rPr>
      </w:pPr>
      <w:r>
        <w:rPr>
          <w:rFonts w:hint="eastAsia" w:ascii="宋体" w:hAnsi="宋体" w:cs="宋体"/>
          <w:bCs w:val="0"/>
          <w:sz w:val="28"/>
          <w:szCs w:val="28"/>
          <w:lang w:val="en-US" w:eastAsia="zh-CN"/>
        </w:rPr>
        <w:t>其他</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zh-CN" w:eastAsia="zh-CN" w:bidi="ar-SA"/>
        </w:rPr>
      </w:pPr>
      <w:r>
        <w:rPr>
          <w:rFonts w:hint="eastAsia" w:ascii="宋体" w:hAnsi="宋体" w:eastAsia="仿宋_GB2312" w:cs="仿宋"/>
          <w:spacing w:val="-6"/>
          <w:kern w:val="2"/>
          <w:sz w:val="28"/>
          <w:szCs w:val="28"/>
          <w:lang w:val="zh-CN" w:eastAsia="zh-CN" w:bidi="ar-SA"/>
        </w:rPr>
        <w:t>入围产品升级换代规则。框架协议期内，在质量不降低、价格不提高的前提下，入围供应商如出现因产品升级换代，需用新产品替代原入围产品情形时，入围供应商应将调整依据和方案及时书面通知征集人。</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宋体" w:hAnsi="宋体" w:eastAsia="仿宋_GB2312" w:cs="仿宋"/>
          <w:spacing w:val="-6"/>
          <w:kern w:val="2"/>
          <w:sz w:val="28"/>
          <w:szCs w:val="28"/>
          <w:lang w:val="zh-CN" w:eastAsia="zh-CN" w:bidi="ar-SA"/>
        </w:rPr>
      </w:pPr>
      <w:r>
        <w:rPr>
          <w:rFonts w:hint="eastAsia" w:ascii="宋体" w:hAnsi="宋体" w:eastAsia="仿宋_GB2312" w:cs="仿宋"/>
          <w:spacing w:val="-6"/>
          <w:kern w:val="2"/>
          <w:sz w:val="28"/>
          <w:szCs w:val="28"/>
          <w:lang w:val="zh-CN" w:eastAsia="zh-CN" w:bidi="ar-SA"/>
        </w:rPr>
        <w:t>用户反馈和评价机制。征集人将建立用户反馈和评价机制，接受采购人对入围供应商履行框架协议和采购合同情况的反馈与评价，作为采购人第二阶段直接选定成交供应商的参考。</w:t>
      </w:r>
    </w:p>
    <w:p>
      <w:pPr>
        <w:pStyle w:val="2"/>
        <w:rPr>
          <w:rFonts w:hint="eastAsia"/>
          <w:lang w:val="zh-CN" w:eastAsia="zh-CN"/>
        </w:rPr>
      </w:pPr>
    </w:p>
    <w:p>
      <w:pPr>
        <w:pStyle w:val="4"/>
        <w:pageBreakBefore w:val="0"/>
        <w:numPr>
          <w:ilvl w:val="0"/>
          <w:numId w:val="2"/>
        </w:numPr>
        <w:kinsoku/>
        <w:overflowPunct/>
        <w:topLinePunct w:val="0"/>
        <w:bidi w:val="0"/>
        <w:spacing w:before="0" w:after="0" w:line="500" w:lineRule="exact"/>
        <w:ind w:left="616" w:hanging="616"/>
        <w:jc w:val="left"/>
        <w:textAlignment w:val="auto"/>
        <w:rPr>
          <w:rFonts w:hint="eastAsia"/>
          <w:lang w:val="zh-CN" w:eastAsia="zh-CN"/>
        </w:rPr>
      </w:pPr>
      <w:r>
        <w:rPr>
          <w:rFonts w:hint="eastAsia" w:ascii="宋体" w:hAnsi="宋体" w:eastAsia="宋体" w:cs="宋体"/>
          <w:bCs/>
          <w:sz w:val="28"/>
          <w:szCs w:val="28"/>
          <w:lang w:val="zh-CN" w:eastAsia="zh-CN"/>
        </w:rPr>
        <w:t>《金昌市市级行政事业单位车辆维修和保养服务工时费最高限价》</w:t>
      </w:r>
    </w:p>
    <w:p>
      <w:pPr>
        <w:pStyle w:val="4"/>
        <w:pageBreakBefore w:val="0"/>
        <w:numPr>
          <w:ilvl w:val="1"/>
          <w:numId w:val="0"/>
        </w:numPr>
        <w:kinsoku/>
        <w:overflowPunct/>
        <w:topLinePunct w:val="0"/>
        <w:bidi w:val="0"/>
        <w:spacing w:before="0" w:after="0" w:line="500" w:lineRule="exact"/>
        <w:ind w:leftChars="0"/>
        <w:jc w:val="left"/>
        <w:textAlignment w:val="auto"/>
        <w:rPr>
          <w:rFonts w:hint="eastAsia"/>
          <w:lang w:val="zh-CN" w:eastAsia="zh-CN"/>
        </w:rPr>
      </w:pPr>
      <w:r>
        <w:rPr>
          <w:rFonts w:hint="eastAsia" w:ascii="宋体" w:hAnsi="宋体" w:eastAsia="宋体" w:cs="宋体"/>
          <w:bCs/>
          <w:sz w:val="28"/>
          <w:szCs w:val="28"/>
          <w:lang w:val="zh-CN" w:eastAsia="zh-CN"/>
        </w:rPr>
        <w:commentReference w:id="0"/>
      </w:r>
    </w:p>
    <w:tbl>
      <w:tblPr>
        <w:tblStyle w:val="8"/>
        <w:tblpPr w:leftFromText="180" w:rightFromText="180" w:vertAnchor="text" w:horzAnchor="page" w:tblpX="1258" w:tblpY="683"/>
        <w:tblOverlap w:val="never"/>
        <w:tblW w:w="0" w:type="auto"/>
        <w:tblInd w:w="0" w:type="dxa"/>
        <w:tblLayout w:type="fixed"/>
        <w:tblCellMar>
          <w:top w:w="15" w:type="dxa"/>
          <w:left w:w="15" w:type="dxa"/>
          <w:bottom w:w="15" w:type="dxa"/>
          <w:right w:w="15" w:type="dxa"/>
        </w:tblCellMar>
      </w:tblPr>
      <w:tblGrid>
        <w:gridCol w:w="817"/>
        <w:gridCol w:w="753"/>
        <w:gridCol w:w="4340"/>
        <w:gridCol w:w="1020"/>
        <w:gridCol w:w="1215"/>
        <w:gridCol w:w="1125"/>
        <w:gridCol w:w="30"/>
      </w:tblGrid>
      <w:tr>
        <w:tblPrEx>
          <w:tblCellMar>
            <w:top w:w="15" w:type="dxa"/>
            <w:left w:w="15" w:type="dxa"/>
            <w:bottom w:w="15" w:type="dxa"/>
            <w:right w:w="15" w:type="dxa"/>
          </w:tblCellMar>
        </w:tblPrEx>
        <w:trPr>
          <w:gridAfter w:val="1"/>
          <w:wAfter w:w="30" w:type="dxa"/>
          <w:trHeight w:val="306" w:hRule="atLeast"/>
        </w:trPr>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黑体" w:hAnsi="黑体" w:eastAsia="黑体" w:cs="黑体"/>
                <w:bCs/>
                <w:color w:val="000000"/>
                <w:spacing w:val="0"/>
                <w:sz w:val="21"/>
                <w:szCs w:val="24"/>
              </w:rPr>
            </w:pPr>
            <w:r>
              <w:rPr>
                <w:rFonts w:hint="eastAsia" w:ascii="黑体" w:hAnsi="黑体" w:eastAsia="黑体" w:cs="黑体"/>
                <w:bCs/>
                <w:color w:val="000000"/>
                <w:spacing w:val="0"/>
                <w:sz w:val="21"/>
                <w:szCs w:val="24"/>
                <w:lang w:bidi="ar"/>
              </w:rPr>
              <w:t>类别</w:t>
            </w:r>
          </w:p>
        </w:tc>
        <w:tc>
          <w:tcPr>
            <w:tcW w:w="75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黑体" w:hAnsi="黑体" w:eastAsia="黑体" w:cs="黑体"/>
                <w:bCs/>
                <w:color w:val="000000"/>
                <w:spacing w:val="0"/>
                <w:sz w:val="21"/>
                <w:szCs w:val="24"/>
              </w:rPr>
            </w:pPr>
            <w:r>
              <w:rPr>
                <w:rFonts w:hint="eastAsia" w:ascii="黑体" w:hAnsi="黑体" w:eastAsia="黑体" w:cs="黑体"/>
                <w:bCs/>
                <w:color w:val="000000"/>
                <w:spacing w:val="0"/>
                <w:sz w:val="21"/>
                <w:szCs w:val="24"/>
                <w:lang w:bidi="ar"/>
              </w:rPr>
              <w:t>编号</w:t>
            </w:r>
          </w:p>
        </w:tc>
        <w:tc>
          <w:tcPr>
            <w:tcW w:w="434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黑体" w:hAnsi="黑体" w:eastAsia="黑体" w:cs="黑体"/>
                <w:bCs/>
                <w:color w:val="000000"/>
                <w:spacing w:val="0"/>
                <w:sz w:val="21"/>
                <w:szCs w:val="24"/>
              </w:rPr>
            </w:pPr>
            <w:r>
              <w:rPr>
                <w:rFonts w:hint="eastAsia" w:ascii="黑体" w:hAnsi="黑体" w:eastAsia="黑体" w:cs="黑体"/>
                <w:bCs/>
                <w:color w:val="000000"/>
                <w:spacing w:val="0"/>
                <w:sz w:val="21"/>
                <w:szCs w:val="24"/>
                <w:lang w:bidi="ar"/>
              </w:rPr>
              <w:t>维修项目</w:t>
            </w:r>
          </w:p>
        </w:tc>
        <w:tc>
          <w:tcPr>
            <w:tcW w:w="336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黑体" w:hAnsi="黑体" w:eastAsia="黑体" w:cs="黑体"/>
                <w:bCs/>
                <w:color w:val="000000"/>
                <w:spacing w:val="0"/>
                <w:sz w:val="21"/>
                <w:szCs w:val="24"/>
              </w:rPr>
            </w:pPr>
            <w:r>
              <w:rPr>
                <w:rFonts w:hint="eastAsia" w:ascii="黑体" w:hAnsi="黑体" w:eastAsia="黑体" w:cs="黑体"/>
                <w:bCs/>
                <w:color w:val="000000"/>
                <w:spacing w:val="0"/>
                <w:sz w:val="21"/>
                <w:szCs w:val="24"/>
                <w:lang w:bidi="ar"/>
              </w:rPr>
              <w:t>工时费（单位：元）</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bCs/>
                <w:color w:val="000000"/>
                <w:spacing w:val="0"/>
                <w:sz w:val="21"/>
                <w:szCs w:val="24"/>
              </w:rPr>
            </w:pPr>
          </w:p>
        </w:tc>
        <w:tc>
          <w:tcPr>
            <w:tcW w:w="75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bCs/>
                <w:color w:val="000000"/>
                <w:spacing w:val="0"/>
                <w:sz w:val="21"/>
                <w:szCs w:val="24"/>
              </w:rPr>
            </w:pPr>
          </w:p>
        </w:tc>
        <w:tc>
          <w:tcPr>
            <w:tcW w:w="43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bCs/>
                <w:color w:val="000000"/>
                <w:spacing w:val="0"/>
                <w:sz w:val="21"/>
                <w:szCs w:val="24"/>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黑体" w:hAnsi="黑体" w:eastAsia="黑体" w:cs="黑体"/>
                <w:bCs/>
                <w:color w:val="000000"/>
                <w:spacing w:val="0"/>
                <w:sz w:val="21"/>
                <w:szCs w:val="24"/>
              </w:rPr>
            </w:pPr>
            <w:r>
              <w:rPr>
                <w:rFonts w:hint="eastAsia" w:ascii="黑体" w:hAnsi="黑体" w:eastAsia="黑体" w:cs="黑体"/>
                <w:bCs/>
                <w:color w:val="000000"/>
                <w:spacing w:val="0"/>
                <w:sz w:val="21"/>
                <w:szCs w:val="24"/>
                <w:lang w:bidi="ar"/>
              </w:rPr>
              <w:t>3.0L以上</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黑体" w:hAnsi="黑体" w:eastAsia="黑体" w:cs="黑体"/>
                <w:bCs/>
                <w:color w:val="000000"/>
                <w:spacing w:val="0"/>
                <w:sz w:val="21"/>
                <w:szCs w:val="24"/>
              </w:rPr>
            </w:pPr>
            <w:r>
              <w:rPr>
                <w:rFonts w:hint="eastAsia" w:ascii="黑体" w:hAnsi="黑体" w:eastAsia="黑体" w:cs="黑体"/>
                <w:bCs/>
                <w:color w:val="000000"/>
                <w:spacing w:val="0"/>
                <w:sz w:val="21"/>
                <w:szCs w:val="24"/>
                <w:lang w:bidi="ar"/>
              </w:rPr>
              <w:t>1.8L-3.0L</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黑体" w:hAnsi="黑体" w:eastAsia="黑体" w:cs="黑体"/>
                <w:bCs/>
                <w:color w:val="000000"/>
                <w:spacing w:val="0"/>
                <w:sz w:val="21"/>
                <w:szCs w:val="24"/>
              </w:rPr>
            </w:pPr>
            <w:r>
              <w:rPr>
                <w:rFonts w:hint="eastAsia" w:ascii="黑体" w:hAnsi="黑体" w:eastAsia="黑体" w:cs="黑体"/>
                <w:bCs/>
                <w:color w:val="000000"/>
                <w:spacing w:val="0"/>
                <w:sz w:val="21"/>
                <w:szCs w:val="24"/>
                <w:lang w:bidi="ar"/>
              </w:rPr>
              <w:t>1.8L以下</w:t>
            </w:r>
          </w:p>
        </w:tc>
      </w:tr>
      <w:tr>
        <w:tblPrEx>
          <w:tblCellMar>
            <w:top w:w="15" w:type="dxa"/>
            <w:left w:w="15" w:type="dxa"/>
            <w:bottom w:w="15" w:type="dxa"/>
            <w:right w:w="15" w:type="dxa"/>
          </w:tblCellMar>
        </w:tblPrEx>
        <w:trPr>
          <w:gridAfter w:val="1"/>
          <w:wAfter w:w="30" w:type="dxa"/>
          <w:trHeight w:val="306" w:hRule="atLeast"/>
        </w:trPr>
        <w:tc>
          <w:tcPr>
            <w:tcW w:w="9270"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维修项目1</w:t>
            </w:r>
          </w:p>
        </w:tc>
      </w:tr>
      <w:tr>
        <w:tblPrEx>
          <w:tblCellMar>
            <w:top w:w="15" w:type="dxa"/>
            <w:left w:w="15" w:type="dxa"/>
            <w:bottom w:w="15" w:type="dxa"/>
            <w:right w:w="15" w:type="dxa"/>
          </w:tblCellMar>
        </w:tblPrEx>
        <w:trPr>
          <w:gridAfter w:val="1"/>
          <w:wAfter w:w="30" w:type="dxa"/>
          <w:trHeight w:val="306" w:hRule="atLeast"/>
        </w:trPr>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整</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车</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保</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养</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一级维护</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65</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二级维护</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355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298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10000公里级定期保养</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102</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更换机油，机油滤清器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26</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更换波箱油（手动）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保养四轮刹车</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162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121</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保养冷却系统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43</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保养空调系统（不含加注雪种）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52</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保养方向系统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61</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清洗发动机外表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65</w:t>
            </w:r>
          </w:p>
        </w:tc>
      </w:tr>
      <w:tr>
        <w:tblPrEx>
          <w:tblCellMar>
            <w:top w:w="15" w:type="dxa"/>
            <w:left w:w="15" w:type="dxa"/>
            <w:bottom w:w="15" w:type="dxa"/>
            <w:right w:w="15" w:type="dxa"/>
          </w:tblCellMar>
        </w:tblPrEx>
        <w:trPr>
          <w:gridAfter w:val="1"/>
          <w:wAfter w:w="30" w:type="dxa"/>
          <w:trHeight w:val="306" w:hRule="atLeast"/>
        </w:trPr>
        <w:tc>
          <w:tcPr>
            <w:tcW w:w="9270"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维修项目2</w:t>
            </w:r>
          </w:p>
        </w:tc>
      </w:tr>
      <w:tr>
        <w:tblPrEx>
          <w:tblCellMar>
            <w:top w:w="15" w:type="dxa"/>
            <w:left w:w="15" w:type="dxa"/>
            <w:bottom w:w="15" w:type="dxa"/>
            <w:right w:w="15" w:type="dxa"/>
          </w:tblCellMar>
        </w:tblPrEx>
        <w:trPr>
          <w:gridAfter w:val="1"/>
          <w:wAfter w:w="30" w:type="dxa"/>
          <w:trHeight w:val="306" w:hRule="atLeast"/>
        </w:trPr>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发</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动</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机</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发动机大修（含吊装发动机）</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3126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2284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1722</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吊装发动机总成</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1090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876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667</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清洗、调校喷油嘴（全车套）及节气门（4缸）</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442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334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251</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清洗、调校喷油嘴（全车套）及节气门（6缸）</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535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422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294</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更换节气门阀体</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66</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检修发动机燃油喷射系统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342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281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更换汽油泵（电动泵）</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124</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拆装燃油箱</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180</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更换防冻液</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35</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更换水泵及防冻液</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403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297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169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拆装水箱</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232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106</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更换冷却风扇马达</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167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86</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拆装油底壳（不含吊装发动机）</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91</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更换曲轴后油封（含拆装波箱）</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505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369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315</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更换曲轴前油封（不含吊装发动机）</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265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151</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拆装、更换排气管前段</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122</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拆装、更换排气管第二段</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160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86</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拆装、更换排气管第三段</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77</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拆装、更换排气管尾段</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54</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拆装或更换空滤器总成</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更换方向泵皮带</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更换发电机皮带</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更换空调皮带</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51</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更换正时皮带，调整配气正时</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381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294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182</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更换汽缸垫（4缸）</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392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187</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更换汽缸垫（6缸）</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665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239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拆装气门室盖</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160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71</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更换油门拉线</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42</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检修起动机</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230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检修发电机</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231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检查、更换分火线，分火头及分火盖</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232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更换节温器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61</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233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更换起动机总成</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234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更换发电机总成</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76</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235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更换发动机缸盖（4缸）</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638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540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401</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236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更换发动机缸盖（6缸）</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850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566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389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237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更换机油泵总成（不含吊装发动机）</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360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284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168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238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更换曲轴皮带轮</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163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239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检修汽油泵</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清洗燃油箱</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154</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更换发动机全套活塞环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1360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1110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903</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更换连杆轴承</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645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522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419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检修空气压缩机</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155</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换机油感应器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检修离合器液压总泵</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85</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检修全车灯光信号</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40</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免拆清洗引擎油路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76</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更换正时齿轮</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289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192</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检修气门漏气（4缸）</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401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280</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检修气门漏气（6缸）</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449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351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288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清洗更换燃油滤清器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52</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更换火花塞</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47</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检修正时皮带异响或漏油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146</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镶气门座（个）</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161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发动机电脑检测</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76</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检修曲轴通风装置</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更换油箱</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187</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铲发动机积碳（4缸）</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521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435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358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铲发动机积碳（6缸）</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838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649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535</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260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清洗喷嘴（支）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60</w:t>
            </w:r>
          </w:p>
        </w:tc>
      </w:tr>
      <w:tr>
        <w:tblPrEx>
          <w:tblCellMar>
            <w:top w:w="15" w:type="dxa"/>
            <w:left w:w="15" w:type="dxa"/>
            <w:bottom w:w="15" w:type="dxa"/>
            <w:right w:w="15" w:type="dxa"/>
          </w:tblCellMar>
        </w:tblPrEx>
        <w:trPr>
          <w:gridAfter w:val="1"/>
          <w:wAfter w:w="30" w:type="dxa"/>
          <w:trHeight w:val="306" w:hRule="atLeast"/>
        </w:trPr>
        <w:tc>
          <w:tcPr>
            <w:tcW w:w="9270"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维修项目3</w:t>
            </w:r>
          </w:p>
        </w:tc>
      </w:tr>
      <w:tr>
        <w:tblPrEx>
          <w:tblCellMar>
            <w:top w:w="15" w:type="dxa"/>
            <w:left w:w="15" w:type="dxa"/>
            <w:bottom w:w="15" w:type="dxa"/>
            <w:right w:w="15" w:type="dxa"/>
          </w:tblCellMar>
        </w:tblPrEx>
        <w:trPr>
          <w:gridAfter w:val="1"/>
          <w:wAfter w:w="30" w:type="dxa"/>
          <w:trHeight w:val="306" w:hRule="atLeast"/>
        </w:trPr>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传</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动</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系</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统</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更换离合器片</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464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410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320</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维修或保养离合器总泵</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95</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维修或保养离合器分泵</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54</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分解、修理差速器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592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524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434</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分解、修理自动变速箱</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1838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1706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1287</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分解、修理手动变速箱</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1023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756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607</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拆装变速箱总成</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507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430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322</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拆装波箱油底壳</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90</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更换前驱动半轴（单边）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77</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更换半轴外球笼（单边）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更换半轴内球笼（单边）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更换半轴防尘套、保养球笼（单边）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84</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换传动轴中间轴承或油封</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95</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拆装后桥</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466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376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239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调教离合器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换差速器油封</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72</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换半轴油封（单边）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87</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检修变速箱操纵机构</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更换变速箱前油封</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369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330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310</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更换变速箱后油封</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60</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更换轮胎动平衡动力（条）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调教手刹车</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34</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更换变速杆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70</w:t>
            </w:r>
          </w:p>
        </w:tc>
      </w:tr>
      <w:tr>
        <w:tblPrEx>
          <w:tblCellMar>
            <w:top w:w="15" w:type="dxa"/>
            <w:left w:w="15" w:type="dxa"/>
            <w:bottom w:w="15" w:type="dxa"/>
            <w:right w:w="15" w:type="dxa"/>
          </w:tblCellMar>
        </w:tblPrEx>
        <w:trPr>
          <w:gridAfter w:val="1"/>
          <w:wAfter w:w="30" w:type="dxa"/>
          <w:trHeight w:val="306" w:hRule="atLeast"/>
        </w:trPr>
        <w:tc>
          <w:tcPr>
            <w:tcW w:w="9270"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维修项目4</w:t>
            </w:r>
          </w:p>
        </w:tc>
      </w:tr>
      <w:tr>
        <w:tblPrEx>
          <w:tblCellMar>
            <w:top w:w="15" w:type="dxa"/>
            <w:left w:w="15" w:type="dxa"/>
            <w:bottom w:w="15" w:type="dxa"/>
            <w:right w:w="15" w:type="dxa"/>
          </w:tblCellMar>
        </w:tblPrEx>
        <w:trPr>
          <w:gridAfter w:val="1"/>
          <w:wAfter w:w="30" w:type="dxa"/>
          <w:trHeight w:val="306" w:hRule="atLeast"/>
        </w:trPr>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悬</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挂</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系</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统</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401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前独立悬挂方向解体、维修（单边）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123</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402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后独立悬挂方向解体、维修（单边）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123</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403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更换前减震器（支）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404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更换后减震器（支）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405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拆装或更换转向节（单边）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104</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406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拆装前轮轴承（单边）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86</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407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拆装后轮轴承（单边）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76</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408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平衡轮胎（条）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409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更换轮胎、平衡轮胎（四轮）</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410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更换钢圈、平衡轮胎（四轮）</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411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更换发动机前横梁</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113</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412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更换发动机后横梁</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161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105</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413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更换前桥</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423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361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278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414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更换后桥</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417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355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271</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415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更换前轮油封（轮）</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57</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416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更换后轮油封（轮）</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53</w:t>
            </w:r>
          </w:p>
        </w:tc>
      </w:tr>
      <w:tr>
        <w:tblPrEx>
          <w:tblCellMar>
            <w:top w:w="15" w:type="dxa"/>
            <w:left w:w="15" w:type="dxa"/>
            <w:bottom w:w="15" w:type="dxa"/>
            <w:right w:w="15" w:type="dxa"/>
          </w:tblCellMar>
        </w:tblPrEx>
        <w:trPr>
          <w:gridAfter w:val="1"/>
          <w:wAfter w:w="30" w:type="dxa"/>
          <w:trHeight w:val="306" w:hRule="atLeast"/>
        </w:trPr>
        <w:tc>
          <w:tcPr>
            <w:tcW w:w="9270"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维修项目5</w:t>
            </w:r>
          </w:p>
        </w:tc>
      </w:tr>
      <w:tr>
        <w:tblPrEx>
          <w:tblCellMar>
            <w:top w:w="15" w:type="dxa"/>
            <w:left w:w="15" w:type="dxa"/>
            <w:bottom w:w="15" w:type="dxa"/>
            <w:right w:w="15" w:type="dxa"/>
          </w:tblCellMar>
        </w:tblPrEx>
        <w:trPr>
          <w:gridAfter w:val="1"/>
          <w:wAfter w:w="30" w:type="dxa"/>
          <w:trHeight w:val="306" w:hRule="atLeast"/>
        </w:trPr>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制</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动</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系</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统</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501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更换前制动片</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62</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502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更换后制动片（碟刹）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503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更换后制动蹄（鼓刹）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504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更换手刹片</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77</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505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更换后制动鼓</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63</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506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更换前制动盘</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507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更换后制动盘</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508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更换制动踏板</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509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镗制动鼓（个）</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64</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510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检修制动总泵</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166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511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更换制动总泵</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117</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512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检修制动分泵（碟）（个）</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71</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513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更换制动分泵（碟）（个）</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67</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514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更换真空助力器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134</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515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更换ABS执行器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181</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516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更换车轮制动软管（条）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44</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517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更换全车手刹拉线</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518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调整手拉杆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519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调校四轮刹车（含放空气）</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520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更换刹车油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66</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521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 xml:space="preserve">检修ABS系统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136</w:t>
            </w:r>
          </w:p>
        </w:tc>
      </w:tr>
      <w:tr>
        <w:tblPrEx>
          <w:tblCellMar>
            <w:top w:w="15" w:type="dxa"/>
            <w:left w:w="15" w:type="dxa"/>
            <w:bottom w:w="15" w:type="dxa"/>
            <w:right w:w="15" w:type="dxa"/>
          </w:tblCellMar>
        </w:tblPrEx>
        <w:trPr>
          <w:gridAfter w:val="1"/>
          <w:wAfter w:w="30" w:type="dxa"/>
          <w:trHeight w:val="306" w:hRule="atLeast"/>
        </w:trPr>
        <w:tc>
          <w:tcPr>
            <w:tcW w:w="9270"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维修项目6</w:t>
            </w:r>
          </w:p>
        </w:tc>
      </w:tr>
      <w:tr>
        <w:tblPrEx>
          <w:tblCellMar>
            <w:top w:w="15" w:type="dxa"/>
            <w:left w:w="15" w:type="dxa"/>
            <w:bottom w:w="15" w:type="dxa"/>
            <w:right w:w="15" w:type="dxa"/>
          </w:tblCellMar>
        </w:tblPrEx>
        <w:trPr>
          <w:gridAfter w:val="1"/>
          <w:wAfter w:w="30" w:type="dxa"/>
          <w:trHeight w:val="306" w:hRule="atLeast"/>
        </w:trPr>
        <w:tc>
          <w:tcPr>
            <w:tcW w:w="817" w:type="dxa"/>
            <w:vMerge w:val="restart"/>
            <w:tcBorders>
              <w:top w:val="single" w:color="000000" w:sz="4" w:space="0"/>
              <w:left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转</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向</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系</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统</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601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四轮定位检测、调整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602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前束检测、调整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96</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603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拆装调整方向盘</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26</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604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更换方向机油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605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更换方向盘</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36</w:t>
            </w:r>
          </w:p>
        </w:tc>
      </w:tr>
      <w:tr>
        <w:tblPrEx>
          <w:tblCellMar>
            <w:top w:w="15" w:type="dxa"/>
            <w:left w:w="15" w:type="dxa"/>
            <w:bottom w:w="15" w:type="dxa"/>
            <w:right w:w="15" w:type="dxa"/>
          </w:tblCellMar>
        </w:tblPrEx>
        <w:trPr>
          <w:gridAfter w:val="1"/>
          <w:wAfter w:w="30" w:type="dxa"/>
          <w:trHeight w:val="306" w:hRule="atLeast"/>
        </w:trPr>
        <w:tc>
          <w:tcPr>
            <w:tcW w:w="9270"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维修项目7</w:t>
            </w:r>
          </w:p>
        </w:tc>
      </w:tr>
      <w:tr>
        <w:tblPrEx>
          <w:tblCellMar>
            <w:top w:w="15" w:type="dxa"/>
            <w:left w:w="15" w:type="dxa"/>
            <w:bottom w:w="15" w:type="dxa"/>
            <w:right w:w="15" w:type="dxa"/>
          </w:tblCellMar>
        </w:tblPrEx>
        <w:trPr>
          <w:gridAfter w:val="1"/>
          <w:wAfter w:w="30" w:type="dxa"/>
          <w:trHeight w:val="306" w:hRule="atLeast"/>
        </w:trPr>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空</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调</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系</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统</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701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更换电磁离合器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107</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702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更换压缩机</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703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更换冷凝器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141</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704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清洁或更换蒸发器（不含拆装仪表台）</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135</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705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拆装空调鼓风机（不含拆装仪表台）</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116</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706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拆装空调进气滤网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707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检修电子扇电路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80</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708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检修空调电路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161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709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空调系统大修（单蒸发器）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426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359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302</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710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空调系统大修（双蒸发器）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528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439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328</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711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更换空调保险阀</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72</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712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检修空调电路（自动）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159</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713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检修暖气系统（不含拆装仪表台）</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231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184</w:t>
            </w:r>
          </w:p>
        </w:tc>
      </w:tr>
      <w:tr>
        <w:tblPrEx>
          <w:tblCellMar>
            <w:top w:w="15" w:type="dxa"/>
            <w:left w:w="15" w:type="dxa"/>
            <w:bottom w:w="15" w:type="dxa"/>
            <w:right w:w="15" w:type="dxa"/>
          </w:tblCellMar>
        </w:tblPrEx>
        <w:trPr>
          <w:gridAfter w:val="1"/>
          <w:wAfter w:w="30" w:type="dxa"/>
          <w:trHeight w:val="306" w:hRule="atLeast"/>
        </w:trPr>
        <w:tc>
          <w:tcPr>
            <w:tcW w:w="9270"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维修项目8</w:t>
            </w:r>
          </w:p>
        </w:tc>
      </w:tr>
      <w:tr>
        <w:tblPrEx>
          <w:tblCellMar>
            <w:top w:w="15" w:type="dxa"/>
            <w:left w:w="15" w:type="dxa"/>
            <w:bottom w:w="15" w:type="dxa"/>
            <w:right w:w="15" w:type="dxa"/>
          </w:tblCellMar>
        </w:tblPrEx>
        <w:trPr>
          <w:gridAfter w:val="1"/>
          <w:wAfter w:w="30" w:type="dxa"/>
          <w:trHeight w:val="306" w:hRule="atLeast"/>
        </w:trPr>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电</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器</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系</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统</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801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检修里程表线路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91</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802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检修水温表线路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80</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803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检修转速表线路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83</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804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检修燃油表线路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113</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805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检修机油压力线路（机油灯亮）</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97</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806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检修充电指示灯线路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87</w:t>
            </w:r>
          </w:p>
        </w:tc>
      </w:tr>
      <w:tr>
        <w:tblPrEx>
          <w:tblCellMar>
            <w:top w:w="15" w:type="dxa"/>
            <w:left w:w="15" w:type="dxa"/>
            <w:bottom w:w="15" w:type="dxa"/>
            <w:right w:w="15" w:type="dxa"/>
          </w:tblCellMar>
        </w:tblPrEx>
        <w:trPr>
          <w:gridAfter w:val="1"/>
          <w:wAfter w:w="30" w:type="dxa"/>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807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检修全车灯光线路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176</w:t>
            </w:r>
          </w:p>
        </w:tc>
      </w:tr>
      <w:tr>
        <w:tblPrEx>
          <w:tblCellMar>
            <w:top w:w="15" w:type="dxa"/>
            <w:left w:w="15" w:type="dxa"/>
            <w:bottom w:w="15" w:type="dxa"/>
            <w:right w:w="15" w:type="dxa"/>
          </w:tblCellMar>
        </w:tblPrEx>
        <w:trPr>
          <w:trHeight w:val="306" w:hRule="atLeast"/>
        </w:trPr>
        <w:tc>
          <w:tcPr>
            <w:tcW w:w="817"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808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调整大灯位置及光轴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53</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38</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809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拆修雨刮连杆机构（不含拆装仪表台）</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169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143</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111</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810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检修雨刮喷水机构</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82</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53</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811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更换雨刮喷水壶或喷水电机</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85</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59</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812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更换天线总成</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92</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70</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813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更换电池</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814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更换前门升降器或马达（单门）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114</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78</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815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更换后门升降器或马达（单门）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114</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78</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816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更换前大灯或大灯座（只）</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84</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63</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817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更换前角灯（只）</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28</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818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更换后尾灯（只）</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819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更换后高位制动灯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52</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36</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820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更换前保险杠灯（只）</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47</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23</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821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拆装修天窗机构（含拆装天花内饰板）</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568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443</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296</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822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更换天窗开关</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52</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45</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823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检修防盗系统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294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245</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206</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824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检修电动后视镜及电路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126</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101</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825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更换仪表板照明灯泡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117</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84</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826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全车线路大修</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1215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1019</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872</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827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检修、清除气囊故障</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189</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171</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828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更换室内倒车镜</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27</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829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更换刮雨马达（不含拆装仪表台）</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95</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81</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830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换继电器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831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换保险盒（不含线束更换）</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124</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102</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832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检修电子防盗器故障</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257</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215</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833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油门控制故障</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121</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92</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834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检修车速传感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102</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76</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835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检修巡航控制系统电路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262</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211</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836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更换外把手</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46</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34</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837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更换四挡泥板</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28</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26</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838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检修电动车窗电路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161</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126</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839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检修中央门锁</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173</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148</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840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更换刹车油量感应器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47</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29</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841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拆检尾门锁灯开关总成</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60</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46</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842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检修SRS装置</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197</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181</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843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检修自动波外控电器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200</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158</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844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检修液压方向机电子控制系统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180</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149</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845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检修自动防撞系统（仪表台）</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289</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219</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846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检修CD收放机外接电路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157</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138</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847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更换雨刮臂</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w:t>
            </w:r>
          </w:p>
        </w:tc>
      </w:tr>
      <w:tr>
        <w:tblPrEx>
          <w:tblCellMar>
            <w:top w:w="15" w:type="dxa"/>
            <w:left w:w="15" w:type="dxa"/>
            <w:bottom w:w="15" w:type="dxa"/>
            <w:right w:w="15" w:type="dxa"/>
          </w:tblCellMar>
        </w:tblPrEx>
        <w:trPr>
          <w:trHeight w:val="306" w:hRule="atLeast"/>
        </w:trPr>
        <w:tc>
          <w:tcPr>
            <w:tcW w:w="9300"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维修项目9</w:t>
            </w:r>
          </w:p>
        </w:tc>
      </w:tr>
      <w:tr>
        <w:tblPrEx>
          <w:tblCellMar>
            <w:top w:w="15" w:type="dxa"/>
            <w:left w:w="15" w:type="dxa"/>
            <w:bottom w:w="15" w:type="dxa"/>
            <w:right w:w="15" w:type="dxa"/>
          </w:tblCellMar>
        </w:tblPrEx>
        <w:trPr>
          <w:trHeight w:val="306" w:hRule="atLeast"/>
        </w:trPr>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车</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身</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部</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分</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901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更换前或后挡风玻璃</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238</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154</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902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更换倒车镜（单边）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73</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51</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903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更换前翼子板（单边）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159</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122</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904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更换后翼子板（单边）（含拆除后杠、后档等相关附件）</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887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799</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594</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905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更换前车门（个）（含相关附件拆装）</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288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245</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191</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906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更换前门玻璃（含相关附件拆装）</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169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139</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90</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907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更换前门锁机并调整（个）</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106</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79</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908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更换后门锁机并调整（个）</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106</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77</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909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更换门锁驱动器（个）</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99</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67</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910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更换后门玻璃（件）</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124</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82</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911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更换行李箱盖</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183</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134</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912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更换前保险杠</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139</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106</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913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更换后保险杠</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138</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107</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914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修复校正大梁（不含拆装其他附件）</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1036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987</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857</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915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更换车门外拉手</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65</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39</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916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更换车门内拉手</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83</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71</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46</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917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更换车门限位器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68</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79</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918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更换后车门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162</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137</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919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更换前大灯（个）</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67</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49</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920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单门修复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192</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172</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921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前杠修复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170</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137</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922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前叶子板修复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176</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151</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923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引擎盖修复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253</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219</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924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后箱盖修复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259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241</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215</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925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修玻璃升降器手动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74</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65</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926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修玻璃升降器电动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125</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98</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927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换单门锁芯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60</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46</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928</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换尾箱盖锁</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75</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56</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929</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换引擎盖锁</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67</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46</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930</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更换尾门撑杆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67</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56</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931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检修排气管、消声器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85</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69</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932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车身大修</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1855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1929</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1804</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933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修复后保险杠</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166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141</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132</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934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调校车门（个）</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58</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47</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935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调校尾门</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72</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67</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54</w:t>
            </w:r>
          </w:p>
        </w:tc>
      </w:tr>
      <w:tr>
        <w:tblPrEx>
          <w:tblCellMar>
            <w:top w:w="15" w:type="dxa"/>
            <w:left w:w="15" w:type="dxa"/>
            <w:bottom w:w="15" w:type="dxa"/>
            <w:right w:w="15" w:type="dxa"/>
          </w:tblCellMar>
        </w:tblPrEx>
        <w:trPr>
          <w:trHeight w:val="306" w:hRule="atLeast"/>
        </w:trPr>
        <w:tc>
          <w:tcPr>
            <w:tcW w:w="9300"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维修项目10</w:t>
            </w:r>
          </w:p>
        </w:tc>
      </w:tr>
      <w:tr>
        <w:tblPrEx>
          <w:tblCellMar>
            <w:top w:w="15" w:type="dxa"/>
            <w:left w:w="15" w:type="dxa"/>
            <w:bottom w:w="15" w:type="dxa"/>
            <w:right w:w="15" w:type="dxa"/>
          </w:tblCellMar>
        </w:tblPrEx>
        <w:trPr>
          <w:trHeight w:val="306" w:hRule="atLeast"/>
        </w:trPr>
        <w:tc>
          <w:tcPr>
            <w:tcW w:w="817" w:type="dxa"/>
            <w:vMerge w:val="restart"/>
            <w:tcBorders>
              <w:top w:val="single" w:color="000000" w:sz="4" w:space="0"/>
              <w:left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钣</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金</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1001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更换一个面</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210</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200</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1002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修复一个面</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220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210</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200</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1013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更换左前大梁</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1010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949</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848</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1014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更换右前大梁</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990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929</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826</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1022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修复前大梁（后）</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656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622</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557</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1023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修复前、后大梁</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1230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1174</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1074</w:t>
            </w:r>
          </w:p>
        </w:tc>
      </w:tr>
      <w:tr>
        <w:tblPrEx>
          <w:tblCellMar>
            <w:top w:w="15" w:type="dxa"/>
            <w:left w:w="15" w:type="dxa"/>
            <w:bottom w:w="15" w:type="dxa"/>
            <w:right w:w="15" w:type="dxa"/>
          </w:tblCellMar>
        </w:tblPrEx>
        <w:trPr>
          <w:trHeight w:val="306" w:hRule="atLeast"/>
        </w:trPr>
        <w:tc>
          <w:tcPr>
            <w:tcW w:w="9300"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维修项目11</w:t>
            </w:r>
          </w:p>
        </w:tc>
      </w:tr>
      <w:tr>
        <w:tblPrEx>
          <w:tblCellMar>
            <w:top w:w="15" w:type="dxa"/>
            <w:left w:w="15" w:type="dxa"/>
            <w:bottom w:w="15" w:type="dxa"/>
            <w:right w:w="15" w:type="dxa"/>
          </w:tblCellMar>
        </w:tblPrEx>
        <w:trPr>
          <w:trHeight w:val="306" w:hRule="atLeast"/>
        </w:trPr>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烤</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漆</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及</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美</w:t>
            </w:r>
            <w:r>
              <w:rPr>
                <w:rFonts w:hint="eastAsia" w:ascii="宋体" w:hAnsi="宋体" w:eastAsia="宋体" w:cs="宋体"/>
                <w:color w:val="000000"/>
                <w:spacing w:val="0"/>
                <w:sz w:val="21"/>
                <w:szCs w:val="24"/>
                <w:lang w:bidi="ar"/>
              </w:rPr>
              <w:br w:type="textWrapping"/>
            </w:r>
            <w:r>
              <w:rPr>
                <w:rFonts w:hint="eastAsia" w:ascii="宋体" w:hAnsi="宋体" w:eastAsia="宋体" w:cs="宋体"/>
                <w:color w:val="000000"/>
                <w:spacing w:val="0"/>
                <w:sz w:val="21"/>
                <w:szCs w:val="24"/>
                <w:lang w:bidi="ar"/>
              </w:rPr>
              <w:t>容</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1101</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发动机盖烤漆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540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520</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500</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1102</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车顶烤漆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640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620</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600</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1103</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车门烤漆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440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420</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400</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1104</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前保险杠烤漆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340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320</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300</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1105</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后保险杠烤漆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280</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260</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1106</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前叶子板烤漆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280</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260</w:t>
            </w:r>
          </w:p>
        </w:tc>
      </w:tr>
      <w:tr>
        <w:tblPrEx>
          <w:tblCellMar>
            <w:top w:w="15" w:type="dxa"/>
            <w:left w:w="15" w:type="dxa"/>
            <w:bottom w:w="15" w:type="dxa"/>
            <w:right w:w="15" w:type="dxa"/>
          </w:tblCellMar>
        </w:tblPrEx>
        <w:trPr>
          <w:trHeight w:val="306"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000000"/>
                <w:spacing w:val="0"/>
                <w:sz w:val="21"/>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1107</w:t>
            </w:r>
          </w:p>
        </w:tc>
        <w:tc>
          <w:tcPr>
            <w:tcW w:w="43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后叶子板烤漆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340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320</w:t>
            </w:r>
          </w:p>
        </w:tc>
        <w:tc>
          <w:tcPr>
            <w:tcW w:w="11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textAlignment w:val="center"/>
              <w:rPr>
                <w:rFonts w:hint="eastAsia" w:ascii="宋体" w:hAnsi="宋体" w:eastAsia="宋体" w:cs="宋体"/>
                <w:color w:val="000000"/>
                <w:spacing w:val="0"/>
                <w:sz w:val="21"/>
                <w:szCs w:val="24"/>
              </w:rPr>
            </w:pPr>
            <w:r>
              <w:rPr>
                <w:rFonts w:hint="eastAsia" w:ascii="宋体" w:hAnsi="宋体" w:eastAsia="宋体" w:cs="宋体"/>
                <w:color w:val="000000"/>
                <w:spacing w:val="0"/>
                <w:sz w:val="21"/>
                <w:szCs w:val="24"/>
                <w:lang w:bidi="ar"/>
              </w:rPr>
              <w:t>300</w:t>
            </w:r>
          </w:p>
        </w:tc>
      </w:tr>
    </w:tbl>
    <w:p>
      <w:pPr>
        <w:pStyle w:val="2"/>
        <w:rPr>
          <w:rFonts w:hint="eastAsia"/>
          <w:lang w:val="zh-CN" w:eastAsia="zh-CN"/>
        </w:rPr>
      </w:pPr>
    </w:p>
    <w:p/>
    <w:sectPr>
      <w:pgSz w:w="11906" w:h="16838"/>
      <w:pgMar w:top="850" w:right="1236" w:bottom="850" w:left="1236" w:header="851" w:footer="992" w:gutter="0"/>
      <w:cols w:space="0" w:num="1"/>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user" w:date="2023-02-07T15:22:00Z" w:initials="u">
    <w:p w14:paraId="780E7FAA">
      <w:pPr>
        <w:pStyle w:val="5"/>
        <w:rPr>
          <w:rFonts w:hint="eastAsia" w:eastAsia="仿宋_GB2312"/>
          <w:lang w:eastAsia="zh-CN"/>
        </w:rPr>
      </w:pPr>
      <w:r>
        <w:rPr>
          <w:rFonts w:hint="eastAsia"/>
          <w:lang w:eastAsia="zh-CN"/>
        </w:rPr>
        <w:t>按照（</w:t>
      </w:r>
      <w:r>
        <w:rPr>
          <w:rFonts w:hint="eastAsia"/>
          <w:lang w:val="en-US" w:eastAsia="zh-CN"/>
        </w:rPr>
        <w:t>2019-2022年</w:t>
      </w:r>
      <w:r>
        <w:rPr>
          <w:rFonts w:hint="eastAsia"/>
          <w:lang w:eastAsia="zh-CN"/>
        </w:rPr>
        <w:t>）金昌市定点维修保养文件里的表格导入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80E7F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00"/>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4B35C9"/>
    <w:multiLevelType w:val="multilevel"/>
    <w:tmpl w:val="A14B35C9"/>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suff w:val="nothing"/>
      <w:lvlText w:val="%3．"/>
      <w:lvlJc w:val="left"/>
      <w:pPr>
        <w:tabs>
          <w:tab w:val="left" w:pos="0"/>
        </w:tabs>
        <w:ind w:left="0" w:firstLine="0"/>
      </w:pPr>
      <w:rPr>
        <w:rFonts w:hint="eastAsia" w:cs="宋体"/>
        <w:b w:val="0"/>
        <w:bCs/>
        <w:i w:val="0"/>
        <w:iCs w:val="0"/>
        <w:caps w:val="0"/>
        <w:smallCaps w:val="0"/>
        <w:strike w:val="0"/>
        <w:dstrike w:val="0"/>
        <w:vanish w:val="0"/>
        <w:spacing w:val="0"/>
        <w:position w:val="0"/>
        <w:szCs w:val="28"/>
        <w:u w:val="none"/>
        <w:vertAlign w:val="baseline"/>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EC3FF89D"/>
    <w:multiLevelType w:val="multilevel"/>
    <w:tmpl w:val="EC3FF89D"/>
    <w:lvl w:ilvl="0" w:tentative="0">
      <w:start w:val="1"/>
      <w:numFmt w:val="chineseCountingThousand"/>
      <w:lvlText w:val="%1、"/>
      <w:lvlJc w:val="left"/>
      <w:pPr>
        <w:ind w:left="420" w:hanging="420"/>
      </w:pPr>
      <w:rPr>
        <w:rFonts w:hint="eastAsia"/>
        <w:color w:val="000000"/>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2D5366"/>
    <w:multiLevelType w:val="singleLevel"/>
    <w:tmpl w:val="732D5366"/>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Yzg3NzJjOGMxNTA3Y2IwM2MzZDdmYWY2NWVhMDkifQ=="/>
  </w:docVars>
  <w:rsids>
    <w:rsidRoot w:val="00000000"/>
    <w:rsid w:val="2BB05E98"/>
    <w:rsid w:val="374565A3"/>
    <w:rsid w:val="44B27AB3"/>
    <w:rsid w:val="547653F6"/>
    <w:rsid w:val="5A171837"/>
    <w:rsid w:val="6315592F"/>
    <w:rsid w:val="6B2331F7"/>
    <w:rsid w:val="70C82D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Calibri" w:hAnsi="Calibri" w:eastAsia="仿宋_GB2312" w:cs="Times New Roman"/>
      <w:spacing w:val="-6"/>
      <w:kern w:val="2"/>
      <w:sz w:val="24"/>
      <w:szCs w:val="22"/>
      <w:lang w:val="en-US" w:eastAsia="zh-CN" w:bidi="ar-SA"/>
    </w:rPr>
  </w:style>
  <w:style w:type="paragraph" w:styleId="3">
    <w:name w:val="heading 1"/>
    <w:basedOn w:val="1"/>
    <w:next w:val="1"/>
    <w:qFormat/>
    <w:uiPriority w:val="9"/>
    <w:pPr>
      <w:keepNext/>
      <w:keepLines/>
      <w:numPr>
        <w:ilvl w:val="0"/>
        <w:numId w:val="1"/>
      </w:numPr>
      <w:spacing w:before="340" w:after="330" w:line="578" w:lineRule="auto"/>
      <w:outlineLvl w:val="0"/>
    </w:pPr>
    <w:rPr>
      <w:rFonts w:eastAsia="黑体"/>
      <w:b/>
      <w:bCs/>
      <w:kern w:val="44"/>
      <w:sz w:val="32"/>
      <w:szCs w:val="44"/>
    </w:rPr>
  </w:style>
  <w:style w:type="paragraph" w:styleId="4">
    <w:name w:val="heading 2"/>
    <w:basedOn w:val="1"/>
    <w:next w:val="1"/>
    <w:qFormat/>
    <w:uiPriority w:val="9"/>
    <w:pPr>
      <w:keepNext/>
      <w:keepLines/>
      <w:numPr>
        <w:ilvl w:val="1"/>
        <w:numId w:val="1"/>
      </w:numPr>
      <w:spacing w:before="260" w:after="260" w:line="416" w:lineRule="auto"/>
      <w:outlineLvl w:val="1"/>
    </w:pPr>
    <w:rPr>
      <w:rFonts w:ascii="Cambria" w:hAnsi="Cambria" w:eastAsia="宋体"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等线" w:cs="Times New Roman"/>
      <w:szCs w:val="22"/>
    </w:rPr>
  </w:style>
  <w:style w:type="paragraph" w:styleId="5">
    <w:name w:val="annotation text"/>
    <w:basedOn w:val="1"/>
    <w:unhideWhenUsed/>
    <w:qFormat/>
    <w:uiPriority w:val="99"/>
    <w:pPr>
      <w:jc w:val="left"/>
    </w:pPr>
  </w:style>
  <w:style w:type="paragraph" w:styleId="6">
    <w:name w:val="Plain Text"/>
    <w:basedOn w:val="1"/>
    <w:qFormat/>
    <w:uiPriority w:val="99"/>
    <w:pPr>
      <w:adjustRightInd w:val="0"/>
      <w:spacing w:line="335" w:lineRule="atLeast"/>
      <w:textAlignment w:val="baseline"/>
    </w:pPr>
    <w:rPr>
      <w:rFonts w:hAnsi="Courier New" w:eastAsia="Times New Roman"/>
      <w:sz w:val="20"/>
    </w:rPr>
  </w:style>
  <w:style w:type="paragraph" w:styleId="7">
    <w:name w:val="Body Text 2"/>
    <w:basedOn w:val="1"/>
    <w:unhideWhenUsed/>
    <w:qFormat/>
    <w:uiPriority w:val="99"/>
    <w:pPr>
      <w:spacing w:after="120" w:afterLines="0" w:afterAutospacing="0" w:line="480" w:lineRule="auto"/>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7018</Words>
  <Characters>8838</Characters>
  <Lines>0</Lines>
  <Paragraphs>0</Paragraphs>
  <TotalTime>1</TotalTime>
  <ScaleCrop>false</ScaleCrop>
  <LinksUpToDate>false</LinksUpToDate>
  <CharactersWithSpaces>8849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弥猫i</cp:lastModifiedBy>
  <cp:lastPrinted>2023-02-24T03:17:00Z</cp:lastPrinted>
  <dcterms:modified xsi:type="dcterms:W3CDTF">2023-04-06T01:42:34Z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352A55D8721143E1A3AF240E86DE86F2</vt:lpwstr>
  </property>
</Properties>
</file>