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964" w:firstLineChars="200"/>
        <w:jc w:val="center"/>
        <w:rPr>
          <w:rFonts w:hint="eastAsia" w:ascii="Times New Roman" w:hAnsi="Times New Roman" w:cs="Times New Roman"/>
          <w:b/>
          <w:color w:val="000000" w:themeColor="text1"/>
          <w:kern w:val="0"/>
          <w:sz w:val="48"/>
          <w:szCs w:val="48"/>
          <w:lang w:val="en-US" w:eastAsia="zh-CN"/>
        </w:rPr>
      </w:pPr>
      <w:r>
        <w:rPr>
          <w:rFonts w:hint="eastAsia" w:ascii="Times New Roman" w:hAnsi="Times New Roman" w:cs="Times New Roman"/>
          <w:b/>
          <w:color w:val="000000" w:themeColor="text1"/>
          <w:kern w:val="0"/>
          <w:sz w:val="48"/>
          <w:szCs w:val="48"/>
          <w:lang w:val="en-US" w:eastAsia="zh-CN"/>
        </w:rPr>
        <w:t>兰州政府采购各主体综合评分</w:t>
      </w:r>
    </w:p>
    <w:p>
      <w:pPr>
        <w:spacing w:line="520" w:lineRule="exact"/>
        <w:ind w:firstLine="964" w:firstLineChars="200"/>
        <w:jc w:val="center"/>
        <w:rPr>
          <w:rFonts w:hint="default" w:ascii="Times New Roman" w:hAnsi="Times New Roman" w:eastAsia="仿宋" w:cs="Times New Roman"/>
          <w:b/>
          <w:color w:val="000000" w:themeColor="text1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color w:val="000000" w:themeColor="text1"/>
          <w:kern w:val="0"/>
          <w:sz w:val="48"/>
          <w:szCs w:val="48"/>
          <w:lang w:val="en-US" w:eastAsia="zh-CN"/>
        </w:rPr>
        <w:t>分值计算说明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专家综合评价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1.1评价维度</w:t>
      </w:r>
    </w:p>
    <w:p>
      <w:pPr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评审专家综合评价设有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个维度，总分100分，评审专家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履职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水平、评审专家遵纪守法情况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评审专家工作量，各维度占比及占比总分值如下：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44"/>
        <w:gridCol w:w="1943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序号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维度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占比(%)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占比总分值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1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评审专家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  <w:lang w:val="en-US" w:eastAsia="zh-CN"/>
              </w:rPr>
              <w:t>履职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水平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2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评审专家遵纪守法情况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3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评审专家工作量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合计：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100%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100</w:t>
            </w:r>
          </w:p>
        </w:tc>
      </w:tr>
    </w:tbl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default" w:ascii="Times New Roman" w:hAnsi="Times New Roman" w:cs="Times New Roman"/>
          <w:color w:val="FF0000"/>
          <w:kern w:val="0"/>
          <w:szCs w:val="32"/>
          <w:lang w:val="en-US" w:eastAsia="zh-CN"/>
        </w:rPr>
      </w:pPr>
      <w:bookmarkStart w:id="0" w:name="OLE_LINK50"/>
      <w:bookmarkStart w:id="1" w:name="OLE_LINK51"/>
      <w:r>
        <w:rPr>
          <w:rFonts w:hint="eastAsia" w:ascii="Times New Roman" w:hAnsi="Times New Roman" w:cs="Times New Roman"/>
          <w:color w:val="FF0000"/>
          <w:kern w:val="0"/>
          <w:szCs w:val="32"/>
          <w:lang w:val="en-US" w:eastAsia="zh-CN"/>
        </w:rPr>
        <w:t>注：各维度在总分值占比根据讨论后的实际情况确定；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一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评审专家</w:t>
      </w:r>
      <w:bookmarkEnd w:id="0"/>
      <w:bookmarkEnd w:id="1"/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履职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水平维度，</w:t>
      </w:r>
      <w:bookmarkStart w:id="2" w:name="OLE_LINK101"/>
      <w:bookmarkStart w:id="3" w:name="OLE_LINK100"/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分项总分100分，由采购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人或代理机构根据财政部办公厅发布《关于开展政府采购代理机构和评审专家履职评价工作（试行）的通知》中</w:t>
      </w:r>
      <w:r>
        <w:rPr>
          <w:rFonts w:hint="eastAsia"/>
          <w:lang w:val="en-US" w:eastAsia="zh-CN"/>
        </w:rPr>
        <w:t>《对政府采购评审专家的履职评价指标》进行打分</w:t>
      </w:r>
      <w:bookmarkEnd w:id="2"/>
      <w:bookmarkEnd w:id="3"/>
      <w:r>
        <w:rPr>
          <w:rFonts w:hint="eastAsia"/>
          <w:lang w:val="en-US" w:eastAsia="zh-CN"/>
        </w:rPr>
        <w:t>，按照各指标分别打分。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（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）评审专家遵纪守法维度，分项总分100分，由政府采购管理服务平台信用评价积分情况得出分值。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（三）评审专家工作量维度，分项总分100分，按照评审专家参与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本年度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政府采购</w:t>
      </w:r>
      <w:r>
        <w:rPr>
          <w:rFonts w:ascii="Times New Roman" w:hAnsi="Times New Roman" w:cs="Times New Roman"/>
          <w:color w:val="000000" w:themeColor="text1"/>
          <w:kern w:val="0"/>
          <w:szCs w:val="32"/>
        </w:rPr>
        <w:t>评审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项目的累计数量确定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分值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，其中未参与政府采购项目的定为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0分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，</w:t>
      </w:r>
      <w:bookmarkStart w:id="4" w:name="OLE_LINK175"/>
      <w:bookmarkStart w:id="5" w:name="OLE_LINK176"/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其他按照</w:t>
      </w:r>
      <w:bookmarkStart w:id="6" w:name="OLE_LINK92"/>
      <w:bookmarkStart w:id="7" w:name="OLE_LINK96"/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政府采购管理服务平台</w:t>
      </w:r>
      <w:bookmarkEnd w:id="6"/>
      <w:bookmarkEnd w:id="7"/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统计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的评审项目数据区间自动赋予相应的分值</w:t>
      </w:r>
      <w:bookmarkEnd w:id="4"/>
      <w:bookmarkEnd w:id="5"/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；</w:t>
      </w:r>
    </w:p>
    <w:tbl>
      <w:tblPr>
        <w:tblStyle w:val="7"/>
        <w:tblW w:w="70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3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序号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评审数量区间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对应分值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1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项目数量=0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2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0&lt;项目数量处于&lt;=20%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3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20&lt;项目数量处于&lt;=40%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4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40%&lt;项目数量处于&lt;=60%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5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60%&lt;项目数量处于&lt;=80%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6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80%&lt;项目数量处于&lt;=100%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3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10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1.2</w:t>
      </w:r>
      <w:r>
        <w:rPr>
          <w:rFonts w:hint="eastAsia"/>
        </w:rPr>
        <w:t>年度</w:t>
      </w:r>
      <w:r>
        <w:rPr>
          <w:rFonts w:hint="eastAsia"/>
          <w:lang w:val="en-US" w:eastAsia="zh-CN"/>
        </w:rPr>
        <w:t>分项</w:t>
      </w:r>
      <w:r>
        <w:rPr>
          <w:rFonts w:hint="eastAsia"/>
        </w:rPr>
        <w:t>分值</w:t>
      </w:r>
      <w:r>
        <w:rPr>
          <w:rFonts w:hint="eastAsia"/>
          <w:lang w:val="en-US" w:eastAsia="zh-CN"/>
        </w:rPr>
        <w:t>计算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1、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评审专家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履职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水平年度分值=N次评价得分相加总和/N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2、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遵纪守法情况年度分值=根据系统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信用评价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计算的分值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3、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评审专家工作量年度分值=评标数量对应的区间对应值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</w:p>
    <w:p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1.3</w:t>
      </w:r>
      <w:r>
        <w:rPr>
          <w:rFonts w:hint="eastAsia"/>
        </w:rPr>
        <w:t>综合评价</w:t>
      </w:r>
      <w:r>
        <w:rPr>
          <w:rFonts w:hint="eastAsia"/>
          <w:lang w:val="en-US" w:eastAsia="zh-CN"/>
        </w:rPr>
        <w:t>分值计算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b/>
          <w:color w:val="000000" w:themeColor="text1"/>
          <w:kern w:val="0"/>
          <w:szCs w:val="32"/>
        </w:rPr>
        <w:t>专家综合评价分值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=评审专家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履职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水平年度分值*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0%+遵纪守法情况年度分值*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0%+评审专家工作量年度分值*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0%；</w:t>
      </w:r>
    </w:p>
    <w:p>
      <w:pPr>
        <w:pStyle w:val="3"/>
        <w:bidi w:val="0"/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1.4</w:t>
      </w:r>
      <w:r>
        <w:rPr>
          <w:rFonts w:hint="eastAsia"/>
        </w:rPr>
        <w:t>综合评价</w:t>
      </w:r>
      <w:r>
        <w:rPr>
          <w:rFonts w:hint="eastAsia"/>
          <w:lang w:val="en-US" w:eastAsia="zh-CN"/>
        </w:rPr>
        <w:t>等次等级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以分值区间分为九个等级、四个等次，可以按照年度专家综合评价分值，对应得出专家本年都的等次和等级。</w:t>
      </w:r>
    </w:p>
    <w:tbl>
      <w:tblPr>
        <w:tblStyle w:val="6"/>
        <w:tblW w:w="70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457"/>
        <w:gridCol w:w="2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等次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等级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90＜X≤100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80＜X≤90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良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75＜X≤80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70＜X≤75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C+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65＜X≤70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60＜X≤65</w:t>
            </w:r>
          </w:p>
        </w:tc>
      </w:tr>
      <w:tr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55＜X≤60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差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40＜X≤55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0≤X≤40</w:t>
            </w:r>
          </w:p>
        </w:tc>
      </w:tr>
    </w:tbl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2、代理机构</w:t>
      </w:r>
      <w:r>
        <w:rPr>
          <w:rFonts w:hint="eastAsia"/>
        </w:rPr>
        <w:t>综合评价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1.1评价维度</w:t>
      </w:r>
    </w:p>
    <w:p>
      <w:pPr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代理机构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综合评价设有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个维度，总分100分，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代理机构履职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水平、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代理机构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遵纪守法情况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代理机构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工作量，各维度占比及占比总分值如下：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44"/>
        <w:gridCol w:w="1943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序号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维度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占比(%)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占比总分值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1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  <w:lang w:val="en-US" w:eastAsia="zh-CN"/>
              </w:rPr>
              <w:t>代理机构履职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水平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2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  <w:lang w:val="en-US" w:eastAsia="zh-CN"/>
              </w:rPr>
              <w:t>代理机构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遵纪守法情况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3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  <w:lang w:val="en-US" w:eastAsia="zh-CN"/>
              </w:rPr>
              <w:t>代理机构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工作量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合计：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100%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100</w:t>
            </w:r>
          </w:p>
        </w:tc>
      </w:tr>
    </w:tbl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default" w:ascii="Times New Roman" w:hAnsi="Times New Roman" w:cs="Times New Roman"/>
          <w:color w:val="FF0000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kern w:val="0"/>
          <w:szCs w:val="32"/>
          <w:lang w:val="en-US" w:eastAsia="zh-CN"/>
        </w:rPr>
        <w:t>注：各维度在总分值占比根据讨论后的实际情况确定；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一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代理机构履职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水平维度，分项总分100分，由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专家根据财政部办公厅发布《关于开展政府采购代理机构和评审专家履职评价工作（试行）的通知》中</w:t>
      </w:r>
      <w:r>
        <w:rPr>
          <w:rFonts w:hint="eastAsia"/>
          <w:lang w:val="en-US" w:eastAsia="zh-CN"/>
        </w:rPr>
        <w:t>《对政府采购代理机构的履职评价指标》进行打分，按照各指标分别打分。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（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代理机构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遵纪守法维度，分项总分100分，由政府采购管理服务平台信用评价积分情况得出分值。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（三）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代理机构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工作量维度，分项总分100分，按照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代理机构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参与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本年度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政府采购</w:t>
      </w:r>
      <w:r>
        <w:rPr>
          <w:rFonts w:ascii="Times New Roman" w:hAnsi="Times New Roman" w:cs="Times New Roman"/>
          <w:color w:val="000000" w:themeColor="text1"/>
          <w:kern w:val="0"/>
          <w:szCs w:val="32"/>
        </w:rPr>
        <w:t>评审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项目的累计数量确定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分值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，其中未参与政府采购项目的定为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0分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其他按照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政府采购管理服务平台统计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的评审项目数据区间自动赋予相应的分值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；</w:t>
      </w:r>
    </w:p>
    <w:tbl>
      <w:tblPr>
        <w:tblStyle w:val="7"/>
        <w:tblW w:w="70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3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序号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评审数量区间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对应分值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1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项目数量=0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2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0&lt;项目数量处于&lt;=20%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3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20&lt;项目数量处于&lt;=40%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4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40%&lt;项目数量处于&lt;=60%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5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60%&lt;项目数量处于&lt;=80%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6</w:t>
            </w:r>
          </w:p>
        </w:tc>
        <w:tc>
          <w:tcPr>
            <w:tcW w:w="425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80%&lt;项目数量处于&lt;=100%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3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10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1.2</w:t>
      </w:r>
      <w:r>
        <w:rPr>
          <w:rFonts w:hint="eastAsia"/>
        </w:rPr>
        <w:t>年度</w:t>
      </w:r>
      <w:r>
        <w:rPr>
          <w:rFonts w:hint="eastAsia"/>
          <w:lang w:val="en-US" w:eastAsia="zh-CN"/>
        </w:rPr>
        <w:t>分项</w:t>
      </w:r>
      <w:r>
        <w:rPr>
          <w:rFonts w:hint="eastAsia"/>
        </w:rPr>
        <w:t>分值</w:t>
      </w:r>
      <w:r>
        <w:rPr>
          <w:rFonts w:hint="eastAsia"/>
          <w:lang w:val="en-US" w:eastAsia="zh-CN"/>
        </w:rPr>
        <w:t>计算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1、代理机构履职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水平年度分值=N次评价得分相加总和/N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2、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遵纪守法情况年度分值=根据系统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信用评价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计算的分值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3、代理机构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工作量年度分值=评标数量对应的区间对应值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</w:p>
    <w:p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1.3</w:t>
      </w:r>
      <w:r>
        <w:rPr>
          <w:rFonts w:hint="eastAsia"/>
        </w:rPr>
        <w:t>综合评价</w:t>
      </w:r>
      <w:r>
        <w:rPr>
          <w:rFonts w:hint="eastAsia"/>
          <w:lang w:val="en-US" w:eastAsia="zh-CN"/>
        </w:rPr>
        <w:t>分值计算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b/>
          <w:color w:val="000000" w:themeColor="text1"/>
          <w:kern w:val="0"/>
          <w:szCs w:val="32"/>
          <w:lang w:val="en-US" w:eastAsia="zh-CN"/>
        </w:rPr>
        <w:t>代理机构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szCs w:val="32"/>
        </w:rPr>
        <w:t>综合评价分值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=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代理机构履职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水平年度分值*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0%+遵纪守法情况年度分值*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0%+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代理机构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工作量年度分值*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0%；</w:t>
      </w:r>
    </w:p>
    <w:p>
      <w:pPr>
        <w:pStyle w:val="3"/>
        <w:bidi w:val="0"/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1.4</w:t>
      </w:r>
      <w:r>
        <w:rPr>
          <w:rFonts w:hint="eastAsia"/>
        </w:rPr>
        <w:t>综合评价</w:t>
      </w:r>
      <w:r>
        <w:rPr>
          <w:rFonts w:hint="eastAsia"/>
          <w:lang w:val="en-US" w:eastAsia="zh-CN"/>
        </w:rPr>
        <w:t>等次等级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以分值区间分为九个等级、四个等次，可以按照年度代理机构综合评价分值，对应得出代理机构本年都的等次和等级。</w:t>
      </w:r>
    </w:p>
    <w:tbl>
      <w:tblPr>
        <w:tblStyle w:val="6"/>
        <w:tblW w:w="70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457"/>
        <w:gridCol w:w="2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等次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等级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90＜X≤100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80＜X≤90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良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75＜X≤80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70＜X≤75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C+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65＜X≤70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60＜X≤65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55＜X≤60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差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40＜X≤55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0≤X≤40</w:t>
            </w:r>
          </w:p>
        </w:tc>
      </w:tr>
    </w:tbl>
    <w:p/>
    <w:p/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3、供应商</w:t>
      </w:r>
      <w:r>
        <w:rPr>
          <w:rFonts w:hint="eastAsia"/>
        </w:rPr>
        <w:t>综合评价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1.1评价维度</w:t>
      </w:r>
    </w:p>
    <w:p>
      <w:pPr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供应商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综合评价设有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个维度，总分100分，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供应商参与采购行为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、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供应商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遵纪守法情况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供应商履约验收评价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，各维度占比及占比总分值如下：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44"/>
        <w:gridCol w:w="1943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序号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维度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占比(%)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占比总分值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1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  <w:lang w:val="en-US" w:eastAsia="zh-CN"/>
              </w:rPr>
              <w:t>供应商参与采购行为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2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  <w:lang w:val="en-US" w:eastAsia="zh-CN"/>
              </w:rPr>
              <w:t>供应商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遵纪守法情况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3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  <w:lang w:val="en-US" w:eastAsia="zh-CN"/>
              </w:rPr>
              <w:t>供应商履约验收评价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合计：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100%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100</w:t>
            </w:r>
          </w:p>
        </w:tc>
      </w:tr>
    </w:tbl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default" w:ascii="Times New Roman" w:hAnsi="Times New Roman" w:cs="Times New Roman"/>
          <w:color w:val="FF0000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kern w:val="0"/>
          <w:szCs w:val="32"/>
          <w:lang w:val="en-US" w:eastAsia="zh-CN"/>
        </w:rPr>
        <w:t>注：各维度在总分值占比根据讨论后的实际情况确定；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一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供应商参与采购行为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维度，分项总分100分，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按照</w:t>
      </w:r>
      <w:r>
        <w:rPr>
          <w:rFonts w:hint="eastAsia"/>
          <w:lang w:val="en-US" w:eastAsia="zh-CN"/>
        </w:rPr>
        <w:t>《政府采购供应商参与采购行为相互评价表》进行打分。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（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供应商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遵纪守法维度，分项总分100分，由政府采购管理服务平台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失信行为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得出分值。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（三）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供应商履约验收评价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维度，分项总分100分，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按照</w:t>
      </w:r>
      <w:r>
        <w:rPr>
          <w:rFonts w:hint="eastAsia"/>
          <w:lang w:val="en-US" w:eastAsia="zh-CN"/>
        </w:rPr>
        <w:t>《政府采购供应商履约验收行为相互评价表》进行打分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；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1.2</w:t>
      </w:r>
      <w:r>
        <w:rPr>
          <w:rFonts w:hint="eastAsia"/>
        </w:rPr>
        <w:t>年度</w:t>
      </w:r>
      <w:r>
        <w:rPr>
          <w:rFonts w:hint="eastAsia"/>
          <w:lang w:val="en-US" w:eastAsia="zh-CN"/>
        </w:rPr>
        <w:t>分项</w:t>
      </w:r>
      <w:r>
        <w:rPr>
          <w:rFonts w:hint="eastAsia"/>
        </w:rPr>
        <w:t>分值</w:t>
      </w:r>
      <w:r>
        <w:rPr>
          <w:rFonts w:hint="eastAsia"/>
          <w:lang w:val="en-US" w:eastAsia="zh-CN"/>
        </w:rPr>
        <w:t>计算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1、供应商参与采购行为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年度分值=N次评价得分相加总和/N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2、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遵纪守法情况年度分值=根据系统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信用评价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计算的分值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3、履约验收评价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年度分值=N次评价得分相加总和/N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</w:p>
    <w:p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1.3</w:t>
      </w:r>
      <w:r>
        <w:rPr>
          <w:rFonts w:hint="eastAsia"/>
        </w:rPr>
        <w:t>综合评价</w:t>
      </w:r>
      <w:r>
        <w:rPr>
          <w:rFonts w:hint="eastAsia"/>
          <w:lang w:val="en-US" w:eastAsia="zh-CN"/>
        </w:rPr>
        <w:t>分值计算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kern w:val="0"/>
          <w:szCs w:val="32"/>
          <w:lang w:val="en-US" w:eastAsia="zh-CN"/>
        </w:rPr>
        <w:t>供应商</w:t>
      </w:r>
      <w:r>
        <w:rPr>
          <w:rFonts w:hint="eastAsia" w:ascii="Times New Roman" w:hAnsi="Times New Roman" w:cs="Times New Roman"/>
          <w:b/>
          <w:bCs/>
          <w:color w:val="000000" w:themeColor="text1"/>
          <w:kern w:val="0"/>
          <w:szCs w:val="32"/>
        </w:rPr>
        <w:t>综合评价分值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=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供应商参与采购行为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年度分值*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0%+遵纪守法情况年度分值*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0%+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履约验收评价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年度分值*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0%；</w:t>
      </w:r>
    </w:p>
    <w:p>
      <w:pPr>
        <w:pStyle w:val="3"/>
        <w:bidi w:val="0"/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1.4</w:t>
      </w:r>
      <w:r>
        <w:rPr>
          <w:rFonts w:hint="eastAsia"/>
        </w:rPr>
        <w:t>综合评价</w:t>
      </w:r>
      <w:r>
        <w:rPr>
          <w:rFonts w:hint="eastAsia"/>
          <w:lang w:val="en-US" w:eastAsia="zh-CN"/>
        </w:rPr>
        <w:t>等次等级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以分值区间分为九个等级、四个等次，可以按照年度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综合评价分值，对应得出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本年都的等次和等级。</w:t>
      </w:r>
    </w:p>
    <w:tbl>
      <w:tblPr>
        <w:tblStyle w:val="6"/>
        <w:tblW w:w="70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457"/>
        <w:gridCol w:w="2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等次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等级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90＜X≤100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80＜X≤90</w:t>
            </w:r>
          </w:p>
        </w:tc>
      </w:tr>
      <w:tr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良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75＜X≤80</w:t>
            </w:r>
          </w:p>
        </w:tc>
      </w:tr>
      <w:tr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70＜X≤75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C+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65＜X≤70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60＜X≤65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55＜X≤60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差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40＜X≤55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0≤X≤40</w:t>
            </w:r>
          </w:p>
        </w:tc>
      </w:tr>
    </w:tbl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4、采购人</w:t>
      </w:r>
      <w:r>
        <w:rPr>
          <w:rFonts w:hint="eastAsia"/>
        </w:rPr>
        <w:t>综合评价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1.1评价维度</w:t>
      </w:r>
      <w:bookmarkStart w:id="8" w:name="_GoBack"/>
      <w:bookmarkEnd w:id="8"/>
    </w:p>
    <w:p>
      <w:pPr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采购人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综合评价设有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个维度，总分100分，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采购人参与采购行为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、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采购人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遵纪守法情况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项目执行情况监督评价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，各维度占比及占比总分值如下：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44"/>
        <w:gridCol w:w="1943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序号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维度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占比(%)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</w:rPr>
              <w:t>占比总分值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1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  <w:lang w:val="en-US" w:eastAsia="zh-CN"/>
              </w:rPr>
              <w:t>采购人参与采购行为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2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  <w:lang w:val="en-US" w:eastAsia="zh-CN"/>
              </w:rPr>
              <w:t>采购人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遵纪守法情况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3</w:t>
            </w: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  <w:lang w:val="en-US" w:eastAsia="zh-CN"/>
              </w:rPr>
              <w:t>项目执行情况监督评价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</w:p>
        </w:tc>
        <w:tc>
          <w:tcPr>
            <w:tcW w:w="3444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合计：</w:t>
            </w:r>
          </w:p>
        </w:tc>
        <w:tc>
          <w:tcPr>
            <w:tcW w:w="1943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32"/>
              </w:rPr>
              <w:t>100%</w:t>
            </w:r>
          </w:p>
        </w:tc>
        <w:tc>
          <w:tcPr>
            <w:tcW w:w="1893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100</w:t>
            </w:r>
          </w:p>
        </w:tc>
      </w:tr>
    </w:tbl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default" w:ascii="Times New Roman" w:hAnsi="Times New Roman" w:cs="Times New Roman"/>
          <w:color w:val="FF0000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kern w:val="0"/>
          <w:szCs w:val="32"/>
          <w:lang w:val="en-US" w:eastAsia="zh-CN"/>
        </w:rPr>
        <w:t>注：各维度在总分值占比根据讨论后的实际情况确定；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一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采购人参与采购行为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维度，分项总分100分，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按照</w:t>
      </w:r>
      <w:r>
        <w:rPr>
          <w:rFonts w:hint="eastAsia"/>
          <w:lang w:val="en-US" w:eastAsia="zh-CN"/>
        </w:rPr>
        <w:t>《政府采购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采购人</w:t>
      </w:r>
      <w:r>
        <w:rPr>
          <w:rFonts w:hint="eastAsia"/>
          <w:lang w:val="en-US" w:eastAsia="zh-CN"/>
        </w:rPr>
        <w:t>参与采购行为相互评价表》进行打分。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（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采购人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遵纪守法维度，分项总分100分，由政府采购管理服务平台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失信行为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得出分值。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Times New Roman" w:hAnsi="Times New Roman" w:eastAsia="仿宋" w:cs="Times New Roman"/>
          <w:color w:val="000000" w:themeColor="text1"/>
          <w:kern w:val="0"/>
          <w:szCs w:val="32"/>
          <w:lang w:eastAsia="zh-CN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（三）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项目执行情况监督评价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维度，分项总分100分，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按照</w:t>
      </w:r>
      <w:r>
        <w:rPr>
          <w:rFonts w:hint="eastAsia"/>
          <w:lang w:val="en-US" w:eastAsia="zh-CN"/>
        </w:rPr>
        <w:t>《政府采购项目执行情况监督评价指标》进行打分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；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1.2</w:t>
      </w:r>
      <w:r>
        <w:rPr>
          <w:rFonts w:hint="eastAsia"/>
        </w:rPr>
        <w:t>年度</w:t>
      </w:r>
      <w:r>
        <w:rPr>
          <w:rFonts w:hint="eastAsia"/>
          <w:lang w:val="en-US" w:eastAsia="zh-CN"/>
        </w:rPr>
        <w:t>分项</w:t>
      </w:r>
      <w:r>
        <w:rPr>
          <w:rFonts w:hint="eastAsia"/>
        </w:rPr>
        <w:t>分值</w:t>
      </w:r>
      <w:r>
        <w:rPr>
          <w:rFonts w:hint="eastAsia"/>
          <w:lang w:val="en-US" w:eastAsia="zh-CN"/>
        </w:rPr>
        <w:t>计算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1、采购人参与采购行为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年度分值=N次评价得分相加总和/N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2、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遵纪守法情况年度分值=根据系统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信用评价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计算的分值</w:t>
      </w:r>
    </w:p>
    <w:p>
      <w:pPr>
        <w:widowControl/>
        <w:shd w:val="clear" w:color="auto" w:fill="FFFFFF"/>
        <w:spacing w:line="520" w:lineRule="exact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3、项目执行情况监督评价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年度分值=N次评价得分相加总和/N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Times New Roman" w:hAnsi="Times New Roman" w:cs="Times New Roman"/>
          <w:color w:val="000000" w:themeColor="text1"/>
          <w:kern w:val="0"/>
          <w:szCs w:val="32"/>
        </w:rPr>
      </w:pPr>
    </w:p>
    <w:p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1.3</w:t>
      </w:r>
      <w:r>
        <w:rPr>
          <w:rFonts w:hint="eastAsia"/>
        </w:rPr>
        <w:t>综合评价</w:t>
      </w:r>
      <w:r>
        <w:rPr>
          <w:rFonts w:hint="eastAsia"/>
          <w:lang w:val="en-US" w:eastAsia="zh-CN"/>
        </w:rPr>
        <w:t>分值计算</w:t>
      </w:r>
    </w:p>
    <w:p>
      <w:pPr>
        <w:widowControl/>
        <w:shd w:val="clear" w:color="auto" w:fill="FFFFFF"/>
        <w:spacing w:line="520" w:lineRule="exact"/>
        <w:ind w:firstLine="643" w:firstLineChars="200"/>
        <w:rPr>
          <w:rFonts w:ascii="Times New Roman" w:hAnsi="Times New Roman" w:cs="Times New Roman"/>
          <w:color w:val="000000" w:themeColor="text1"/>
          <w:kern w:val="0"/>
          <w:szCs w:val="32"/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kern w:val="0"/>
          <w:szCs w:val="32"/>
          <w:lang w:val="en-US" w:eastAsia="zh-CN"/>
        </w:rPr>
        <w:t>采购人</w:t>
      </w:r>
      <w:r>
        <w:rPr>
          <w:rFonts w:hint="eastAsia" w:ascii="Times New Roman" w:hAnsi="Times New Roman" w:cs="Times New Roman"/>
          <w:b/>
          <w:bCs/>
          <w:color w:val="000000" w:themeColor="text1"/>
          <w:kern w:val="0"/>
          <w:szCs w:val="32"/>
        </w:rPr>
        <w:t>综合评价分值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=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采购人参与采购行为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年度分值*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0%+遵纪守法情况年度分值*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0%+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项目执行情况监督评价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年度分值*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</w:rPr>
        <w:t>0%；</w:t>
      </w:r>
    </w:p>
    <w:p>
      <w:pPr>
        <w:pStyle w:val="3"/>
        <w:bidi w:val="0"/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1.4</w:t>
      </w:r>
      <w:r>
        <w:rPr>
          <w:rFonts w:hint="eastAsia"/>
        </w:rPr>
        <w:t>综合评价</w:t>
      </w:r>
      <w:r>
        <w:rPr>
          <w:rFonts w:hint="eastAsia"/>
          <w:lang w:val="en-US" w:eastAsia="zh-CN"/>
        </w:rPr>
        <w:t>等次等级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以分值区间分为九个等级、四个等次，可以按照年度</w:t>
      </w:r>
      <w:r>
        <w:rPr>
          <w:rFonts w:hint="eastAsia" w:ascii="Times New Roman" w:hAnsi="Times New Roman" w:cs="Times New Roman"/>
          <w:color w:val="000000" w:themeColor="text1"/>
          <w:kern w:val="0"/>
          <w:szCs w:val="32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综合评价分值，对应得出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本年都的等次和等级。</w:t>
      </w:r>
    </w:p>
    <w:tbl>
      <w:tblPr>
        <w:tblStyle w:val="6"/>
        <w:tblW w:w="70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457"/>
        <w:gridCol w:w="2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等次</w:t>
            </w: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等级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90＜X≤100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80＜X≤90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良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75＜X≤80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70＜X≤75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C+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65＜X≤70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60＜X≤65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55＜X≤60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差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40＜X≤55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D-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0≤X≤40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U0NjI0NjBlM2IyN2M3NGNiMTQxNjM1MDE1ZmY4OWYifQ=="/>
  </w:docVars>
  <w:rsids>
    <w:rsidRoot w:val="003D538E"/>
    <w:rsid w:val="001A3B31"/>
    <w:rsid w:val="001F30AF"/>
    <w:rsid w:val="0039158A"/>
    <w:rsid w:val="003D538E"/>
    <w:rsid w:val="004A714F"/>
    <w:rsid w:val="004C08F5"/>
    <w:rsid w:val="006040CD"/>
    <w:rsid w:val="006A1FBF"/>
    <w:rsid w:val="006B29C0"/>
    <w:rsid w:val="0078252A"/>
    <w:rsid w:val="0081187D"/>
    <w:rsid w:val="00871E46"/>
    <w:rsid w:val="009036E7"/>
    <w:rsid w:val="00A03386"/>
    <w:rsid w:val="00BF4482"/>
    <w:rsid w:val="00C773A1"/>
    <w:rsid w:val="00D1366E"/>
    <w:rsid w:val="00E94377"/>
    <w:rsid w:val="01593522"/>
    <w:rsid w:val="030D2310"/>
    <w:rsid w:val="035E2B6B"/>
    <w:rsid w:val="035F251C"/>
    <w:rsid w:val="043A35D9"/>
    <w:rsid w:val="05B44176"/>
    <w:rsid w:val="0702257C"/>
    <w:rsid w:val="07C733D5"/>
    <w:rsid w:val="0895702F"/>
    <w:rsid w:val="09C50154"/>
    <w:rsid w:val="09F03198"/>
    <w:rsid w:val="0C874EE1"/>
    <w:rsid w:val="0D3D53C8"/>
    <w:rsid w:val="0D692839"/>
    <w:rsid w:val="106455D8"/>
    <w:rsid w:val="13201BEB"/>
    <w:rsid w:val="15610299"/>
    <w:rsid w:val="1632480C"/>
    <w:rsid w:val="16742F3B"/>
    <w:rsid w:val="18934C0E"/>
    <w:rsid w:val="19C92FDD"/>
    <w:rsid w:val="1F903C55"/>
    <w:rsid w:val="21A34113"/>
    <w:rsid w:val="22295FF0"/>
    <w:rsid w:val="224C029E"/>
    <w:rsid w:val="234E00AF"/>
    <w:rsid w:val="24B30B11"/>
    <w:rsid w:val="24FC5B6C"/>
    <w:rsid w:val="25F450B9"/>
    <w:rsid w:val="26163994"/>
    <w:rsid w:val="27601E45"/>
    <w:rsid w:val="295E3D97"/>
    <w:rsid w:val="2A806192"/>
    <w:rsid w:val="2BDF631E"/>
    <w:rsid w:val="2C923702"/>
    <w:rsid w:val="2D1C4D7A"/>
    <w:rsid w:val="2D746964"/>
    <w:rsid w:val="2E78040C"/>
    <w:rsid w:val="31175F84"/>
    <w:rsid w:val="31E340B8"/>
    <w:rsid w:val="368B05FC"/>
    <w:rsid w:val="374455F9"/>
    <w:rsid w:val="37954CDD"/>
    <w:rsid w:val="38714A9E"/>
    <w:rsid w:val="38C70C2D"/>
    <w:rsid w:val="3E555A65"/>
    <w:rsid w:val="3EBF1A09"/>
    <w:rsid w:val="3EE75E61"/>
    <w:rsid w:val="3EED39A0"/>
    <w:rsid w:val="413B7A6D"/>
    <w:rsid w:val="41401527"/>
    <w:rsid w:val="424E439C"/>
    <w:rsid w:val="43A318F9"/>
    <w:rsid w:val="45AA2264"/>
    <w:rsid w:val="46D83143"/>
    <w:rsid w:val="474451A1"/>
    <w:rsid w:val="4BB63126"/>
    <w:rsid w:val="4C9B4F92"/>
    <w:rsid w:val="4D384E95"/>
    <w:rsid w:val="4D8E6C2B"/>
    <w:rsid w:val="4E934511"/>
    <w:rsid w:val="4F8275E8"/>
    <w:rsid w:val="4FA42C81"/>
    <w:rsid w:val="52117FC9"/>
    <w:rsid w:val="521A2704"/>
    <w:rsid w:val="549E4143"/>
    <w:rsid w:val="564B1F53"/>
    <w:rsid w:val="570018DE"/>
    <w:rsid w:val="58E10AA2"/>
    <w:rsid w:val="59981AA8"/>
    <w:rsid w:val="5A362305"/>
    <w:rsid w:val="5D170F36"/>
    <w:rsid w:val="5E6718E7"/>
    <w:rsid w:val="5EE439BA"/>
    <w:rsid w:val="5EFF3BB3"/>
    <w:rsid w:val="62BE1844"/>
    <w:rsid w:val="630307EB"/>
    <w:rsid w:val="64372D9A"/>
    <w:rsid w:val="656C1AA8"/>
    <w:rsid w:val="657809E0"/>
    <w:rsid w:val="6625578B"/>
    <w:rsid w:val="66A2067C"/>
    <w:rsid w:val="67333212"/>
    <w:rsid w:val="67C20757"/>
    <w:rsid w:val="69CA7330"/>
    <w:rsid w:val="69FD2A56"/>
    <w:rsid w:val="6B210C3C"/>
    <w:rsid w:val="6B2D63FF"/>
    <w:rsid w:val="6ED262BD"/>
    <w:rsid w:val="6F3A48A7"/>
    <w:rsid w:val="71CD20B4"/>
    <w:rsid w:val="729A3D44"/>
    <w:rsid w:val="731C00B8"/>
    <w:rsid w:val="73286E4A"/>
    <w:rsid w:val="742F55A0"/>
    <w:rsid w:val="75C655A6"/>
    <w:rsid w:val="765D3A06"/>
    <w:rsid w:val="780D4FB8"/>
    <w:rsid w:val="797A48CF"/>
    <w:rsid w:val="7DE3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175</Words>
  <Characters>1004</Characters>
  <Lines>8</Lines>
  <Paragraphs>2</Paragraphs>
  <TotalTime>1</TotalTime>
  <ScaleCrop>false</ScaleCrop>
  <LinksUpToDate>false</LinksUpToDate>
  <CharactersWithSpaces>1177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2021-08-14T13:31:00Z</dcterms:created>
  <dc:creator>Microsoft</dc:creator>
  <cp:lastModifiedBy>曙光。</cp:lastModifiedBy>
  <dcterms:modified xsi:type="dcterms:W3CDTF">2022-09-06T09:52:32Z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C9FB29FEF97E44089DF36D0AA26EB1B4</vt:lpwstr>
  </property>
</Properties>
</file>