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jc w:val="center"/>
        <w:outlineLvl w:val="9"/>
        <w:rPr>
          <w:rFonts w:hint="default" w:hAnsi="宋体" w:eastAsia="宋体" w:cs="宋体"/>
          <w:b/>
          <w:bCs/>
          <w:sz w:val="36"/>
          <w:lang w:val="en-US" w:eastAsia="zh-CN"/>
        </w:rPr>
      </w:pPr>
    </w:p>
    <w:p>
      <w:pPr>
        <w:jc w:val="center"/>
        <w:outlineLvl w:val="9"/>
        <w:rPr>
          <w:rFonts w:hint="eastAsia" w:ascii="宋体" w:hAnsi="宋体" w:eastAsia="宋体" w:cs="方正小标宋简体"/>
          <w:bCs/>
          <w:sz w:val="36"/>
          <w:szCs w:val="36"/>
          <w:lang w:val="en-US" w:eastAsia="zh-CN"/>
        </w:rPr>
      </w:pPr>
      <w:r>
        <w:rPr>
          <w:rFonts w:hint="eastAsia" w:hAnsi="宋体" w:eastAsia="宋体" w:cs="宋体"/>
          <w:b/>
          <w:bCs/>
          <w:sz w:val="40"/>
          <w:szCs w:val="32"/>
          <w:lang w:eastAsia="zh-CN"/>
        </w:rPr>
        <w:t>陇南市武都区2024年核桃示范园建设项目</w:t>
      </w:r>
    </w:p>
    <w:p>
      <w:pPr>
        <w:jc w:val="center"/>
        <w:outlineLvl w:val="9"/>
        <w:rPr>
          <w:rFonts w:ascii="宋体" w:hAnsi="宋体" w:eastAsia="宋体" w:cs="方正小标宋简体"/>
          <w:bCs/>
          <w:sz w:val="36"/>
          <w:szCs w:val="36"/>
        </w:rPr>
      </w:pPr>
    </w:p>
    <w:p>
      <w:pPr>
        <w:jc w:val="center"/>
        <w:outlineLvl w:val="9"/>
        <w:rPr>
          <w:rFonts w:ascii="宋体" w:hAnsi="宋体" w:eastAsia="宋体" w:cs="方正小标宋简体"/>
          <w:bCs/>
          <w:sz w:val="36"/>
          <w:szCs w:val="36"/>
        </w:rPr>
      </w:pPr>
    </w:p>
    <w:p>
      <w:pPr>
        <w:jc w:val="center"/>
        <w:outlineLvl w:val="9"/>
        <w:rPr>
          <w:rFonts w:ascii="宋体" w:hAnsi="宋体" w:eastAsia="宋体" w:cs="方正小标宋简体"/>
          <w:bCs/>
          <w:sz w:val="36"/>
          <w:szCs w:val="36"/>
        </w:rPr>
      </w:pPr>
    </w:p>
    <w:p>
      <w:pPr>
        <w:jc w:val="center"/>
        <w:outlineLvl w:val="9"/>
        <w:rPr>
          <w:rFonts w:ascii="宋体" w:hAnsi="宋体" w:eastAsia="宋体" w:cs="方正小标宋简体"/>
          <w:bCs/>
          <w:sz w:val="36"/>
          <w:szCs w:val="36"/>
        </w:rPr>
      </w:pPr>
    </w:p>
    <w:p>
      <w:pPr>
        <w:jc w:val="center"/>
        <w:outlineLvl w:val="9"/>
        <w:rPr>
          <w:rFonts w:ascii="宋体" w:hAnsi="宋体" w:eastAsia="宋体" w:cs="方正小标宋简体"/>
          <w:bCs/>
          <w:sz w:val="36"/>
          <w:szCs w:val="36"/>
        </w:rPr>
      </w:pPr>
    </w:p>
    <w:p>
      <w:pPr>
        <w:jc w:val="center"/>
        <w:outlineLvl w:val="9"/>
        <w:rPr>
          <w:rFonts w:hint="eastAsia" w:ascii="宋体" w:hAnsi="宋体" w:eastAsia="宋体" w:cs="方正小标宋简体"/>
          <w:bCs/>
          <w:sz w:val="96"/>
          <w:szCs w:val="96"/>
          <w:lang w:val="en-US" w:eastAsia="zh-CN"/>
        </w:rPr>
      </w:pPr>
      <w:r>
        <w:rPr>
          <w:rFonts w:hint="eastAsia" w:ascii="宋体" w:hAnsi="宋体" w:eastAsia="宋体" w:cs="方正小标宋简体"/>
          <w:bCs/>
          <w:sz w:val="72"/>
          <w:szCs w:val="72"/>
        </w:rPr>
        <w:t>竞争性磋商文</w:t>
      </w:r>
      <w:r>
        <w:rPr>
          <w:rFonts w:hint="eastAsia" w:ascii="宋体" w:hAnsi="宋体" w:eastAsia="宋体" w:cs="方正小标宋简体"/>
          <w:bCs/>
          <w:sz w:val="72"/>
          <w:szCs w:val="72"/>
          <w:lang w:val="en-US" w:eastAsia="zh-CN"/>
        </w:rPr>
        <w:t>件</w:t>
      </w:r>
    </w:p>
    <w:p>
      <w:pPr>
        <w:jc w:val="center"/>
        <w:outlineLvl w:val="9"/>
        <w:rPr>
          <w:rFonts w:ascii="宋体" w:hAnsi="宋体" w:eastAsia="宋体"/>
          <w:b/>
          <w:sz w:val="32"/>
        </w:rPr>
      </w:pPr>
      <w:r>
        <w:rPr>
          <w:rFonts w:hint="eastAsia" w:ascii="宋体" w:hAnsi="宋体" w:eastAsia="宋体"/>
          <w:b/>
          <w:sz w:val="32"/>
          <w:lang w:val="en-US" w:eastAsia="zh-CN"/>
        </w:rPr>
        <w:t>（招标编</w:t>
      </w:r>
      <w:r>
        <w:rPr>
          <w:rFonts w:hint="eastAsia" w:ascii="宋体" w:hAnsi="宋体" w:eastAsia="宋体"/>
          <w:b/>
          <w:sz w:val="32"/>
          <w:highlight w:val="none"/>
          <w:lang w:val="en-US" w:eastAsia="zh-CN"/>
        </w:rPr>
        <w:t xml:space="preserve">号：114455JH621202002) </w:t>
      </w:r>
      <w:r>
        <w:rPr>
          <w:rFonts w:hint="eastAsia" w:ascii="宋体" w:hAnsi="宋体" w:eastAsia="宋体"/>
          <w:b/>
          <w:sz w:val="32"/>
        </w:rPr>
        <w:t xml:space="preserve"> </w:t>
      </w:r>
    </w:p>
    <w:p>
      <w:pPr>
        <w:pStyle w:val="9"/>
        <w:ind w:left="0" w:leftChars="0" w:firstLine="0" w:firstLineChars="0"/>
        <w:outlineLvl w:val="9"/>
        <w:rPr>
          <w:rFonts w:ascii="宋体" w:hAnsi="宋体" w:eastAsia="宋体"/>
          <w:b/>
          <w:sz w:val="32"/>
        </w:rPr>
      </w:pPr>
    </w:p>
    <w:p>
      <w:pPr>
        <w:pStyle w:val="9"/>
        <w:ind w:left="0" w:leftChars="0" w:firstLine="0" w:firstLineChars="0"/>
        <w:outlineLvl w:val="9"/>
        <w:rPr>
          <w:rFonts w:ascii="宋体" w:hAnsi="宋体" w:eastAsia="宋体"/>
          <w:b/>
          <w:sz w:val="32"/>
        </w:rPr>
      </w:pPr>
    </w:p>
    <w:p>
      <w:pPr>
        <w:pStyle w:val="9"/>
        <w:ind w:left="0" w:leftChars="0" w:firstLine="0" w:firstLineChars="0"/>
        <w:outlineLvl w:val="9"/>
        <w:rPr>
          <w:rFonts w:ascii="宋体" w:hAnsi="宋体" w:eastAsia="宋体"/>
          <w:b/>
          <w:sz w:val="32"/>
        </w:rPr>
      </w:pPr>
    </w:p>
    <w:p>
      <w:pPr>
        <w:pStyle w:val="111"/>
        <w:spacing w:line="480" w:lineRule="auto"/>
        <w:ind w:firstLine="1807" w:firstLineChars="500"/>
        <w:outlineLvl w:val="9"/>
        <w:rPr>
          <w:rFonts w:ascii="宋体" w:hAnsi="宋体" w:eastAsia="宋体"/>
          <w:sz w:val="36"/>
          <w:szCs w:val="36"/>
        </w:rPr>
      </w:pPr>
    </w:p>
    <w:p>
      <w:pPr>
        <w:pStyle w:val="111"/>
        <w:spacing w:line="480" w:lineRule="auto"/>
        <w:ind w:firstLine="1807" w:firstLineChars="500"/>
        <w:outlineLvl w:val="9"/>
        <w:rPr>
          <w:rFonts w:ascii="宋体" w:hAnsi="宋体" w:eastAsia="宋体"/>
          <w:sz w:val="36"/>
          <w:szCs w:val="36"/>
        </w:rPr>
      </w:pPr>
    </w:p>
    <w:p>
      <w:pPr>
        <w:pStyle w:val="111"/>
        <w:spacing w:line="480" w:lineRule="auto"/>
        <w:ind w:left="2654" w:leftChars="400" w:hanging="1774" w:hangingChars="631"/>
        <w:outlineLvl w:val="9"/>
        <w:rPr>
          <w:rFonts w:hint="eastAsia" w:ascii="宋体" w:hAnsi="宋体" w:eastAsia="宋体" w:cs="宋体"/>
          <w:bCs/>
          <w:sz w:val="28"/>
          <w:szCs w:val="28"/>
          <w:u w:val="single"/>
          <w:lang w:eastAsia="zh-CN"/>
        </w:rPr>
      </w:pPr>
      <w:r>
        <w:rPr>
          <w:rFonts w:hint="eastAsia" w:ascii="宋体" w:hAnsi="宋体" w:eastAsia="宋体"/>
          <w:sz w:val="28"/>
          <w:szCs w:val="28"/>
        </w:rPr>
        <w:t>采   购   人</w:t>
      </w:r>
      <w:r>
        <w:rPr>
          <w:rFonts w:hint="eastAsia" w:ascii="宋体" w:hAnsi="宋体" w:eastAsia="宋体"/>
          <w:sz w:val="24"/>
          <w:szCs w:val="24"/>
        </w:rPr>
        <w:t>：</w:t>
      </w:r>
      <w:r>
        <w:rPr>
          <w:rFonts w:hint="eastAsia" w:ascii="宋体" w:hAnsi="宋体" w:eastAsia="宋体" w:cs="宋体"/>
          <w:bCs/>
          <w:sz w:val="28"/>
          <w:szCs w:val="28"/>
          <w:u w:val="single"/>
          <w:lang w:eastAsia="zh-CN"/>
        </w:rPr>
        <w:t>陇南市武都区核桃产业开发中心</w:t>
      </w:r>
    </w:p>
    <w:p>
      <w:pPr>
        <w:pStyle w:val="111"/>
        <w:spacing w:line="480" w:lineRule="auto"/>
        <w:ind w:left="2654" w:leftChars="400" w:hanging="1774" w:hangingChars="631"/>
        <w:outlineLvl w:val="9"/>
        <w:rPr>
          <w:rFonts w:hint="eastAsia" w:ascii="宋体" w:hAnsi="宋体" w:eastAsia="宋体" w:cs="宋体"/>
          <w:bCs/>
          <w:sz w:val="28"/>
          <w:szCs w:val="28"/>
          <w:u w:val="single"/>
          <w:lang w:eastAsia="zh-CN"/>
        </w:rPr>
      </w:pPr>
      <w:r>
        <w:rPr>
          <w:rFonts w:hint="eastAsia" w:ascii="宋体" w:hAnsi="宋体" w:eastAsia="宋体"/>
          <w:sz w:val="28"/>
          <w:szCs w:val="28"/>
        </w:rPr>
        <w:t>采购代理机构</w:t>
      </w:r>
      <w:r>
        <w:rPr>
          <w:rFonts w:hint="eastAsia" w:ascii="宋体" w:hAnsi="宋体" w:eastAsia="宋体"/>
          <w:sz w:val="22"/>
          <w:szCs w:val="22"/>
        </w:rPr>
        <w:t>：</w:t>
      </w:r>
      <w:r>
        <w:rPr>
          <w:rFonts w:hint="eastAsia" w:ascii="宋体" w:hAnsi="宋体" w:eastAsia="宋体" w:cs="宋体"/>
          <w:bCs/>
          <w:sz w:val="28"/>
          <w:szCs w:val="28"/>
          <w:u w:val="single"/>
          <w:lang w:eastAsia="zh-CN"/>
        </w:rPr>
        <w:t>陇南子午线招标代理有限公司</w:t>
      </w:r>
    </w:p>
    <w:p>
      <w:pPr>
        <w:pStyle w:val="111"/>
        <w:adjustRightInd w:val="0"/>
        <w:spacing w:line="480" w:lineRule="auto"/>
        <w:jc w:val="center"/>
        <w:outlineLvl w:val="9"/>
        <w:rPr>
          <w:rFonts w:ascii="宋体" w:hAnsi="宋体" w:eastAsia="宋体" w:cs="宋体"/>
        </w:rPr>
        <w:sectPr>
          <w:headerReference r:id="rId5" w:type="first"/>
          <w:headerReference r:id="rId4" w:type="default"/>
          <w:footerReference r:id="rId6" w:type="default"/>
          <w:pgSz w:w="11906" w:h="16838"/>
          <w:pgMar w:top="1440" w:right="1746" w:bottom="1440" w:left="1746" w:header="851" w:footer="992" w:gutter="0"/>
          <w:pgNumType w:start="1"/>
          <w:cols w:space="720" w:num="1"/>
          <w:docGrid w:type="lines" w:linePitch="312" w:charSpace="0"/>
        </w:sectPr>
      </w:pPr>
      <w:r>
        <w:rPr>
          <w:rFonts w:hint="eastAsia" w:ascii="宋体" w:hAnsi="宋体" w:eastAsia="宋体"/>
          <w:bCs/>
          <w:sz w:val="28"/>
          <w:szCs w:val="28"/>
        </w:rPr>
        <w:t>202</w:t>
      </w:r>
      <w:r>
        <w:rPr>
          <w:rFonts w:hint="eastAsia" w:ascii="宋体" w:hAnsi="宋体" w:eastAsia="宋体"/>
          <w:bCs/>
          <w:sz w:val="28"/>
          <w:szCs w:val="28"/>
          <w:lang w:val="en-US" w:eastAsia="zh-CN"/>
        </w:rPr>
        <w:t>4</w:t>
      </w:r>
      <w:r>
        <w:rPr>
          <w:rFonts w:hint="eastAsia" w:ascii="宋体" w:hAnsi="宋体" w:eastAsia="宋体"/>
          <w:bCs/>
          <w:sz w:val="28"/>
          <w:szCs w:val="28"/>
        </w:rPr>
        <w:t>年</w:t>
      </w:r>
      <w:r>
        <w:rPr>
          <w:rFonts w:hint="eastAsia" w:ascii="宋体" w:hAnsi="宋体" w:eastAsia="宋体"/>
          <w:bCs/>
          <w:sz w:val="28"/>
          <w:szCs w:val="28"/>
          <w:lang w:val="en-US" w:eastAsia="zh-CN"/>
        </w:rPr>
        <w:t>6</w:t>
      </w:r>
      <w:r>
        <w:rPr>
          <w:rFonts w:hint="eastAsia" w:ascii="宋体" w:hAnsi="宋体" w:eastAsia="宋体"/>
          <w:bCs/>
          <w:sz w:val="28"/>
          <w:szCs w:val="28"/>
        </w:rPr>
        <w:t>月</w:t>
      </w:r>
    </w:p>
    <w:p>
      <w:pPr>
        <w:pStyle w:val="16"/>
        <w:keepNext w:val="0"/>
        <w:keepLines w:val="0"/>
        <w:pageBreakBefore w:val="0"/>
        <w:widowControl/>
        <w:kinsoku/>
        <w:wordWrap/>
        <w:overflowPunct/>
        <w:topLinePunct w:val="0"/>
        <w:autoSpaceDE/>
        <w:autoSpaceDN/>
        <w:bidi w:val="0"/>
        <w:adjustRightInd w:val="0"/>
        <w:snapToGrid w:val="0"/>
        <w:spacing w:line="600" w:lineRule="exact"/>
        <w:jc w:val="center"/>
        <w:textAlignment w:val="auto"/>
        <w:outlineLvl w:val="9"/>
        <w:rPr>
          <w:rFonts w:hint="eastAsia" w:hAnsi="宋体" w:eastAsia="宋体" w:cs="Times New Roman"/>
          <w:b/>
          <w:bCs/>
          <w:sz w:val="44"/>
          <w:szCs w:val="44"/>
          <w:lang w:val="en-US" w:eastAsia="zh-CN"/>
        </w:rPr>
      </w:pPr>
      <w:r>
        <w:rPr>
          <w:rFonts w:hint="eastAsia" w:hAnsi="宋体" w:eastAsia="宋体" w:cs="Times New Roman"/>
          <w:b/>
          <w:bCs/>
          <w:sz w:val="44"/>
          <w:szCs w:val="44"/>
          <w:lang w:val="en-US" w:eastAsia="zh-CN"/>
        </w:rPr>
        <w:t>目 录</w:t>
      </w:r>
    </w:p>
    <w:p>
      <w:pPr>
        <w:pStyle w:val="16"/>
        <w:keepNext w:val="0"/>
        <w:keepLines w:val="0"/>
        <w:pageBreakBefore w:val="0"/>
        <w:widowControl/>
        <w:kinsoku/>
        <w:wordWrap/>
        <w:overflowPunct/>
        <w:topLinePunct w:val="0"/>
        <w:autoSpaceDE/>
        <w:autoSpaceDN/>
        <w:bidi w:val="0"/>
        <w:adjustRightInd w:val="0"/>
        <w:snapToGrid w:val="0"/>
        <w:spacing w:line="600" w:lineRule="exact"/>
        <w:jc w:val="center"/>
        <w:textAlignment w:val="auto"/>
        <w:outlineLvl w:val="9"/>
        <w:rPr>
          <w:rFonts w:hint="eastAsia" w:hAnsi="宋体" w:eastAsia="宋体" w:cs="Times New Roman"/>
          <w:b/>
          <w:bCs/>
          <w:sz w:val="44"/>
          <w:szCs w:val="44"/>
          <w:lang w:val="en-US" w:eastAsia="zh-CN"/>
        </w:rPr>
      </w:pP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b/>
          <w:kern w:val="2"/>
          <w:sz w:val="28"/>
          <w:szCs w:val="28"/>
        </w:rPr>
        <w:fldChar w:fldCharType="begin"/>
      </w:r>
      <w:r>
        <w:rPr>
          <w:rFonts w:ascii="宋体" w:hAnsi="宋体" w:eastAsia="宋体" w:cs="宋体"/>
          <w:b/>
          <w:kern w:val="2"/>
          <w:sz w:val="28"/>
          <w:szCs w:val="28"/>
        </w:rPr>
        <w:instrText xml:space="preserve">TOC \o "1-3" \h \u </w:instrText>
      </w:r>
      <w:r>
        <w:rPr>
          <w:rFonts w:ascii="宋体" w:hAnsi="宋体" w:eastAsia="宋体" w:cs="宋体"/>
          <w:b/>
          <w:kern w:val="2"/>
          <w:sz w:val="28"/>
          <w:szCs w:val="28"/>
        </w:rPr>
        <w:fldChar w:fldCharType="separate"/>
      </w:r>
      <w:r>
        <w:rPr>
          <w:rFonts w:ascii="宋体" w:hAnsi="宋体" w:eastAsia="宋体" w:cs="宋体"/>
          <w:kern w:val="2"/>
          <w:szCs w:val="28"/>
        </w:rPr>
        <w:fldChar w:fldCharType="begin"/>
      </w:r>
      <w:r>
        <w:rPr>
          <w:rFonts w:ascii="宋体" w:hAnsi="宋体" w:eastAsia="宋体" w:cs="宋体"/>
          <w:kern w:val="2"/>
          <w:szCs w:val="28"/>
        </w:rPr>
        <w:instrText xml:space="preserve"> HYPERLINK \l _Toc24977 </w:instrText>
      </w:r>
      <w:r>
        <w:rPr>
          <w:rFonts w:ascii="宋体" w:hAnsi="宋体" w:eastAsia="宋体" w:cs="宋体"/>
          <w:kern w:val="2"/>
          <w:szCs w:val="28"/>
        </w:rPr>
        <w:fldChar w:fldCharType="separate"/>
      </w:r>
      <w:r>
        <w:rPr>
          <w:rFonts w:hint="eastAsia" w:ascii="宋体" w:hAnsi="宋体" w:eastAsia="宋体" w:cs="Times New Roman"/>
          <w:bCs/>
          <w:kern w:val="44"/>
          <w:szCs w:val="32"/>
        </w:rPr>
        <w:t>第一章</w:t>
      </w:r>
      <w:r>
        <w:rPr>
          <w:rFonts w:hint="eastAsia" w:ascii="宋体" w:hAnsi="宋体" w:eastAsia="宋体" w:cs="仿宋"/>
          <w:bCs/>
          <w:kern w:val="2"/>
          <w:szCs w:val="32"/>
        </w:rPr>
        <w:t>、</w:t>
      </w:r>
      <w:r>
        <w:rPr>
          <w:rFonts w:hint="eastAsia" w:ascii="宋体" w:hAnsi="宋体" w:eastAsia="宋体" w:cs="宋体"/>
          <w:bCs/>
          <w:szCs w:val="32"/>
        </w:rPr>
        <w:t>竞争性磋商公告</w:t>
      </w:r>
      <w:r>
        <w:tab/>
      </w:r>
      <w:r>
        <w:fldChar w:fldCharType="begin"/>
      </w:r>
      <w:r>
        <w:instrText xml:space="preserve"> PAGEREF _Toc24977 \h </w:instrText>
      </w:r>
      <w:r>
        <w:fldChar w:fldCharType="separate"/>
      </w:r>
      <w:r>
        <w:t>2</w:t>
      </w:r>
      <w:r>
        <w:fldChar w:fldCharType="end"/>
      </w:r>
      <w:r>
        <w:rPr>
          <w:rFonts w:ascii="宋体" w:hAnsi="宋体" w:eastAsia="宋体" w:cs="宋体"/>
          <w:kern w:val="2"/>
          <w:szCs w:val="28"/>
        </w:rPr>
        <w:fldChar w:fldCharType="end"/>
      </w: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kern w:val="2"/>
          <w:szCs w:val="28"/>
        </w:rPr>
        <w:fldChar w:fldCharType="begin"/>
      </w:r>
      <w:r>
        <w:rPr>
          <w:rFonts w:ascii="宋体" w:hAnsi="宋体" w:eastAsia="宋体" w:cs="宋体"/>
          <w:kern w:val="2"/>
          <w:szCs w:val="28"/>
        </w:rPr>
        <w:instrText xml:space="preserve"> HYPERLINK \l _Toc26609 </w:instrText>
      </w:r>
      <w:r>
        <w:rPr>
          <w:rFonts w:ascii="宋体" w:hAnsi="宋体" w:eastAsia="宋体" w:cs="宋体"/>
          <w:kern w:val="2"/>
          <w:szCs w:val="28"/>
        </w:rPr>
        <w:fldChar w:fldCharType="separate"/>
      </w:r>
      <w:r>
        <w:rPr>
          <w:rFonts w:hint="eastAsia" w:ascii="宋体" w:hAnsi="宋体" w:eastAsia="宋体" w:cs="Times New Roman"/>
          <w:bCs/>
          <w:kern w:val="44"/>
        </w:rPr>
        <w:t>第二章、投标人须知前附表</w:t>
      </w:r>
      <w:r>
        <w:tab/>
      </w:r>
      <w:r>
        <w:fldChar w:fldCharType="begin"/>
      </w:r>
      <w:r>
        <w:instrText xml:space="preserve"> PAGEREF _Toc26609 \h </w:instrText>
      </w:r>
      <w:r>
        <w:fldChar w:fldCharType="separate"/>
      </w:r>
      <w:r>
        <w:t>5</w:t>
      </w:r>
      <w:r>
        <w:fldChar w:fldCharType="end"/>
      </w:r>
      <w:r>
        <w:rPr>
          <w:rFonts w:ascii="宋体" w:hAnsi="宋体" w:eastAsia="宋体" w:cs="宋体"/>
          <w:kern w:val="2"/>
          <w:szCs w:val="28"/>
        </w:rPr>
        <w:fldChar w:fldCharType="end"/>
      </w: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kern w:val="2"/>
          <w:szCs w:val="28"/>
        </w:rPr>
        <w:fldChar w:fldCharType="begin"/>
      </w:r>
      <w:r>
        <w:rPr>
          <w:rFonts w:ascii="宋体" w:hAnsi="宋体" w:eastAsia="宋体" w:cs="宋体"/>
          <w:kern w:val="2"/>
          <w:szCs w:val="28"/>
        </w:rPr>
        <w:instrText xml:space="preserve"> HYPERLINK \l _Toc28098 </w:instrText>
      </w:r>
      <w:r>
        <w:rPr>
          <w:rFonts w:ascii="宋体" w:hAnsi="宋体" w:eastAsia="宋体" w:cs="宋体"/>
          <w:kern w:val="2"/>
          <w:szCs w:val="28"/>
        </w:rPr>
        <w:fldChar w:fldCharType="separate"/>
      </w:r>
      <w:r>
        <w:rPr>
          <w:rFonts w:hint="eastAsia" w:ascii="宋体" w:hAnsi="宋体" w:eastAsia="宋体" w:cs="Times New Roman"/>
          <w:bCs/>
          <w:kern w:val="44"/>
        </w:rPr>
        <w:t>第三章、投标人须知</w:t>
      </w:r>
      <w:r>
        <w:tab/>
      </w:r>
      <w:r>
        <w:fldChar w:fldCharType="begin"/>
      </w:r>
      <w:r>
        <w:instrText xml:space="preserve"> PAGEREF _Toc28098 \h </w:instrText>
      </w:r>
      <w:r>
        <w:fldChar w:fldCharType="separate"/>
      </w:r>
      <w:r>
        <w:t>9</w:t>
      </w:r>
      <w:r>
        <w:fldChar w:fldCharType="end"/>
      </w:r>
      <w:r>
        <w:rPr>
          <w:rFonts w:ascii="宋体" w:hAnsi="宋体" w:eastAsia="宋体" w:cs="宋体"/>
          <w:kern w:val="2"/>
          <w:szCs w:val="28"/>
        </w:rPr>
        <w:fldChar w:fldCharType="end"/>
      </w: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kern w:val="2"/>
          <w:szCs w:val="28"/>
        </w:rPr>
        <w:fldChar w:fldCharType="begin"/>
      </w:r>
      <w:r>
        <w:rPr>
          <w:rFonts w:ascii="宋体" w:hAnsi="宋体" w:eastAsia="宋体" w:cs="宋体"/>
          <w:kern w:val="2"/>
          <w:szCs w:val="28"/>
        </w:rPr>
        <w:instrText xml:space="preserve"> HYPERLINK \l _Toc18864 </w:instrText>
      </w:r>
      <w:r>
        <w:rPr>
          <w:rFonts w:ascii="宋体" w:hAnsi="宋体" w:eastAsia="宋体" w:cs="宋体"/>
          <w:kern w:val="2"/>
          <w:szCs w:val="28"/>
        </w:rPr>
        <w:fldChar w:fldCharType="separate"/>
      </w:r>
      <w:r>
        <w:rPr>
          <w:rFonts w:hint="eastAsia" w:ascii="宋体" w:hAnsi="宋体" w:eastAsia="宋体" w:cs="Times New Roman"/>
          <w:bCs/>
          <w:kern w:val="44"/>
        </w:rPr>
        <w:t>第四章、 磋商内容及要求</w:t>
      </w:r>
      <w:r>
        <w:tab/>
      </w:r>
      <w:r>
        <w:fldChar w:fldCharType="begin"/>
      </w:r>
      <w:r>
        <w:instrText xml:space="preserve"> PAGEREF _Toc18864 \h </w:instrText>
      </w:r>
      <w:r>
        <w:fldChar w:fldCharType="separate"/>
      </w:r>
      <w:r>
        <w:t>21</w:t>
      </w:r>
      <w:r>
        <w:fldChar w:fldCharType="end"/>
      </w:r>
      <w:r>
        <w:rPr>
          <w:rFonts w:ascii="宋体" w:hAnsi="宋体" w:eastAsia="宋体" w:cs="宋体"/>
          <w:kern w:val="2"/>
          <w:szCs w:val="28"/>
        </w:rPr>
        <w:fldChar w:fldCharType="end"/>
      </w: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kern w:val="2"/>
          <w:szCs w:val="28"/>
        </w:rPr>
        <w:fldChar w:fldCharType="begin"/>
      </w:r>
      <w:r>
        <w:rPr>
          <w:rFonts w:ascii="宋体" w:hAnsi="宋体" w:eastAsia="宋体" w:cs="宋体"/>
          <w:kern w:val="2"/>
          <w:szCs w:val="28"/>
        </w:rPr>
        <w:instrText xml:space="preserve"> HYPERLINK \l _Toc1335 </w:instrText>
      </w:r>
      <w:r>
        <w:rPr>
          <w:rFonts w:ascii="宋体" w:hAnsi="宋体" w:eastAsia="宋体" w:cs="宋体"/>
          <w:kern w:val="2"/>
          <w:szCs w:val="28"/>
        </w:rPr>
        <w:fldChar w:fldCharType="separate"/>
      </w:r>
      <w:r>
        <w:rPr>
          <w:rFonts w:hint="eastAsia" w:ascii="宋体" w:hAnsi="宋体" w:eastAsia="宋体" w:cs="Times New Roman"/>
          <w:bCs/>
          <w:kern w:val="44"/>
        </w:rPr>
        <w:t>第五章、评标原则及办法</w:t>
      </w:r>
      <w:r>
        <w:tab/>
      </w:r>
      <w:r>
        <w:fldChar w:fldCharType="begin"/>
      </w:r>
      <w:r>
        <w:instrText xml:space="preserve"> PAGEREF _Toc1335 \h </w:instrText>
      </w:r>
      <w:r>
        <w:fldChar w:fldCharType="separate"/>
      </w:r>
      <w:r>
        <w:t>21</w:t>
      </w:r>
      <w:r>
        <w:fldChar w:fldCharType="end"/>
      </w:r>
      <w:r>
        <w:rPr>
          <w:rFonts w:ascii="宋体" w:hAnsi="宋体" w:eastAsia="宋体" w:cs="宋体"/>
          <w:kern w:val="2"/>
          <w:szCs w:val="28"/>
        </w:rPr>
        <w:fldChar w:fldCharType="end"/>
      </w:r>
    </w:p>
    <w:p>
      <w:pPr>
        <w:pStyle w:val="22"/>
        <w:keepNext w:val="0"/>
        <w:keepLines w:val="0"/>
        <w:pageBreakBefore w:val="0"/>
        <w:widowControl/>
        <w:tabs>
          <w:tab w:val="right" w:leader="dot" w:pos="9128"/>
        </w:tabs>
        <w:kinsoku/>
        <w:wordWrap/>
        <w:overflowPunct/>
        <w:topLinePunct w:val="0"/>
        <w:autoSpaceDE/>
        <w:autoSpaceDN/>
        <w:bidi w:val="0"/>
        <w:adjustRightInd w:val="0"/>
        <w:snapToGrid w:val="0"/>
        <w:spacing w:line="720" w:lineRule="auto"/>
        <w:textAlignment w:val="auto"/>
      </w:pPr>
      <w:r>
        <w:rPr>
          <w:rFonts w:ascii="宋体" w:hAnsi="宋体" w:eastAsia="宋体" w:cs="宋体"/>
          <w:kern w:val="2"/>
          <w:szCs w:val="28"/>
        </w:rPr>
        <w:fldChar w:fldCharType="begin"/>
      </w:r>
      <w:r>
        <w:rPr>
          <w:rFonts w:ascii="宋体" w:hAnsi="宋体" w:eastAsia="宋体" w:cs="宋体"/>
          <w:kern w:val="2"/>
          <w:szCs w:val="28"/>
        </w:rPr>
        <w:instrText xml:space="preserve"> HYPERLINK \l _Toc24154 </w:instrText>
      </w:r>
      <w:r>
        <w:rPr>
          <w:rFonts w:ascii="宋体" w:hAnsi="宋体" w:eastAsia="宋体" w:cs="宋体"/>
          <w:kern w:val="2"/>
          <w:szCs w:val="28"/>
        </w:rPr>
        <w:fldChar w:fldCharType="separate"/>
      </w:r>
      <w:r>
        <w:rPr>
          <w:rFonts w:hint="eastAsia" w:ascii="宋体" w:hAnsi="宋体" w:eastAsia="宋体" w:cs="Times New Roman"/>
          <w:bCs/>
          <w:kern w:val="44"/>
        </w:rPr>
        <w:t>第六章、合同条款及格式</w:t>
      </w:r>
      <w:r>
        <w:tab/>
      </w:r>
      <w:r>
        <w:fldChar w:fldCharType="begin"/>
      </w:r>
      <w:r>
        <w:instrText xml:space="preserve"> PAGEREF _Toc24154 \h </w:instrText>
      </w:r>
      <w:r>
        <w:fldChar w:fldCharType="separate"/>
      </w:r>
      <w:r>
        <w:t>34</w:t>
      </w:r>
      <w:r>
        <w:fldChar w:fldCharType="end"/>
      </w:r>
      <w:r>
        <w:rPr>
          <w:rFonts w:ascii="宋体" w:hAnsi="宋体" w:eastAsia="宋体" w:cs="宋体"/>
          <w:kern w:val="2"/>
          <w:szCs w:val="28"/>
        </w:rPr>
        <w:fldChar w:fldCharType="end"/>
      </w:r>
    </w:p>
    <w:p>
      <w:pPr>
        <w:adjustRightInd/>
        <w:snapToGrid/>
        <w:spacing w:after="0" w:line="360" w:lineRule="auto"/>
        <w:jc w:val="center"/>
        <w:textAlignment w:val="baseline"/>
        <w:outlineLvl w:val="9"/>
        <w:rPr>
          <w:rFonts w:ascii="宋体" w:hAnsi="宋体" w:eastAsia="宋体" w:cs="宋体"/>
          <w:b/>
          <w:kern w:val="2"/>
          <w:sz w:val="28"/>
          <w:szCs w:val="28"/>
        </w:rPr>
        <w:sectPr>
          <w:footerReference r:id="rId8" w:type="first"/>
          <w:footerReference r:id="rId7" w:type="default"/>
          <w:pgSz w:w="11906" w:h="16838"/>
          <w:pgMar w:top="1417" w:right="1361" w:bottom="1417" w:left="1417" w:header="851" w:footer="851" w:gutter="0"/>
          <w:pgNumType w:start="1"/>
          <w:cols w:space="720" w:num="1"/>
          <w:titlePg/>
          <w:docGrid w:linePitch="312" w:charSpace="0"/>
        </w:sectPr>
      </w:pPr>
      <w:r>
        <w:rPr>
          <w:rFonts w:ascii="宋体" w:hAnsi="宋体" w:eastAsia="宋体" w:cs="宋体"/>
          <w:kern w:val="2"/>
          <w:szCs w:val="28"/>
        </w:rPr>
        <w:fldChar w:fldCharType="end"/>
      </w:r>
    </w:p>
    <w:p>
      <w:pPr>
        <w:adjustRightInd/>
        <w:snapToGrid/>
        <w:spacing w:after="0" w:line="360" w:lineRule="auto"/>
        <w:jc w:val="center"/>
        <w:textAlignment w:val="baseline"/>
        <w:outlineLvl w:val="0"/>
        <w:rPr>
          <w:rFonts w:ascii="宋体" w:hAnsi="宋体" w:eastAsia="宋体" w:cs="仿宋"/>
          <w:b/>
          <w:kern w:val="2"/>
        </w:rPr>
      </w:pPr>
      <w:bookmarkStart w:id="0" w:name="_Toc12502"/>
      <w:bookmarkStart w:id="1" w:name="_Toc16196"/>
      <w:bookmarkStart w:id="2" w:name="_Toc24977"/>
      <w:r>
        <w:rPr>
          <w:rFonts w:hint="eastAsia" w:ascii="宋体" w:hAnsi="宋体" w:eastAsia="宋体" w:cs="Times New Roman"/>
          <w:b/>
          <w:bCs/>
          <w:kern w:val="44"/>
          <w:sz w:val="32"/>
          <w:szCs w:val="32"/>
        </w:rPr>
        <w:t>第一章</w:t>
      </w:r>
      <w:bookmarkEnd w:id="0"/>
      <w:r>
        <w:rPr>
          <w:rFonts w:hint="eastAsia" w:ascii="宋体" w:hAnsi="宋体" w:eastAsia="宋体" w:cs="仿宋"/>
          <w:b/>
          <w:bCs/>
          <w:kern w:val="2"/>
          <w:sz w:val="32"/>
          <w:szCs w:val="32"/>
        </w:rPr>
        <w:t>、</w:t>
      </w:r>
      <w:bookmarkStart w:id="3" w:name="_Toc27389"/>
      <w:r>
        <w:rPr>
          <w:rFonts w:hint="eastAsia" w:ascii="宋体" w:hAnsi="宋体" w:eastAsia="宋体" w:cs="宋体"/>
          <w:b/>
          <w:bCs/>
          <w:sz w:val="32"/>
          <w:szCs w:val="32"/>
        </w:rPr>
        <w:t>竞争性磋商公告</w:t>
      </w:r>
      <w:bookmarkEnd w:id="1"/>
      <w:bookmarkEnd w:id="2"/>
      <w:bookmarkEnd w:id="3"/>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陇南市武都区2024年核桃示范园建设项目竞争性磋商公告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u w:val="single"/>
          <w:lang w:val="en-US" w:eastAsia="zh-CN" w:bidi="ar"/>
        </w:rPr>
        <w:t>陇南市武都区核桃产业开发中心</w:t>
      </w:r>
      <w:r>
        <w:rPr>
          <w:rFonts w:hint="default" w:ascii="Tahoma" w:hAnsi="Tahoma" w:eastAsia="Tahoma" w:cs="Tahoma"/>
          <w:i w:val="0"/>
          <w:iCs w:val="0"/>
          <w:caps w:val="0"/>
          <w:color w:val="000000"/>
          <w:spacing w:val="0"/>
          <w:kern w:val="0"/>
          <w:sz w:val="18"/>
          <w:szCs w:val="18"/>
          <w:lang w:val="en-US" w:eastAsia="zh-CN" w:bidi="ar"/>
        </w:rPr>
        <w:t>采购项目的潜在供应商应在</w:t>
      </w:r>
      <w:r>
        <w:rPr>
          <w:rFonts w:hint="default" w:ascii="Tahoma" w:hAnsi="Tahoma" w:eastAsia="Tahoma" w:cs="Tahoma"/>
          <w:i w:val="0"/>
          <w:iCs w:val="0"/>
          <w:caps w:val="0"/>
          <w:color w:val="000000"/>
          <w:spacing w:val="0"/>
          <w:kern w:val="0"/>
          <w:sz w:val="18"/>
          <w:szCs w:val="18"/>
          <w:u w:val="single"/>
          <w:lang w:val="en-US" w:eastAsia="zh-CN" w:bidi="ar"/>
        </w:rPr>
        <w:t>陇南市公共资源交易网（网址：http://60.164.200.102/）免费下载</w:t>
      </w:r>
      <w:r>
        <w:rPr>
          <w:rFonts w:hint="default" w:ascii="Tahoma" w:hAnsi="Tahoma" w:eastAsia="Tahoma" w:cs="Tahoma"/>
          <w:i w:val="0"/>
          <w:iCs w:val="0"/>
          <w:caps w:val="0"/>
          <w:color w:val="000000"/>
          <w:spacing w:val="0"/>
          <w:kern w:val="0"/>
          <w:sz w:val="18"/>
          <w:szCs w:val="18"/>
          <w:lang w:val="en-US" w:eastAsia="zh-CN" w:bidi="ar"/>
        </w:rPr>
        <w:t>获取采购文件，并于</w:t>
      </w:r>
      <w:r>
        <w:rPr>
          <w:rFonts w:hint="default" w:ascii="Tahoma" w:hAnsi="Tahoma" w:eastAsia="Tahoma" w:cs="Tahoma"/>
          <w:i w:val="0"/>
          <w:iCs w:val="0"/>
          <w:caps w:val="0"/>
          <w:color w:val="000000"/>
          <w:spacing w:val="0"/>
          <w:kern w:val="0"/>
          <w:sz w:val="18"/>
          <w:szCs w:val="18"/>
          <w:u w:val="single"/>
          <w:lang w:val="en-US" w:eastAsia="zh-CN" w:bidi="ar"/>
        </w:rPr>
        <w:t>2024-06-17 09:00:00</w:t>
      </w:r>
      <w:r>
        <w:rPr>
          <w:rFonts w:hint="default" w:ascii="Tahoma" w:hAnsi="Tahoma" w:eastAsia="Tahoma" w:cs="Tahoma"/>
          <w:i w:val="0"/>
          <w:iCs w:val="0"/>
          <w:caps w:val="0"/>
          <w:color w:val="000000"/>
          <w:spacing w:val="0"/>
          <w:kern w:val="0"/>
          <w:sz w:val="18"/>
          <w:szCs w:val="18"/>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项目编号：114455JH621202002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项目名称：陇南市武都区2024年核桃示范园建设项目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预算金额：150.0(万元)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最高限价：150.0(万元)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采购需求：陇南市武都区2024年核桃示范园建设一项。（具体内容详见磋商文件）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1）须符合《中华人民共和国政府采购法》之二十二条规定；（2）须提供法人授权函及被授权人身份证（正、反面复印件）（3）供应商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起至响应文件递交截止之日各供应商自行在以上网站查询的结果为准，如相关失信记录失效，供应商需提供相关证明资料）；（4）参加政府采购活动前三年内，在经营活动中没有重大违法记录声明；（5）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落实政府采购政策需满足的资格要求：《政府采购促进中小企业发展管理办法》（财库[2020]46号）、关于进一步加大政府采购支持中小企业力度的通知（财库〔2022〕19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3.本项目的特定资格要求：供应商须</w:t>
      </w:r>
      <w:r>
        <w:rPr>
          <w:rFonts w:hint="eastAsia" w:eastAsia="Tahoma" w:cs="Tahoma"/>
          <w:i w:val="0"/>
          <w:iCs w:val="0"/>
          <w:caps w:val="0"/>
          <w:color w:val="000000"/>
          <w:spacing w:val="0"/>
          <w:kern w:val="0"/>
          <w:sz w:val="18"/>
          <w:szCs w:val="18"/>
          <w:lang w:val="en-US" w:eastAsia="zh-CN" w:bidi="ar"/>
        </w:rPr>
        <w:t>具有</w:t>
      </w:r>
      <w:r>
        <w:rPr>
          <w:rFonts w:hint="default" w:ascii="Tahoma" w:hAnsi="Tahoma" w:eastAsia="Tahoma" w:cs="Tahoma"/>
          <w:i w:val="0"/>
          <w:iCs w:val="0"/>
          <w:caps w:val="0"/>
          <w:color w:val="000000"/>
          <w:spacing w:val="0"/>
          <w:kern w:val="0"/>
          <w:sz w:val="18"/>
          <w:szCs w:val="18"/>
          <w:lang w:val="en-US" w:eastAsia="zh-CN" w:bidi="ar"/>
        </w:rPr>
        <w:t>农业主管部门颁发的合格有效的肥料登记证。</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三、获取采购文件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w:t>
      </w:r>
      <w:r>
        <w:rPr>
          <w:rFonts w:hint="default" w:ascii="Tahoma" w:hAnsi="Tahoma" w:eastAsia="Tahoma" w:cs="Tahoma"/>
          <w:i w:val="0"/>
          <w:iCs w:val="0"/>
          <w:caps w:val="0"/>
          <w:color w:val="000000"/>
          <w:spacing w:val="0"/>
          <w:kern w:val="0"/>
          <w:sz w:val="18"/>
          <w:szCs w:val="18"/>
          <w:u w:val="single"/>
          <w:lang w:val="en-US" w:eastAsia="zh-CN" w:bidi="ar"/>
        </w:rPr>
        <w:t>2024-06-06</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2024-06-13</w:t>
      </w:r>
      <w:r>
        <w:rPr>
          <w:rFonts w:hint="default" w:ascii="Tahoma" w:hAnsi="Tahoma" w:eastAsia="Tahoma" w:cs="Tahoma"/>
          <w:i w:val="0"/>
          <w:iCs w:val="0"/>
          <w:caps w:val="0"/>
          <w:color w:val="000000"/>
          <w:spacing w:val="0"/>
          <w:kern w:val="0"/>
          <w:sz w:val="18"/>
          <w:szCs w:val="18"/>
          <w:lang w:val="en-US" w:eastAsia="zh-CN" w:bidi="ar"/>
        </w:rPr>
        <w:t>，每天上午</w:t>
      </w:r>
      <w:r>
        <w:rPr>
          <w:rFonts w:hint="default" w:ascii="Tahoma" w:hAnsi="Tahoma" w:eastAsia="Tahoma" w:cs="Tahoma"/>
          <w:i w:val="0"/>
          <w:iCs w:val="0"/>
          <w:caps w:val="0"/>
          <w:color w:val="000000"/>
          <w:spacing w:val="0"/>
          <w:kern w:val="0"/>
          <w:sz w:val="18"/>
          <w:szCs w:val="18"/>
          <w:u w:val="single"/>
          <w:lang w:val="en-US" w:eastAsia="zh-CN" w:bidi="ar"/>
        </w:rPr>
        <w:t>8:30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，下午</w:t>
      </w:r>
      <w:r>
        <w:rPr>
          <w:rFonts w:hint="default" w:ascii="Tahoma" w:hAnsi="Tahoma" w:eastAsia="Tahoma" w:cs="Tahoma"/>
          <w:i w:val="0"/>
          <w:iCs w:val="0"/>
          <w:caps w:val="0"/>
          <w:color w:val="000000"/>
          <w:spacing w:val="0"/>
          <w:kern w:val="0"/>
          <w:sz w:val="18"/>
          <w:szCs w:val="18"/>
          <w:u w:val="single"/>
          <w:lang w:val="en-US" w:eastAsia="zh-CN" w:bidi="ar"/>
        </w:rPr>
        <w:t>12:00</w:t>
      </w:r>
      <w:r>
        <w:rPr>
          <w:rFonts w:hint="default" w:ascii="Tahoma" w:hAnsi="Tahoma" w:eastAsia="Tahoma" w:cs="Tahoma"/>
          <w:i w:val="0"/>
          <w:iCs w:val="0"/>
          <w:caps w:val="0"/>
          <w:color w:val="000000"/>
          <w:spacing w:val="0"/>
          <w:kern w:val="0"/>
          <w:sz w:val="18"/>
          <w:szCs w:val="18"/>
          <w:lang w:val="en-US" w:eastAsia="zh-CN" w:bidi="ar"/>
        </w:rPr>
        <w:t>至</w:t>
      </w:r>
      <w:r>
        <w:rPr>
          <w:rFonts w:hint="default" w:ascii="Tahoma" w:hAnsi="Tahoma" w:eastAsia="Tahoma" w:cs="Tahoma"/>
          <w:i w:val="0"/>
          <w:iCs w:val="0"/>
          <w:caps w:val="0"/>
          <w:color w:val="000000"/>
          <w:spacing w:val="0"/>
          <w:kern w:val="0"/>
          <w:sz w:val="18"/>
          <w:szCs w:val="1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四、响应文件提交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截止时间：2024-06-17 09:00:00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地点：陇南市公共资源交易中心网络开标直播一厅第4坐席（陇南市行政中心5号楼环保大厦）</w:t>
      </w:r>
    </w:p>
    <w:p>
      <w:pPr>
        <w:keepNext w:val="0"/>
        <w:keepLines w:val="0"/>
        <w:widowControl/>
        <w:suppressLineNumbers w:val="0"/>
        <w:jc w:val="left"/>
      </w:pPr>
      <w:r>
        <w:rPr>
          <w:rFonts w:hint="default" w:ascii="Tahoma" w:hAnsi="Tahoma" w:eastAsia="Tahoma" w:cs="Tahoma"/>
          <w:i w:val="0"/>
          <w:iCs w:val="0"/>
          <w:caps w:val="0"/>
          <w:color w:val="000000"/>
          <w:spacing w:val="0"/>
          <w:kern w:val="0"/>
          <w:sz w:val="18"/>
          <w:szCs w:val="18"/>
          <w:lang w:val="en-US" w:eastAsia="zh-CN" w:bidi="ar"/>
        </w:rPr>
        <w:t>五、开启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时间：2024-06-17 09:00:00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地点：凭CA证书登录陇南市公共资源交易网（网址 ：http://60.164.200.102/）进行上传</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六、公告期限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七、其他补充事宜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响应文件）则视为放弃投标。 2.请潜在供应商随时关注陇南市公共资源交易网及甘肃政府采购网本项目相关变更公告及澄清答疑文件，否则由变更引起的相关责任自负。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陇南市武都区核桃产业开发中心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陇南市武都区城关镇北山东路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0939-8560455</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名 称：</w:t>
      </w:r>
      <w:r>
        <w:rPr>
          <w:rFonts w:hint="default" w:ascii="Tahoma" w:hAnsi="Tahoma" w:eastAsia="Tahoma" w:cs="Tahoma"/>
          <w:i w:val="0"/>
          <w:iCs w:val="0"/>
          <w:caps w:val="0"/>
          <w:color w:val="000000"/>
          <w:spacing w:val="0"/>
          <w:kern w:val="0"/>
          <w:sz w:val="18"/>
          <w:szCs w:val="18"/>
          <w:u w:val="single"/>
          <w:lang w:val="en-US" w:eastAsia="zh-CN" w:bidi="ar"/>
        </w:rPr>
        <w:t>陇南子午线招标代理有限公司</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地 址：</w:t>
      </w:r>
      <w:r>
        <w:rPr>
          <w:rFonts w:hint="default" w:ascii="Tahoma" w:hAnsi="Tahoma" w:eastAsia="Tahoma" w:cs="Tahoma"/>
          <w:i w:val="0"/>
          <w:iCs w:val="0"/>
          <w:caps w:val="0"/>
          <w:color w:val="000000"/>
          <w:spacing w:val="0"/>
          <w:kern w:val="0"/>
          <w:sz w:val="18"/>
          <w:szCs w:val="18"/>
          <w:u w:val="single"/>
          <w:lang w:val="en-US" w:eastAsia="zh-CN" w:bidi="ar"/>
        </w:rPr>
        <w:t>陇南市武都区东江第五安置区</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联系方式：</w:t>
      </w:r>
      <w:r>
        <w:rPr>
          <w:rFonts w:hint="default" w:ascii="Tahoma" w:hAnsi="Tahoma" w:eastAsia="Tahoma" w:cs="Tahoma"/>
          <w:i w:val="0"/>
          <w:iCs w:val="0"/>
          <w:caps w:val="0"/>
          <w:color w:val="000000"/>
          <w:spacing w:val="0"/>
          <w:kern w:val="0"/>
          <w:sz w:val="18"/>
          <w:szCs w:val="18"/>
          <w:u w:val="single"/>
          <w:lang w:val="en-US" w:eastAsia="zh-CN" w:bidi="ar"/>
        </w:rPr>
        <w:t>17793920248</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项目联系人：</w:t>
      </w:r>
      <w:r>
        <w:rPr>
          <w:rFonts w:hint="default" w:ascii="Tahoma" w:hAnsi="Tahoma" w:eastAsia="Tahoma" w:cs="Tahoma"/>
          <w:i w:val="0"/>
          <w:iCs w:val="0"/>
          <w:caps w:val="0"/>
          <w:color w:val="000000"/>
          <w:spacing w:val="0"/>
          <w:kern w:val="0"/>
          <w:sz w:val="18"/>
          <w:szCs w:val="18"/>
          <w:u w:val="single"/>
          <w:lang w:val="en-US" w:eastAsia="zh-CN" w:bidi="ar"/>
        </w:rPr>
        <w:t>李展鹏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kern w:val="0"/>
          <w:sz w:val="18"/>
          <w:szCs w:val="18"/>
          <w:lang w:val="en-US" w:eastAsia="zh-CN" w:bidi="ar"/>
        </w:rPr>
        <w:t>电　话：</w:t>
      </w:r>
      <w:r>
        <w:rPr>
          <w:rFonts w:hint="default" w:ascii="Tahoma" w:hAnsi="Tahoma" w:eastAsia="Tahoma" w:cs="Tahoma"/>
          <w:i w:val="0"/>
          <w:iCs w:val="0"/>
          <w:caps w:val="0"/>
          <w:color w:val="000000"/>
          <w:spacing w:val="0"/>
          <w:kern w:val="0"/>
          <w:sz w:val="18"/>
          <w:szCs w:val="18"/>
          <w:u w:val="single"/>
          <w:lang w:val="en-US" w:eastAsia="zh-CN" w:bidi="ar"/>
        </w:rPr>
        <w:t>0939-8560455</w:t>
      </w:r>
    </w:p>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hint="eastAsia" w:ascii="宋体" w:hAnsi="宋体" w:eastAsia="宋体" w:cs="宋体"/>
          <w:sz w:val="24"/>
          <w:szCs w:val="24"/>
          <w:lang w:bidi="ar"/>
        </w:rPr>
      </w:pPr>
    </w:p>
    <w:p>
      <w:pPr>
        <w:adjustRightInd/>
        <w:snapToGrid/>
        <w:spacing w:after="0" w:line="360" w:lineRule="auto"/>
        <w:jc w:val="center"/>
        <w:textAlignment w:val="baseline"/>
        <w:outlineLvl w:val="0"/>
        <w:rPr>
          <w:rFonts w:ascii="宋体" w:hAnsi="宋体" w:eastAsia="宋体" w:cs="Times New Roman"/>
          <w:b/>
          <w:bCs/>
          <w:kern w:val="44"/>
          <w:sz w:val="30"/>
        </w:rPr>
      </w:pPr>
      <w:r>
        <w:rPr>
          <w:rFonts w:hint="eastAsia" w:ascii="宋体" w:hAnsi="宋体" w:eastAsia="宋体" w:cs="宋体"/>
          <w:sz w:val="24"/>
          <w:szCs w:val="24"/>
          <w:lang w:bidi="ar"/>
        </w:rPr>
        <w:t xml:space="preserve"> </w:t>
      </w:r>
      <w:bookmarkStart w:id="4" w:name="_Toc9145"/>
      <w:bookmarkStart w:id="5" w:name="_Toc26609"/>
      <w:bookmarkStart w:id="6" w:name="_Toc29214"/>
      <w:r>
        <w:rPr>
          <w:rFonts w:hint="eastAsia" w:ascii="宋体" w:hAnsi="宋体" w:eastAsia="宋体" w:cs="Times New Roman"/>
          <w:b/>
          <w:bCs/>
          <w:kern w:val="44"/>
          <w:sz w:val="30"/>
        </w:rPr>
        <w:t>第二章</w:t>
      </w:r>
      <w:bookmarkEnd w:id="4"/>
      <w:r>
        <w:rPr>
          <w:rFonts w:hint="eastAsia" w:ascii="宋体" w:hAnsi="宋体" w:eastAsia="宋体" w:cs="Times New Roman"/>
          <w:b/>
          <w:bCs/>
          <w:kern w:val="44"/>
          <w:sz w:val="30"/>
        </w:rPr>
        <w:t>、</w:t>
      </w:r>
      <w:bookmarkStart w:id="7" w:name="_Toc13730"/>
      <w:r>
        <w:rPr>
          <w:rFonts w:hint="eastAsia" w:ascii="宋体" w:hAnsi="宋体" w:eastAsia="宋体" w:cs="Times New Roman"/>
          <w:b/>
          <w:bCs/>
          <w:kern w:val="44"/>
          <w:sz w:val="30"/>
        </w:rPr>
        <w:t>投标人须知前附表</w:t>
      </w:r>
      <w:bookmarkEnd w:id="5"/>
      <w:bookmarkEnd w:id="6"/>
      <w:bookmarkEnd w:id="7"/>
    </w:p>
    <w:p>
      <w:pPr>
        <w:jc w:val="center"/>
        <w:outlineLvl w:val="9"/>
        <w:rPr>
          <w:rFonts w:ascii="宋体" w:hAnsi="宋体" w:eastAsia="宋体" w:cs="宋体"/>
          <w:b/>
          <w:bCs/>
          <w:sz w:val="28"/>
          <w:szCs w:val="28"/>
        </w:rPr>
      </w:pPr>
      <w:bookmarkStart w:id="8" w:name="_Toc525"/>
      <w:bookmarkStart w:id="9" w:name="_Toc21996"/>
      <w:bookmarkStart w:id="10" w:name="_Toc13947"/>
      <w:r>
        <w:rPr>
          <w:rFonts w:hint="eastAsia" w:ascii="宋体" w:hAnsi="宋体" w:eastAsia="宋体" w:cs="宋体"/>
          <w:b/>
          <w:bCs/>
          <w:sz w:val="28"/>
          <w:szCs w:val="28"/>
        </w:rPr>
        <w:t>投标人须知前附表</w:t>
      </w:r>
      <w:bookmarkEnd w:id="8"/>
      <w:bookmarkEnd w:id="9"/>
      <w:bookmarkEnd w:id="10"/>
    </w:p>
    <w:tbl>
      <w:tblPr>
        <w:tblStyle w:val="28"/>
        <w:tblW w:w="10601" w:type="dxa"/>
        <w:jc w:val="center"/>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202"/>
        <w:gridCol w:w="928"/>
        <w:gridCol w:w="7841"/>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0" w:type="dxa"/>
            <w:tcBorders>
              <w:top w:val="double" w:color="000000" w:sz="6"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hint="eastAsia" w:ascii="宋体" w:hAnsi="宋体" w:eastAsia="宋体" w:cs="宋体"/>
                <w:b/>
                <w:kern w:val="2"/>
                <w:sz w:val="24"/>
                <w:szCs w:val="24"/>
                <w:lang w:eastAsia="zh-CN"/>
              </w:rPr>
            </w:pPr>
            <w:r>
              <w:rPr>
                <w:rFonts w:hint="eastAsia" w:ascii="宋体" w:hAnsi="宋体" w:eastAsia="宋体" w:cs="宋体"/>
                <w:b/>
                <w:kern w:val="2"/>
                <w:sz w:val="24"/>
                <w:szCs w:val="24"/>
                <w:lang w:val="en-US" w:eastAsia="zh-CN"/>
              </w:rPr>
              <w:t>序号</w:t>
            </w:r>
          </w:p>
        </w:tc>
        <w:tc>
          <w:tcPr>
            <w:tcW w:w="1202" w:type="dxa"/>
            <w:tcBorders>
              <w:top w:val="double" w:color="000000" w:sz="6"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条款名称</w:t>
            </w:r>
          </w:p>
        </w:tc>
        <w:tc>
          <w:tcPr>
            <w:tcW w:w="8769" w:type="dxa"/>
            <w:gridSpan w:val="2"/>
            <w:tcBorders>
              <w:top w:val="double" w:color="000000" w:sz="6" w:space="0"/>
              <w:left w:val="single" w:color="000000" w:sz="4" w:space="0"/>
              <w:bottom w:val="single" w:color="000000" w:sz="4" w:space="0"/>
              <w:right w:val="double" w:color="000000" w:sz="6" w:space="0"/>
            </w:tcBorders>
            <w:vAlign w:val="center"/>
          </w:tcPr>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内容规定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230"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综合说明</w:t>
            </w:r>
          </w:p>
        </w:tc>
        <w:tc>
          <w:tcPr>
            <w:tcW w:w="8769" w:type="dxa"/>
            <w:gridSpan w:val="2"/>
            <w:tcBorders>
              <w:top w:val="single" w:color="000000" w:sz="4" w:space="0"/>
              <w:left w:val="single" w:color="000000" w:sz="4" w:space="0"/>
              <w:bottom w:val="single" w:color="000000" w:sz="4" w:space="0"/>
              <w:right w:val="double" w:color="000000" w:sz="6" w:space="0"/>
            </w:tcBorders>
          </w:tcPr>
          <w:p>
            <w:pPr>
              <w:numPr>
                <w:ilvl w:val="0"/>
                <w:numId w:val="1"/>
              </w:num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采购项目名称：</w:t>
            </w:r>
            <w:r>
              <w:rPr>
                <w:rFonts w:hint="eastAsia" w:ascii="宋体" w:hAnsi="宋体" w:eastAsia="宋体" w:cs="宋体"/>
                <w:kern w:val="2"/>
                <w:sz w:val="24"/>
                <w:szCs w:val="24"/>
                <w:lang w:eastAsia="zh-CN"/>
              </w:rPr>
              <w:t>陇南市武都区2024年核桃示范园建设项目</w:t>
            </w:r>
          </w:p>
          <w:p>
            <w:pPr>
              <w:numPr>
                <w:ilvl w:val="0"/>
                <w:numId w:val="1"/>
              </w:numPr>
              <w:adjustRightInd/>
              <w:snapToGrid/>
              <w:spacing w:after="0" w:line="360" w:lineRule="auto"/>
              <w:jc w:val="both"/>
              <w:textAlignment w:val="baseline"/>
              <w:outlineLvl w:val="9"/>
              <w:rPr>
                <w:rFonts w:ascii="宋体" w:hAnsi="宋体" w:eastAsia="宋体" w:cs="宋体"/>
                <w:kern w:val="2"/>
                <w:sz w:val="24"/>
                <w:szCs w:val="24"/>
                <w:highlight w:val="none"/>
              </w:rPr>
            </w:pPr>
            <w:r>
              <w:rPr>
                <w:rFonts w:hint="eastAsia" w:ascii="宋体" w:hAnsi="宋体" w:eastAsia="宋体" w:cs="宋体"/>
                <w:color w:val="auto"/>
                <w:kern w:val="2"/>
                <w:sz w:val="24"/>
                <w:szCs w:val="24"/>
                <w:highlight w:val="none"/>
                <w:lang w:val="en-US" w:eastAsia="zh-CN"/>
              </w:rPr>
              <w:t>招标</w:t>
            </w:r>
            <w:r>
              <w:rPr>
                <w:rFonts w:hint="eastAsia" w:ascii="宋体" w:hAnsi="宋体" w:eastAsia="宋体" w:cs="宋体"/>
                <w:color w:val="auto"/>
                <w:kern w:val="2"/>
                <w:sz w:val="24"/>
                <w:szCs w:val="24"/>
                <w:highlight w:val="none"/>
              </w:rPr>
              <w:t>编号：</w:t>
            </w:r>
            <w:r>
              <w:rPr>
                <w:rFonts w:hint="eastAsia" w:ascii="宋体" w:hAnsi="宋体" w:eastAsia="宋体" w:cs="宋体"/>
                <w:color w:val="auto"/>
                <w:kern w:val="2"/>
                <w:sz w:val="24"/>
                <w:szCs w:val="24"/>
                <w:highlight w:val="none"/>
                <w:lang w:eastAsia="zh-CN"/>
              </w:rPr>
              <w:t>114455JH621202002</w:t>
            </w:r>
            <w:r>
              <w:rPr>
                <w:rFonts w:hint="eastAsia" w:ascii="宋体" w:hAnsi="宋体" w:eastAsia="宋体" w:cs="宋体"/>
                <w:kern w:val="2"/>
                <w:sz w:val="24"/>
                <w:szCs w:val="24"/>
                <w:highlight w:val="none"/>
                <w:lang w:val="en-US" w:eastAsia="zh-CN"/>
              </w:rPr>
              <w:t xml:space="preserve"> </w:t>
            </w:r>
          </w:p>
          <w:p>
            <w:pPr>
              <w:adjustRightInd/>
              <w:snapToGrid/>
              <w:spacing w:after="0" w:line="360" w:lineRule="auto"/>
              <w:jc w:val="both"/>
              <w:textAlignment w:val="baseline"/>
              <w:outlineLvl w:val="9"/>
              <w:rPr>
                <w:rFonts w:ascii="宋体" w:hAnsi="宋体" w:eastAsia="宋体" w:cs="宋体"/>
                <w:color w:val="auto"/>
                <w:kern w:val="2"/>
                <w:sz w:val="24"/>
                <w:szCs w:val="24"/>
              </w:rPr>
            </w:pPr>
            <w:r>
              <w:rPr>
                <w:rFonts w:hint="eastAsia" w:ascii="宋体" w:hAnsi="宋体" w:eastAsia="宋体" w:cs="宋体"/>
                <w:kern w:val="2"/>
                <w:sz w:val="24"/>
                <w:szCs w:val="24"/>
              </w:rPr>
              <w:t>3）</w:t>
            </w:r>
            <w:r>
              <w:rPr>
                <w:rFonts w:hint="eastAsia" w:ascii="宋体" w:hAnsi="宋体" w:eastAsia="宋体" w:cs="宋体"/>
                <w:kern w:val="2"/>
                <w:sz w:val="24"/>
                <w:szCs w:val="24"/>
                <w:lang w:val="en-US" w:eastAsia="zh-CN"/>
              </w:rPr>
              <w:t>交货</w:t>
            </w:r>
            <w:r>
              <w:rPr>
                <w:rFonts w:hint="eastAsia" w:ascii="宋体" w:hAnsi="宋体" w:eastAsia="宋体" w:cs="宋体"/>
                <w:kern w:val="2"/>
                <w:sz w:val="24"/>
                <w:szCs w:val="24"/>
              </w:rPr>
              <w:t>期</w:t>
            </w:r>
            <w:r>
              <w:rPr>
                <w:rFonts w:hint="eastAsia" w:ascii="宋体" w:hAnsi="宋体" w:eastAsia="宋体" w:cs="宋体"/>
                <w:spacing w:val="-6"/>
                <w:sz w:val="24"/>
                <w:szCs w:val="24"/>
              </w:rPr>
              <w:t>：</w:t>
            </w:r>
            <w:r>
              <w:rPr>
                <w:rFonts w:hint="eastAsia" w:ascii="宋体" w:hAnsi="宋体" w:eastAsia="宋体" w:cs="宋体"/>
                <w:spacing w:val="-6"/>
                <w:sz w:val="24"/>
                <w:szCs w:val="24"/>
                <w:highlight w:val="none"/>
              </w:rPr>
              <w:t>3</w:t>
            </w:r>
            <w:r>
              <w:rPr>
                <w:rFonts w:hint="eastAsia" w:ascii="宋体" w:hAnsi="宋体" w:eastAsia="宋体" w:cs="宋体"/>
                <w:spacing w:val="-6"/>
                <w:sz w:val="24"/>
                <w:szCs w:val="24"/>
                <w:highlight w:val="none"/>
                <w:lang w:val="en-US" w:eastAsia="zh-CN"/>
              </w:rPr>
              <w:t>0日历天</w:t>
            </w:r>
            <w:r>
              <w:rPr>
                <w:rFonts w:hint="eastAsia" w:ascii="宋体" w:hAnsi="宋体" w:eastAsia="宋体" w:cs="宋体"/>
                <w:spacing w:val="-6"/>
                <w:sz w:val="24"/>
                <w:szCs w:val="24"/>
              </w:rPr>
              <w:t>（具体时间按合同签署为准）。</w:t>
            </w:r>
          </w:p>
          <w:p>
            <w:pPr>
              <w:adjustRightInd/>
              <w:snapToGrid/>
              <w:spacing w:after="0" w:line="360" w:lineRule="auto"/>
              <w:jc w:val="both"/>
              <w:textAlignment w:val="baseline"/>
              <w:outlineLvl w:val="9"/>
              <w:rPr>
                <w:rFonts w:hint="eastAsia" w:ascii="宋体" w:hAnsi="宋体" w:eastAsia="宋体" w:cs="宋体"/>
                <w:kern w:val="2"/>
                <w:sz w:val="24"/>
                <w:szCs w:val="24"/>
              </w:rPr>
            </w:pPr>
            <w:r>
              <w:rPr>
                <w:rFonts w:hint="eastAsia" w:ascii="宋体" w:hAnsi="宋体" w:eastAsia="宋体" w:cs="宋体"/>
                <w:color w:val="auto"/>
                <w:kern w:val="2"/>
                <w:sz w:val="24"/>
                <w:szCs w:val="24"/>
                <w:lang w:val="en-US" w:eastAsia="zh-CN"/>
              </w:rPr>
              <w:t>4</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项目</w:t>
            </w:r>
            <w:r>
              <w:rPr>
                <w:rFonts w:hint="eastAsia" w:ascii="宋体" w:hAnsi="宋体" w:eastAsia="宋体" w:cs="宋体"/>
                <w:color w:val="auto"/>
                <w:kern w:val="2"/>
                <w:sz w:val="24"/>
                <w:szCs w:val="24"/>
              </w:rPr>
              <w:t>内容：</w:t>
            </w:r>
            <w:r>
              <w:rPr>
                <w:rFonts w:hint="eastAsia" w:ascii="宋体" w:hAnsi="宋体" w:eastAsia="宋体" w:cs="宋体"/>
                <w:i w:val="0"/>
                <w:iCs w:val="0"/>
                <w:caps w:val="0"/>
                <w:color w:val="000000"/>
                <w:spacing w:val="0"/>
                <w:kern w:val="0"/>
                <w:sz w:val="24"/>
                <w:szCs w:val="24"/>
                <w:lang w:val="en-US" w:eastAsia="zh-CN" w:bidi="ar"/>
              </w:rPr>
              <w:t>陇南市武都区2024年核桃示范园建设项目</w:t>
            </w:r>
            <w:r>
              <w:rPr>
                <w:rFonts w:hint="eastAsia" w:ascii="宋体" w:hAnsi="宋体" w:eastAsia="宋体" w:cs="宋体"/>
                <w:color w:val="auto"/>
                <w:kern w:val="2"/>
                <w:sz w:val="24"/>
                <w:szCs w:val="24"/>
              </w:rPr>
              <w:t>（具体详见采购内容及要求）</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777"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采购人</w:t>
            </w:r>
          </w:p>
        </w:tc>
        <w:tc>
          <w:tcPr>
            <w:tcW w:w="8769" w:type="dxa"/>
            <w:gridSpan w:val="2"/>
            <w:tcBorders>
              <w:top w:val="single" w:color="000000" w:sz="4" w:space="0"/>
              <w:left w:val="single" w:color="000000" w:sz="4" w:space="0"/>
              <w:bottom w:val="single" w:color="000000" w:sz="4" w:space="0"/>
              <w:right w:val="double" w:color="000000" w:sz="6" w:space="0"/>
            </w:tcBorders>
          </w:tcPr>
          <w:p>
            <w:pPr>
              <w:pStyle w:val="107"/>
              <w:numPr>
                <w:ilvl w:val="0"/>
                <w:numId w:val="2"/>
              </w:numPr>
              <w:spacing w:after="0" w:line="360" w:lineRule="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采购人: </w:t>
            </w:r>
            <w:r>
              <w:rPr>
                <w:rFonts w:hint="eastAsia" w:eastAsia="宋体" w:cs="宋体"/>
                <w:sz w:val="24"/>
                <w:szCs w:val="24"/>
                <w:lang w:eastAsia="zh-CN"/>
              </w:rPr>
              <w:t>陇南市武都区核桃产业开发中心</w:t>
            </w:r>
          </w:p>
          <w:p>
            <w:pPr>
              <w:pStyle w:val="107"/>
              <w:numPr>
                <w:ilvl w:val="0"/>
                <w:numId w:val="2"/>
              </w:numPr>
              <w:spacing w:after="0" w:line="360" w:lineRule="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地  址：</w:t>
            </w:r>
            <w:r>
              <w:rPr>
                <w:rFonts w:hint="eastAsia" w:eastAsia="宋体" w:cs="宋体"/>
                <w:sz w:val="24"/>
                <w:szCs w:val="24"/>
                <w:lang w:val="en-US" w:eastAsia="zh-CN"/>
              </w:rPr>
              <w:t xml:space="preserve">陇南市武都区城关镇北山东路 </w:t>
            </w:r>
          </w:p>
          <w:p>
            <w:pPr>
              <w:pStyle w:val="107"/>
              <w:numPr>
                <w:ilvl w:val="0"/>
                <w:numId w:val="2"/>
              </w:numPr>
              <w:spacing w:after="0" w:line="360" w:lineRule="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eastAsia="宋体" w:cs="宋体"/>
                <w:sz w:val="24"/>
                <w:szCs w:val="24"/>
                <w:lang w:eastAsia="zh-CN"/>
              </w:rPr>
              <w:t>李展鹏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p>
          <w:p>
            <w:pPr>
              <w:pStyle w:val="107"/>
              <w:numPr>
                <w:ilvl w:val="0"/>
                <w:numId w:val="2"/>
              </w:numPr>
              <w:spacing w:after="0" w:line="360" w:lineRule="auto"/>
              <w:outlineLvl w:val="9"/>
              <w:rPr>
                <w:rFonts w:ascii="宋体" w:hAnsi="宋体" w:eastAsia="宋体" w:cs="宋体"/>
                <w:kern w:val="2"/>
                <w:sz w:val="24"/>
                <w:szCs w:val="24"/>
              </w:rPr>
            </w:pPr>
            <w:r>
              <w:rPr>
                <w:rFonts w:hint="eastAsia" w:ascii="宋体" w:hAnsi="宋体" w:eastAsia="宋体" w:cs="宋体"/>
                <w:sz w:val="24"/>
                <w:szCs w:val="24"/>
                <w:lang w:val="en-US" w:eastAsia="zh-CN"/>
              </w:rPr>
              <w:t>电  话：</w:t>
            </w:r>
            <w:r>
              <w:rPr>
                <w:rFonts w:hint="eastAsia" w:eastAsia="宋体" w:cs="宋体"/>
                <w:sz w:val="24"/>
                <w:szCs w:val="24"/>
                <w:lang w:val="en-US" w:eastAsia="zh-CN"/>
              </w:rPr>
              <w:t xml:space="preserve">0939-8560455 </w:t>
            </w:r>
            <w:r>
              <w:rPr>
                <w:rFonts w:hint="eastAsia" w:ascii="宋体" w:hAnsi="宋体" w:eastAsia="宋体" w:cs="宋体"/>
                <w:sz w:val="24"/>
                <w:szCs w:val="24"/>
                <w:lang w:val="en-US" w:eastAsia="zh-CN"/>
              </w:rPr>
              <w:t xml:space="preserve"> </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代理机构</w:t>
            </w:r>
          </w:p>
        </w:tc>
        <w:tc>
          <w:tcPr>
            <w:tcW w:w="8769" w:type="dxa"/>
            <w:gridSpan w:val="2"/>
            <w:tcBorders>
              <w:top w:val="single" w:color="000000" w:sz="4" w:space="0"/>
              <w:left w:val="single" w:color="000000" w:sz="4" w:space="0"/>
              <w:bottom w:val="single" w:color="000000" w:sz="4" w:space="0"/>
              <w:right w:val="double" w:color="000000" w:sz="6" w:space="0"/>
            </w:tcBorders>
          </w:tcPr>
          <w:p>
            <w:pPr>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1）单位名称：陇南子午线招标代理有限公司</w:t>
            </w:r>
          </w:p>
          <w:p>
            <w:pPr>
              <w:tabs>
                <w:tab w:val="left" w:pos="525"/>
              </w:tabs>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2）地    址：</w:t>
            </w:r>
            <w:r>
              <w:rPr>
                <w:rFonts w:hint="eastAsia" w:ascii="宋体" w:hAnsi="宋体" w:eastAsia="宋体" w:cs="宋体"/>
                <w:kern w:val="2"/>
                <w:sz w:val="24"/>
                <w:szCs w:val="24"/>
                <w:lang w:eastAsia="zh-CN"/>
              </w:rPr>
              <w:t>陇南市武都区东江第五安置区</w:t>
            </w:r>
          </w:p>
          <w:p>
            <w:pPr>
              <w:tabs>
                <w:tab w:val="left" w:pos="525"/>
              </w:tabs>
              <w:adjustRightInd/>
              <w:snapToGrid/>
              <w:spacing w:after="0" w:line="360" w:lineRule="auto"/>
              <w:jc w:val="both"/>
              <w:textAlignment w:val="baseline"/>
              <w:outlineLvl w:val="9"/>
              <w:rPr>
                <w:rFonts w:hint="eastAsia" w:ascii="宋体" w:hAnsi="宋体" w:eastAsia="宋体" w:cs="宋体"/>
                <w:kern w:val="2"/>
                <w:sz w:val="24"/>
                <w:szCs w:val="24"/>
                <w:lang w:val="en-US" w:eastAsia="zh-CN"/>
              </w:rPr>
            </w:pPr>
            <w:r>
              <w:rPr>
                <w:rFonts w:hint="eastAsia" w:ascii="宋体" w:hAnsi="宋体" w:eastAsia="宋体" w:cs="宋体"/>
                <w:kern w:val="2"/>
                <w:sz w:val="24"/>
                <w:szCs w:val="24"/>
              </w:rPr>
              <w:t>3）联 系 人：</w:t>
            </w:r>
            <w:r>
              <w:rPr>
                <w:rFonts w:hint="eastAsia" w:ascii="宋体" w:hAnsi="宋体" w:eastAsia="宋体" w:cs="宋体"/>
                <w:kern w:val="2"/>
                <w:sz w:val="24"/>
                <w:szCs w:val="24"/>
                <w:lang w:val="en-US" w:eastAsia="zh-CN"/>
              </w:rPr>
              <w:t>寇徐清</w:t>
            </w:r>
          </w:p>
          <w:p>
            <w:pPr>
              <w:tabs>
                <w:tab w:val="left" w:pos="525"/>
              </w:tabs>
              <w:adjustRightInd/>
              <w:snapToGrid/>
              <w:spacing w:after="0" w:line="360" w:lineRule="auto"/>
              <w:jc w:val="both"/>
              <w:textAlignment w:val="baseline"/>
              <w:outlineLvl w:val="9"/>
              <w:rPr>
                <w:rFonts w:hint="default" w:ascii="宋体" w:hAnsi="宋体" w:eastAsia="宋体" w:cs="宋体"/>
                <w:kern w:val="2"/>
                <w:sz w:val="24"/>
                <w:szCs w:val="24"/>
                <w:lang w:val="en-US" w:eastAsia="zh-CN"/>
              </w:rPr>
            </w:pPr>
            <w:r>
              <w:rPr>
                <w:rFonts w:hint="eastAsia" w:ascii="宋体" w:hAnsi="宋体" w:eastAsia="宋体" w:cs="宋体"/>
                <w:kern w:val="2"/>
                <w:sz w:val="24"/>
                <w:szCs w:val="24"/>
              </w:rPr>
              <w:t>4）联系电话：</w:t>
            </w: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7793920248</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付款方式</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240" w:firstLineChars="100"/>
              <w:jc w:val="both"/>
              <w:textAlignment w:val="baseline"/>
              <w:outlineLvl w:val="9"/>
              <w:rPr>
                <w:rFonts w:ascii="宋体" w:hAnsi="宋体" w:eastAsia="宋体" w:cs="宋体"/>
                <w:kern w:val="2"/>
                <w:sz w:val="24"/>
                <w:szCs w:val="24"/>
              </w:rPr>
            </w:pPr>
            <w:r>
              <w:rPr>
                <w:rFonts w:hint="eastAsia" w:ascii="宋体" w:hAnsi="宋体" w:eastAsia="宋体" w:cs="宋体"/>
                <w:sz w:val="24"/>
                <w:szCs w:val="24"/>
              </w:rPr>
              <w:t>中标后与招标人协商合同确定付款方式</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投标人资质文件要求</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1、法定代表人身份证明、法定代表人身份正复印件；</w:t>
            </w:r>
          </w:p>
          <w:p>
            <w:pPr>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2、被授权人授权委托书及身份证；</w:t>
            </w:r>
          </w:p>
          <w:p>
            <w:pPr>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3、资格证明：</w:t>
            </w:r>
          </w:p>
          <w:p>
            <w:pPr>
              <w:numPr>
                <w:ilvl w:val="0"/>
                <w:numId w:val="3"/>
              </w:numPr>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有效的企业营业执照、开户许可证；</w:t>
            </w:r>
          </w:p>
          <w:p>
            <w:pPr>
              <w:numPr>
                <w:ilvl w:val="0"/>
                <w:numId w:val="3"/>
              </w:numPr>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符合《中华人民共和国政府采购法》第二十二条规定；</w:t>
            </w:r>
          </w:p>
          <w:p>
            <w:pPr>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rPr>
              <w:t>）投标人</w:t>
            </w:r>
            <w:r>
              <w:rPr>
                <w:rFonts w:hint="eastAsia" w:asciiTheme="minorEastAsia" w:hAnsiTheme="minorEastAsia" w:eastAsiaTheme="minorEastAsia" w:cstheme="minorEastAsia"/>
                <w:color w:val="000000"/>
                <w:sz w:val="24"/>
                <w:szCs w:val="24"/>
                <w:lang w:bidi="ar"/>
              </w:rPr>
              <w:t>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w:t>
            </w:r>
            <w:r>
              <w:rPr>
                <w:rFonts w:hint="eastAsia" w:ascii="宋体" w:hAnsi="宋体" w:eastAsia="宋体" w:cs="宋体"/>
                <w:kern w:val="2"/>
                <w:sz w:val="24"/>
                <w:szCs w:val="24"/>
              </w:rPr>
              <w:t>起至响应文件递交截止之日各供应商自行在以上网站查询的结果为准，如相关失信记录失效，供应商需提供相关证明资料）；</w:t>
            </w:r>
          </w:p>
          <w:p>
            <w:pPr>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rPr>
              <w:t>）参加政府采购活动前三年内，在经营活动中没有重大违法记录声明；</w:t>
            </w:r>
          </w:p>
          <w:p>
            <w:pPr>
              <w:spacing w:after="0" w:line="360" w:lineRule="auto"/>
              <w:jc w:val="both"/>
              <w:outlineLvl w:val="9"/>
              <w:rPr>
                <w:rFonts w:hint="eastAsia" w:ascii="宋体" w:hAnsi="宋体" w:eastAsia="宋体" w:cs="宋体"/>
                <w:color w:val="auto"/>
                <w:kern w:val="2"/>
                <w:sz w:val="24"/>
                <w:szCs w:val="24"/>
                <w:highlight w:val="none"/>
                <w:lang w:val="en-US" w:eastAsia="zh-CN"/>
              </w:rPr>
            </w:pPr>
            <w:r>
              <w:rPr>
                <w:rFonts w:hint="eastAsia" w:ascii="宋体" w:hAnsi="宋体" w:eastAsia="宋体" w:cs="宋体"/>
                <w:kern w:val="2"/>
                <w:sz w:val="24"/>
                <w:szCs w:val="24"/>
                <w:lang w:val="en-US" w:eastAsia="zh-CN"/>
              </w:rPr>
              <w:t>（5）本项目不接受</w:t>
            </w:r>
            <w:r>
              <w:rPr>
                <w:rFonts w:hint="eastAsia" w:ascii="宋体" w:hAnsi="宋体" w:eastAsia="宋体" w:cs="宋体"/>
                <w:color w:val="auto"/>
                <w:kern w:val="2"/>
                <w:sz w:val="24"/>
                <w:szCs w:val="24"/>
                <w:highlight w:val="none"/>
                <w:lang w:val="en-US" w:eastAsia="zh-CN"/>
              </w:rPr>
              <w:t>联合体投标。</w:t>
            </w:r>
          </w:p>
          <w:p>
            <w:pPr>
              <w:spacing w:after="0" w:line="360" w:lineRule="auto"/>
              <w:jc w:val="both"/>
              <w:outlineLvl w:val="9"/>
            </w:pPr>
            <w:r>
              <w:rPr>
                <w:rFonts w:hint="eastAsia" w:ascii="宋体" w:hAnsi="宋体" w:eastAsia="宋体" w:cs="宋体"/>
                <w:color w:val="auto"/>
                <w:kern w:val="2"/>
                <w:sz w:val="24"/>
                <w:szCs w:val="24"/>
                <w:highlight w:val="none"/>
                <w:lang w:val="en-US" w:eastAsia="zh-CN"/>
              </w:rPr>
              <w:t>（6）特定资格要求：供应商须具有农业主管部门颁发的合格有效的肥料登记证。</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投标有效期</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60日历天</w:t>
            </w:r>
            <w:r>
              <w:rPr>
                <w:rFonts w:hint="eastAsia" w:ascii="宋体" w:hAnsi="宋体" w:eastAsia="宋体" w:cs="宋体"/>
                <w:sz w:val="24"/>
                <w:szCs w:val="24"/>
              </w:rPr>
              <w:t>（从提交投标文件截止之日起算）</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签字盖章</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spacing w:val="-3"/>
                <w:kern w:val="2"/>
                <w:sz w:val="24"/>
                <w:szCs w:val="24"/>
              </w:rPr>
              <w:t>本项目采用网上开评标，各投标人必须按照招标文件要求对投标文件进行电子签章签字，后续招标文件有要求签章签字的均为电子章。</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8</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落实支持中小企业政府采购政策</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shd w:val="solid" w:color="FFFFFF" w:fill="auto"/>
              <w:autoSpaceDN w:val="0"/>
              <w:adjustRightInd/>
              <w:snapToGrid/>
              <w:spacing w:after="160" w:line="500" w:lineRule="exact"/>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1.执行中小企业明函制度。根据工业和信息化部、国家统计局、国家发展和改革委员会、等部委发布的《关于印发中小企业划型标准规定的通知》(工信部联企业(2011)300号)，按照本购标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shd w:val="solid" w:color="FFFFFF" w:fill="auto"/>
              <w:autoSpaceDN w:val="0"/>
              <w:adjustRightInd/>
              <w:snapToGrid/>
              <w:spacing w:after="160" w:line="500" w:lineRule="exact"/>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2.根据财政部、工业和信息化部发布的《政府采购促进中小企业发展管理办法》(财库(2020)46号)和财政关于进一步加大政府采购支持中小企业力度的通知》(财库(202219号)规和型企业产品的投标价格给予</w:t>
            </w:r>
            <w:r>
              <w:rPr>
                <w:rFonts w:hint="eastAsia" w:ascii="宋体" w:hAnsi="宋体" w:eastAsia="宋体" w:cs="宋体"/>
                <w:b/>
                <w:bCs/>
                <w:spacing w:val="-3"/>
                <w:kern w:val="2"/>
                <w:sz w:val="24"/>
                <w:szCs w:val="24"/>
              </w:rPr>
              <w:t xml:space="preserve"> 10%</w:t>
            </w:r>
            <w:r>
              <w:rPr>
                <w:rFonts w:hint="eastAsia" w:ascii="宋体" w:hAnsi="宋体" w:eastAsia="宋体" w:cs="宋体"/>
                <w:b/>
                <w:bCs/>
                <w:spacing w:val="-3"/>
                <w:kern w:val="2"/>
                <w:sz w:val="24"/>
                <w:szCs w:val="24"/>
                <w:lang w:val="en-US" w:eastAsia="zh-CN"/>
              </w:rPr>
              <w:t xml:space="preserve"> </w:t>
            </w:r>
            <w:r>
              <w:rPr>
                <w:rFonts w:hint="eastAsia" w:ascii="宋体" w:hAnsi="宋体" w:eastAsia="宋体" w:cs="宋体"/>
                <w:spacing w:val="-3"/>
                <w:kern w:val="2"/>
                <w:sz w:val="24"/>
                <w:szCs w:val="24"/>
              </w:rPr>
              <w:t>的扣除，除格参与评审。</w:t>
            </w:r>
          </w:p>
          <w:p>
            <w:pPr>
              <w:shd w:val="solid" w:color="FFFFFF" w:fill="auto"/>
              <w:autoSpaceDN w:val="0"/>
              <w:adjustRightInd/>
              <w:snapToGrid/>
              <w:spacing w:after="160" w:line="500" w:lineRule="exact"/>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3.投标人提供的货物由中小企业生产且使用该中小企业商号或者注册商标的，享受中小企业扶持政策。供应商提供的货物既有中小企业制造的货物也有大型企业制造的货物的，不享受中小企业扶持政策。</w:t>
            </w:r>
          </w:p>
          <w:p>
            <w:pPr>
              <w:shd w:val="solid" w:color="FFFFFF" w:fill="auto"/>
              <w:autoSpaceDN w:val="0"/>
              <w:adjustRightInd/>
              <w:snapToGrid/>
              <w:spacing w:after="160" w:line="500" w:lineRule="exact"/>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4.提供由省级以上监狱管理局、戒毒管理局(含新疆生产建设兵团)出具的属于监狱企业证明文件(原件彩色扫描件)的，视同为小型和微型企业。</w:t>
            </w:r>
          </w:p>
          <w:p>
            <w:pPr>
              <w:widowControl w:val="0"/>
              <w:tabs>
                <w:tab w:val="left" w:pos="1460"/>
              </w:tabs>
              <w:autoSpaceDE w:val="0"/>
              <w:autoSpaceDN w:val="0"/>
              <w:adjustRightInd/>
              <w:snapToGrid/>
              <w:spacing w:after="0" w:line="360" w:lineRule="auto"/>
              <w:ind w:right="270"/>
              <w:jc w:val="both"/>
              <w:outlineLvl w:val="9"/>
              <w:rPr>
                <w:rFonts w:ascii="宋体" w:hAnsi="宋体" w:eastAsia="宋体" w:cs="宋体"/>
                <w:spacing w:val="-3"/>
                <w:kern w:val="2"/>
                <w:sz w:val="24"/>
                <w:szCs w:val="24"/>
              </w:rPr>
            </w:pPr>
            <w:r>
              <w:rPr>
                <w:rFonts w:hint="eastAsia" w:ascii="宋体" w:hAnsi="宋体" w:eastAsia="宋体" w:cs="宋体"/>
                <w:spacing w:val="-3"/>
                <w:kern w:val="2"/>
                <w:sz w:val="24"/>
                <w:szCs w:val="24"/>
              </w:rPr>
              <w:t>5.符合享受政府采购支持政策的残疾人福利性单位条件且提供《残疾人福利性单位声明函》的，视同为小型和微型企业。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3564"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9</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相同品牌产品参加投标处理办法</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w:t>
            </w:r>
            <w:r>
              <w:rPr>
                <w:rFonts w:hint="eastAsia" w:ascii="宋体" w:hAnsi="宋体" w:eastAsia="宋体" w:cs="宋体"/>
                <w:sz w:val="24"/>
                <w:szCs w:val="24"/>
              </w:rPr>
              <w:t>机抽取方式确定，其他同品牌投标人不作为中标候选人。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sz w:val="24"/>
                <w:szCs w:val="24"/>
              </w:rPr>
              <w:t>非单一产品采购项目，采购人应当根据采购项目技术构成、产品价格比重等合理确定核心产品，并在招标文件中载明。多家投标人提供的核心产品品牌相同的，按前款规定处理。</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10</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资金来源</w:t>
            </w:r>
          </w:p>
          <w:p>
            <w:pPr>
              <w:adjustRightInd/>
              <w:snapToGrid/>
              <w:spacing w:after="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及预算金额</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tabs>
                <w:tab w:val="left" w:pos="525"/>
              </w:tabs>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资金来源：</w:t>
            </w:r>
            <w:r>
              <w:rPr>
                <w:rFonts w:hint="eastAsia" w:ascii="宋体" w:hAnsi="宋体" w:eastAsia="宋体" w:cs="宋体"/>
                <w:kern w:val="2"/>
                <w:sz w:val="24"/>
                <w:szCs w:val="24"/>
                <w:highlight w:val="none"/>
              </w:rPr>
              <w:t>财政资</w:t>
            </w:r>
            <w:r>
              <w:rPr>
                <w:rFonts w:hint="eastAsia" w:ascii="宋体" w:hAnsi="宋体" w:eastAsia="宋体" w:cs="宋体"/>
                <w:kern w:val="2"/>
                <w:sz w:val="24"/>
                <w:szCs w:val="24"/>
              </w:rPr>
              <w:t>金</w:t>
            </w:r>
            <w:r>
              <w:rPr>
                <w:rFonts w:hint="eastAsia" w:ascii="宋体" w:hAnsi="宋体" w:eastAsia="宋体" w:cs="宋体"/>
                <w:kern w:val="2"/>
                <w:sz w:val="24"/>
                <w:szCs w:val="24"/>
                <w:lang w:eastAsia="zh-CN"/>
              </w:rPr>
              <w:t>；</w:t>
            </w:r>
          </w:p>
          <w:p>
            <w:pPr>
              <w:tabs>
                <w:tab w:val="left" w:pos="525"/>
              </w:tabs>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预算金额：</w:t>
            </w:r>
            <w:r>
              <w:rPr>
                <w:rFonts w:hint="eastAsia" w:ascii="宋体" w:hAnsi="宋体" w:eastAsia="宋体" w:cs="宋体"/>
                <w:b/>
                <w:bCs/>
                <w:kern w:val="2"/>
                <w:sz w:val="24"/>
                <w:szCs w:val="24"/>
                <w:lang w:val="en-US" w:eastAsia="zh-CN"/>
              </w:rPr>
              <w:t>150.00</w:t>
            </w:r>
            <w:r>
              <w:rPr>
                <w:rFonts w:hint="eastAsia" w:ascii="宋体" w:hAnsi="宋体" w:eastAsia="宋体" w:cs="宋体"/>
                <w:kern w:val="2"/>
                <w:sz w:val="24"/>
                <w:szCs w:val="24"/>
              </w:rPr>
              <w:t>万元</w:t>
            </w:r>
            <w:r>
              <w:rPr>
                <w:rFonts w:hint="eastAsia" w:ascii="宋体" w:hAnsi="宋体" w:eastAsia="宋体" w:cs="宋体"/>
                <w:kern w:val="2"/>
                <w:sz w:val="24"/>
                <w:szCs w:val="24"/>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lang w:val="en-US" w:eastAsia="zh-CN"/>
              </w:rPr>
              <w:t>1</w:t>
            </w:r>
            <w:r>
              <w:rPr>
                <w:rFonts w:hint="eastAsia" w:ascii="宋体" w:hAnsi="宋体" w:eastAsia="宋体" w:cs="宋体"/>
                <w:kern w:val="2"/>
                <w:sz w:val="24"/>
                <w:szCs w:val="24"/>
              </w:rPr>
              <w:t>1</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最高限价</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tabs>
                <w:tab w:val="left" w:pos="525"/>
              </w:tabs>
              <w:adjustRightInd/>
              <w:snapToGrid/>
              <w:spacing w:after="0" w:line="360" w:lineRule="auto"/>
              <w:jc w:val="both"/>
              <w:textAlignment w:val="baseline"/>
              <w:outlineLvl w:val="9"/>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val="en-US" w:eastAsia="zh-CN"/>
              </w:rPr>
              <w:t>150.00</w:t>
            </w:r>
            <w:r>
              <w:rPr>
                <w:rFonts w:hint="eastAsia" w:ascii="宋体" w:hAnsi="宋体" w:eastAsia="宋体" w:cs="宋体"/>
                <w:kern w:val="2"/>
                <w:sz w:val="24"/>
                <w:szCs w:val="24"/>
              </w:rPr>
              <w:t>万元</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12</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投标保证金数额及交纳方式</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sz w:val="24"/>
                <w:szCs w:val="24"/>
                <w:lang w:val="zh-CN"/>
              </w:rPr>
            </w:pPr>
            <w:r>
              <w:rPr>
                <w:rFonts w:hint="eastAsia" w:ascii="宋体" w:hAnsi="宋体" w:eastAsia="宋体" w:cs="宋体"/>
                <w:kern w:val="2"/>
                <w:sz w:val="24"/>
                <w:szCs w:val="24"/>
              </w:rPr>
              <w:t>根据《甘肃省财政厅关于进一步加大政府采购支持中小企业力度的通知》(甘财采(2022)16号)，本项目不在收取投标保证金。</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13</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评标原则和办法</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综合评分法</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即在最大限度地满足招标文件实质性要求前提下，按照招标文件中规定的各项因素进行综合评审后，以评分总得分最高的投标人作为中标候选人。具体评标因素见第五章评分办法。</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14</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sz w:val="24"/>
                <w:szCs w:val="24"/>
              </w:rPr>
            </w:pPr>
            <w:r>
              <w:rPr>
                <w:rFonts w:hint="eastAsia" w:ascii="宋体" w:hAnsi="宋体" w:eastAsia="宋体" w:cs="宋体"/>
                <w:sz w:val="24"/>
                <w:szCs w:val="24"/>
              </w:rPr>
              <w:t>投标文件</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numPr>
                <w:ilvl w:val="0"/>
                <w:numId w:val="4"/>
              </w:numPr>
              <w:adjustRightInd/>
              <w:snapToGrid/>
              <w:spacing w:after="0" w:line="360" w:lineRule="auto"/>
              <w:textAlignment w:val="baseline"/>
              <w:outlineLvl w:val="9"/>
              <w:rPr>
                <w:rFonts w:ascii="宋体" w:hAnsi="宋体" w:eastAsia="宋体" w:cs="宋体"/>
                <w:sz w:val="24"/>
                <w:szCs w:val="24"/>
                <w:lang w:bidi="zh-CN"/>
              </w:rPr>
            </w:pPr>
            <w:r>
              <w:rPr>
                <w:rFonts w:hint="eastAsia" w:ascii="宋体" w:hAnsi="宋体" w:eastAsia="宋体" w:cs="宋体"/>
                <w:sz w:val="24"/>
                <w:szCs w:val="24"/>
                <w:lang w:bidi="zh-CN"/>
              </w:rPr>
              <w:t>采用网上开标方式：该项目采用新点不见面网上开标方式，开评标活动通过“新点不见面网上开标大厅”进行。</w:t>
            </w:r>
          </w:p>
          <w:p>
            <w:pPr>
              <w:adjustRightInd/>
              <w:snapToGrid/>
              <w:spacing w:after="0" w:line="360" w:lineRule="auto"/>
              <w:textAlignment w:val="baseline"/>
              <w:outlineLvl w:val="9"/>
              <w:rPr>
                <w:rFonts w:ascii="宋体" w:hAnsi="宋体" w:eastAsia="宋体" w:cs="宋体"/>
                <w:sz w:val="24"/>
                <w:szCs w:val="24"/>
                <w:lang w:bidi="zh-CN"/>
              </w:rPr>
            </w:pPr>
            <w:r>
              <w:rPr>
                <w:rFonts w:hint="eastAsia" w:ascii="宋体" w:hAnsi="宋体" w:eastAsia="宋体" w:cs="宋体"/>
                <w:sz w:val="24"/>
                <w:szCs w:val="24"/>
                <w:lang w:bidi="zh-CN"/>
              </w:rPr>
              <w:t>（2）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adjustRightInd/>
              <w:snapToGrid/>
              <w:spacing w:after="0" w:line="360" w:lineRule="auto"/>
              <w:textAlignment w:val="baseline"/>
              <w:outlineLvl w:val="9"/>
              <w:rPr>
                <w:rFonts w:ascii="宋体" w:hAnsi="宋体" w:eastAsia="宋体" w:cs="宋体"/>
                <w:sz w:val="24"/>
                <w:szCs w:val="24"/>
                <w:lang w:bidi="zh-CN"/>
              </w:rPr>
            </w:pPr>
            <w:r>
              <w:rPr>
                <w:rFonts w:hint="eastAsia" w:ascii="宋体" w:hAnsi="宋体" w:eastAsia="宋体" w:cs="宋体"/>
                <w:sz w:val="24"/>
                <w:szCs w:val="24"/>
                <w:lang w:bidi="zh-CN"/>
              </w:rPr>
              <w:t>注：具体投标文件制作流程请在陇南市公共资源交易网--下载中心--政府采购全流程电子化开评标操作手册-投标人，下载制作流程说明。</w:t>
            </w:r>
          </w:p>
          <w:p>
            <w:pPr>
              <w:adjustRightInd/>
              <w:snapToGrid/>
              <w:spacing w:after="0" w:line="360" w:lineRule="auto"/>
              <w:textAlignment w:val="baseline"/>
              <w:outlineLvl w:val="9"/>
              <w:rPr>
                <w:rFonts w:ascii="宋体" w:hAnsi="宋体" w:eastAsia="宋体" w:cs="宋体"/>
                <w:kern w:val="2"/>
                <w:sz w:val="24"/>
                <w:szCs w:val="24"/>
              </w:rPr>
            </w:pPr>
            <w:r>
              <w:rPr>
                <w:rFonts w:hint="eastAsia" w:ascii="宋体" w:hAnsi="宋体" w:eastAsia="宋体" w:cs="宋体"/>
                <w:sz w:val="24"/>
                <w:szCs w:val="24"/>
                <w:lang w:bidi="zh-CN"/>
              </w:rPr>
              <w:t>（3）纸质版投标文件正本1份、副本</w:t>
            </w:r>
            <w:r>
              <w:rPr>
                <w:rFonts w:hint="eastAsia" w:ascii="宋体" w:hAnsi="宋体" w:eastAsia="宋体" w:cs="宋体"/>
                <w:sz w:val="24"/>
                <w:szCs w:val="24"/>
                <w:lang w:val="en-US" w:bidi="zh-CN"/>
              </w:rPr>
              <w:t>1</w:t>
            </w:r>
            <w:r>
              <w:rPr>
                <w:rFonts w:hint="eastAsia" w:ascii="宋体" w:hAnsi="宋体" w:eastAsia="宋体" w:cs="宋体"/>
                <w:sz w:val="24"/>
                <w:szCs w:val="24"/>
                <w:lang w:bidi="zh-CN"/>
              </w:rPr>
              <w:t>份（作为投标资料存档，请投标人于开标结束后五个工作日内邮寄或送至招标代理机构）。</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1882"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15</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投标文件递交截止时间、地点</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spacing w:before="60" w:after="60"/>
              <w:outlineLvl w:val="9"/>
              <w:rPr>
                <w:rFonts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bidi="ar"/>
              </w:rPr>
              <w:t>时间：</w:t>
            </w:r>
            <w:r>
              <w:rPr>
                <w:rFonts w:hint="eastAsia" w:ascii="宋体" w:hAnsi="宋体" w:eastAsia="宋体" w:cs="宋体"/>
                <w:b/>
                <w:bCs/>
                <w:color w:val="auto"/>
                <w:sz w:val="24"/>
                <w:szCs w:val="24"/>
                <w:highlight w:val="none"/>
                <w:lang w:bidi="ar"/>
              </w:rPr>
              <w:t>202</w:t>
            </w:r>
            <w:r>
              <w:rPr>
                <w:rFonts w:hint="eastAsia" w:ascii="宋体" w:hAnsi="宋体" w:eastAsia="宋体" w:cs="宋体"/>
                <w:b/>
                <w:bCs/>
                <w:color w:val="auto"/>
                <w:sz w:val="24"/>
                <w:szCs w:val="24"/>
                <w:highlight w:val="none"/>
                <w:lang w:val="en-US" w:eastAsia="zh-CN" w:bidi="ar"/>
              </w:rPr>
              <w:t>4</w:t>
            </w:r>
            <w:r>
              <w:rPr>
                <w:rFonts w:hint="eastAsia" w:ascii="宋体" w:hAnsi="宋体" w:eastAsia="宋体" w:cs="宋体"/>
                <w:b/>
                <w:bCs/>
                <w:color w:val="auto"/>
                <w:sz w:val="24"/>
                <w:szCs w:val="24"/>
                <w:highlight w:val="none"/>
                <w:lang w:bidi="ar"/>
              </w:rPr>
              <w:t>-0</w:t>
            </w:r>
            <w:r>
              <w:rPr>
                <w:rFonts w:hint="eastAsia" w:ascii="宋体" w:hAnsi="宋体" w:eastAsia="宋体" w:cs="宋体"/>
                <w:b/>
                <w:bCs/>
                <w:color w:val="auto"/>
                <w:sz w:val="24"/>
                <w:szCs w:val="24"/>
                <w:highlight w:val="none"/>
                <w:lang w:val="en-US" w:eastAsia="zh-CN" w:bidi="ar"/>
              </w:rPr>
              <w:t>6</w:t>
            </w:r>
            <w:r>
              <w:rPr>
                <w:rFonts w:hint="eastAsia" w:ascii="宋体" w:hAnsi="宋体" w:eastAsia="宋体" w:cs="宋体"/>
                <w:b/>
                <w:bCs/>
                <w:color w:val="auto"/>
                <w:sz w:val="24"/>
                <w:szCs w:val="24"/>
                <w:highlight w:val="none"/>
                <w:lang w:bidi="ar"/>
              </w:rPr>
              <w:t>-</w:t>
            </w:r>
            <w:r>
              <w:rPr>
                <w:rFonts w:hint="eastAsia" w:ascii="宋体" w:hAnsi="宋体" w:eastAsia="宋体" w:cs="宋体"/>
                <w:b/>
                <w:bCs/>
                <w:color w:val="auto"/>
                <w:sz w:val="24"/>
                <w:szCs w:val="24"/>
                <w:highlight w:val="none"/>
                <w:lang w:val="en-US" w:eastAsia="zh-CN" w:bidi="ar"/>
              </w:rPr>
              <w:t>17</w:t>
            </w:r>
            <w:r>
              <w:rPr>
                <w:rFonts w:hint="eastAsia" w:ascii="宋体" w:hAnsi="宋体" w:eastAsia="宋体" w:cs="宋体"/>
                <w:b/>
                <w:bCs/>
                <w:color w:val="auto"/>
                <w:sz w:val="24"/>
                <w:szCs w:val="24"/>
                <w:highlight w:val="none"/>
                <w:lang w:bidi="ar"/>
              </w:rPr>
              <w:t xml:space="preserve"> </w:t>
            </w:r>
            <w:r>
              <w:rPr>
                <w:rFonts w:hint="eastAsia" w:ascii="宋体" w:hAnsi="宋体" w:eastAsia="宋体" w:cs="宋体"/>
                <w:b/>
                <w:bCs/>
                <w:color w:val="auto"/>
                <w:sz w:val="24"/>
                <w:szCs w:val="24"/>
                <w:highlight w:val="none"/>
                <w:lang w:val="en-US" w:eastAsia="zh-CN" w:bidi="ar"/>
              </w:rPr>
              <w:t>09</w:t>
            </w:r>
            <w:r>
              <w:rPr>
                <w:rFonts w:hint="eastAsia" w:ascii="宋体" w:hAnsi="宋体" w:eastAsia="宋体" w:cs="宋体"/>
                <w:b/>
                <w:bCs/>
                <w:color w:val="auto"/>
                <w:sz w:val="24"/>
                <w:szCs w:val="24"/>
                <w:highlight w:val="none"/>
                <w:lang w:bidi="ar"/>
              </w:rPr>
              <w:t>:</w:t>
            </w:r>
            <w:r>
              <w:rPr>
                <w:rFonts w:hint="eastAsia" w:ascii="宋体" w:hAnsi="宋体" w:eastAsia="宋体" w:cs="宋体"/>
                <w:b/>
                <w:bCs/>
                <w:color w:val="auto"/>
                <w:sz w:val="24"/>
                <w:szCs w:val="24"/>
                <w:highlight w:val="none"/>
                <w:lang w:val="en-US" w:eastAsia="zh-CN" w:bidi="ar"/>
              </w:rPr>
              <w:t>0</w:t>
            </w:r>
            <w:r>
              <w:rPr>
                <w:rFonts w:hint="eastAsia" w:ascii="宋体" w:hAnsi="宋体" w:eastAsia="宋体" w:cs="宋体"/>
                <w:b/>
                <w:bCs/>
                <w:color w:val="auto"/>
                <w:sz w:val="24"/>
                <w:szCs w:val="24"/>
                <w:highlight w:val="none"/>
                <w:lang w:bidi="ar"/>
              </w:rPr>
              <w:t>0</w:t>
            </w:r>
          </w:p>
          <w:p>
            <w:pPr>
              <w:adjustRightInd/>
              <w:snapToGrid/>
              <w:spacing w:after="0" w:line="360" w:lineRule="auto"/>
              <w:textAlignment w:val="baseline"/>
              <w:outlineLvl w:val="9"/>
              <w:rPr>
                <w:rFonts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地点：陇南市公共资源交易中心</w:t>
            </w:r>
            <w:r>
              <w:rPr>
                <w:rFonts w:hint="eastAsia" w:ascii="宋体" w:hAnsi="宋体" w:eastAsia="宋体" w:cs="宋体"/>
                <w:color w:val="auto"/>
                <w:sz w:val="24"/>
                <w:szCs w:val="24"/>
                <w:highlight w:val="none"/>
                <w:lang w:val="en-US" w:eastAsia="zh-CN" w:bidi="ar"/>
              </w:rPr>
              <w:t>网络</w:t>
            </w:r>
            <w:r>
              <w:rPr>
                <w:rFonts w:hint="eastAsia" w:ascii="宋体" w:hAnsi="宋体" w:eastAsia="宋体" w:cs="宋体"/>
                <w:color w:val="auto"/>
                <w:sz w:val="24"/>
                <w:szCs w:val="24"/>
                <w:highlight w:val="none"/>
                <w:lang w:bidi="ar"/>
              </w:rPr>
              <w:t>开标直播一厅</w:t>
            </w:r>
            <w:r>
              <w:rPr>
                <w:rFonts w:hint="eastAsia" w:ascii="宋体" w:hAnsi="宋体" w:eastAsia="宋体" w:cs="宋体"/>
                <w:color w:val="auto"/>
                <w:sz w:val="24"/>
                <w:szCs w:val="24"/>
                <w:highlight w:val="none"/>
                <w:lang w:eastAsia="zh-CN" w:bidi="ar"/>
              </w:rPr>
              <w:t>第4坐席</w:t>
            </w:r>
            <w:r>
              <w:rPr>
                <w:rFonts w:hint="eastAsia" w:ascii="宋体" w:hAnsi="宋体" w:eastAsia="宋体" w:cs="宋体"/>
                <w:color w:val="auto"/>
                <w:sz w:val="24"/>
                <w:szCs w:val="24"/>
                <w:highlight w:val="none"/>
                <w:lang w:bidi="ar"/>
              </w:rPr>
              <w:t>(陇南市行政中心5号楼环保大厦)</w:t>
            </w:r>
          </w:p>
          <w:p>
            <w:pPr>
              <w:adjustRightInd/>
              <w:snapToGrid/>
              <w:spacing w:after="0" w:line="360" w:lineRule="auto"/>
              <w:textAlignment w:val="baseline"/>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投标人在投标时请前1小时登录陇南市公共资源交易网--不见面开标大厅找到相对应的项目和包号进行签到。</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16</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开标时间</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202</w:t>
            </w:r>
            <w:r>
              <w:rPr>
                <w:rFonts w:hint="eastAsia" w:ascii="宋体" w:hAnsi="宋体" w:eastAsia="宋体" w:cs="宋体"/>
                <w:b/>
                <w:color w:val="auto"/>
                <w:kern w:val="2"/>
                <w:sz w:val="24"/>
                <w:szCs w:val="24"/>
                <w:highlight w:val="none"/>
                <w:lang w:val="en-US" w:eastAsia="zh-CN"/>
              </w:rPr>
              <w:t>4</w:t>
            </w:r>
            <w:r>
              <w:rPr>
                <w:rFonts w:hint="eastAsia" w:ascii="宋体" w:hAnsi="宋体" w:eastAsia="宋体" w:cs="宋体"/>
                <w:b/>
                <w:color w:val="auto"/>
                <w:kern w:val="2"/>
                <w:sz w:val="24"/>
                <w:szCs w:val="24"/>
                <w:highlight w:val="none"/>
              </w:rPr>
              <w:t>年</w:t>
            </w:r>
            <w:r>
              <w:rPr>
                <w:rFonts w:hint="eastAsia" w:ascii="宋体" w:hAnsi="宋体" w:eastAsia="宋体" w:cs="宋体"/>
                <w:b/>
                <w:color w:val="auto"/>
                <w:kern w:val="2"/>
                <w:sz w:val="24"/>
                <w:szCs w:val="24"/>
                <w:highlight w:val="none"/>
                <w:lang w:val="en-US" w:eastAsia="zh-CN"/>
              </w:rPr>
              <w:t>06</w:t>
            </w:r>
            <w:r>
              <w:rPr>
                <w:rFonts w:hint="eastAsia" w:ascii="宋体" w:hAnsi="宋体" w:eastAsia="宋体" w:cs="宋体"/>
                <w:b/>
                <w:color w:val="auto"/>
                <w:kern w:val="2"/>
                <w:sz w:val="24"/>
                <w:szCs w:val="24"/>
                <w:highlight w:val="none"/>
              </w:rPr>
              <w:t>月</w:t>
            </w:r>
            <w:r>
              <w:rPr>
                <w:rFonts w:hint="eastAsia" w:ascii="宋体" w:hAnsi="宋体" w:eastAsia="宋体" w:cs="宋体"/>
                <w:b/>
                <w:color w:val="auto"/>
                <w:kern w:val="2"/>
                <w:sz w:val="24"/>
                <w:szCs w:val="24"/>
                <w:highlight w:val="none"/>
                <w:lang w:val="en-US" w:eastAsia="zh-CN"/>
              </w:rPr>
              <w:t>17</w:t>
            </w:r>
            <w:r>
              <w:rPr>
                <w:rFonts w:hint="eastAsia" w:ascii="宋体" w:hAnsi="宋体" w:eastAsia="宋体" w:cs="宋体"/>
                <w:b/>
                <w:color w:val="auto"/>
                <w:kern w:val="2"/>
                <w:sz w:val="24"/>
                <w:szCs w:val="24"/>
                <w:highlight w:val="none"/>
              </w:rPr>
              <w:t>日</w:t>
            </w:r>
            <w:r>
              <w:rPr>
                <w:rFonts w:hint="eastAsia" w:ascii="宋体" w:hAnsi="宋体" w:eastAsia="宋体" w:cs="宋体"/>
                <w:b/>
                <w:color w:val="auto"/>
                <w:kern w:val="2"/>
                <w:sz w:val="24"/>
                <w:szCs w:val="24"/>
                <w:highlight w:val="none"/>
                <w:lang w:val="en-US" w:eastAsia="zh-CN"/>
              </w:rPr>
              <w:t>上</w:t>
            </w:r>
            <w:r>
              <w:rPr>
                <w:rFonts w:hint="eastAsia" w:ascii="宋体" w:hAnsi="宋体" w:eastAsia="宋体" w:cs="宋体"/>
                <w:b/>
                <w:color w:val="auto"/>
                <w:kern w:val="2"/>
                <w:sz w:val="24"/>
                <w:szCs w:val="24"/>
                <w:highlight w:val="none"/>
              </w:rPr>
              <w:t>午</w:t>
            </w:r>
            <w:r>
              <w:rPr>
                <w:rFonts w:hint="eastAsia" w:ascii="宋体" w:hAnsi="宋体" w:eastAsia="宋体" w:cs="宋体"/>
                <w:b/>
                <w:color w:val="auto"/>
                <w:kern w:val="2"/>
                <w:sz w:val="24"/>
                <w:szCs w:val="24"/>
                <w:highlight w:val="none"/>
                <w:lang w:val="en-US" w:eastAsia="zh-CN"/>
              </w:rPr>
              <w:t>09</w:t>
            </w:r>
            <w:r>
              <w:rPr>
                <w:rFonts w:hint="eastAsia" w:ascii="宋体" w:hAnsi="宋体" w:eastAsia="宋体" w:cs="宋体"/>
                <w:b/>
                <w:color w:val="auto"/>
                <w:kern w:val="2"/>
                <w:sz w:val="24"/>
                <w:szCs w:val="24"/>
                <w:highlight w:val="none"/>
              </w:rPr>
              <w:t>时</w:t>
            </w:r>
            <w:r>
              <w:rPr>
                <w:rFonts w:hint="eastAsia" w:ascii="宋体" w:hAnsi="宋体" w:eastAsia="宋体" w:cs="宋体"/>
                <w:b/>
                <w:color w:val="auto"/>
                <w:kern w:val="2"/>
                <w:sz w:val="24"/>
                <w:szCs w:val="24"/>
                <w:highlight w:val="none"/>
                <w:lang w:val="en-US" w:eastAsia="zh-CN"/>
              </w:rPr>
              <w:t>0</w:t>
            </w:r>
            <w:r>
              <w:rPr>
                <w:rFonts w:hint="eastAsia" w:ascii="宋体" w:hAnsi="宋体" w:eastAsia="宋体" w:cs="宋体"/>
                <w:b/>
                <w:color w:val="auto"/>
                <w:kern w:val="2"/>
                <w:sz w:val="24"/>
                <w:szCs w:val="24"/>
                <w:highlight w:val="none"/>
              </w:rPr>
              <w:t>0分（北京时间）</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17</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开标地点</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陇南市公共资源交易中心</w:t>
            </w:r>
            <w:r>
              <w:rPr>
                <w:rFonts w:hint="eastAsia" w:ascii="宋体" w:hAnsi="宋体" w:eastAsia="宋体" w:cs="宋体"/>
                <w:b/>
                <w:color w:val="auto"/>
                <w:kern w:val="2"/>
                <w:sz w:val="24"/>
                <w:szCs w:val="24"/>
                <w:highlight w:val="none"/>
                <w:lang w:val="en-US" w:eastAsia="zh-CN"/>
              </w:rPr>
              <w:t>网络</w:t>
            </w:r>
            <w:r>
              <w:rPr>
                <w:rFonts w:hint="eastAsia" w:ascii="宋体" w:hAnsi="宋体" w:eastAsia="宋体" w:cs="宋体"/>
                <w:b/>
                <w:color w:val="auto"/>
                <w:kern w:val="2"/>
                <w:sz w:val="24"/>
                <w:szCs w:val="24"/>
                <w:highlight w:val="none"/>
              </w:rPr>
              <w:t>开标直播一厅</w:t>
            </w:r>
            <w:r>
              <w:rPr>
                <w:rFonts w:hint="eastAsia" w:ascii="宋体" w:hAnsi="宋体" w:eastAsia="宋体" w:cs="宋体"/>
                <w:b/>
                <w:color w:val="auto"/>
                <w:kern w:val="2"/>
                <w:sz w:val="24"/>
                <w:szCs w:val="24"/>
                <w:highlight w:val="none"/>
                <w:lang w:eastAsia="zh-CN"/>
              </w:rPr>
              <w:t>第4坐席</w:t>
            </w:r>
            <w:r>
              <w:rPr>
                <w:rFonts w:hint="eastAsia" w:ascii="宋体" w:hAnsi="宋体" w:eastAsia="宋体" w:cs="宋体"/>
                <w:b/>
                <w:color w:val="auto"/>
                <w:kern w:val="2"/>
                <w:sz w:val="24"/>
                <w:szCs w:val="24"/>
                <w:highlight w:val="none"/>
              </w:rPr>
              <w:t>(陇南市行政中心5号楼环保大厦)</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single" w:color="000000" w:sz="4" w:space="0"/>
              <w:left w:val="double" w:color="000000" w:sz="6"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18</w:t>
            </w:r>
          </w:p>
        </w:tc>
        <w:tc>
          <w:tcPr>
            <w:tcW w:w="1202"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公布媒体</w:t>
            </w:r>
          </w:p>
        </w:tc>
        <w:tc>
          <w:tcPr>
            <w:tcW w:w="8769" w:type="dxa"/>
            <w:gridSpan w:val="2"/>
            <w:tcBorders>
              <w:top w:val="single" w:color="000000" w:sz="4" w:space="0"/>
              <w:left w:val="single" w:color="000000" w:sz="4" w:space="0"/>
              <w:bottom w:val="single" w:color="000000" w:sz="4"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color w:val="auto"/>
                <w:kern w:val="2"/>
                <w:sz w:val="24"/>
                <w:szCs w:val="24"/>
              </w:rPr>
            </w:pPr>
            <w:r>
              <w:rPr>
                <w:rFonts w:hint="eastAsia" w:ascii="宋体" w:hAnsi="宋体" w:eastAsia="宋体" w:cs="宋体"/>
                <w:color w:val="auto"/>
                <w:kern w:val="2"/>
                <w:sz w:val="24"/>
                <w:szCs w:val="24"/>
              </w:rPr>
              <w:t>甘肃政府采购网、陇南市公共资源交易网</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630" w:type="dxa"/>
            <w:tcBorders>
              <w:top w:val="single" w:color="000000" w:sz="4"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19</w:t>
            </w:r>
          </w:p>
        </w:tc>
        <w:tc>
          <w:tcPr>
            <w:tcW w:w="1202" w:type="dxa"/>
            <w:tcBorders>
              <w:top w:val="single" w:color="000000" w:sz="4" w:space="0"/>
              <w:left w:val="single" w:color="000000" w:sz="4" w:space="0"/>
              <w:bottom w:val="double" w:color="000000" w:sz="6" w:space="0"/>
              <w:right w:val="single" w:color="000000" w:sz="4" w:space="0"/>
            </w:tcBorders>
            <w:vAlign w:val="center"/>
          </w:tcPr>
          <w:p>
            <w:pPr>
              <w:adjustRightInd/>
              <w:snapToGrid/>
              <w:spacing w:after="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踏勘现场、标前答疑会</w:t>
            </w:r>
          </w:p>
        </w:tc>
        <w:tc>
          <w:tcPr>
            <w:tcW w:w="8769" w:type="dxa"/>
            <w:gridSpan w:val="2"/>
            <w:tcBorders>
              <w:top w:val="single" w:color="000000" w:sz="4" w:space="0"/>
              <w:left w:val="single" w:color="000000" w:sz="4" w:space="0"/>
              <w:bottom w:val="double" w:color="000000" w:sz="6" w:space="0"/>
              <w:right w:val="double" w:color="000000" w:sz="6" w:space="0"/>
            </w:tcBorders>
            <w:vAlign w:val="center"/>
          </w:tcPr>
          <w:p>
            <w:pPr>
              <w:adjustRightInd/>
              <w:snapToGrid/>
              <w:spacing w:after="0" w:line="360" w:lineRule="auto"/>
              <w:jc w:val="both"/>
              <w:textAlignment w:val="baseline"/>
              <w:outlineLvl w:val="9"/>
              <w:rPr>
                <w:rFonts w:ascii="宋体" w:hAnsi="宋体" w:eastAsia="宋体" w:cs="宋体"/>
                <w:color w:val="auto"/>
                <w:kern w:val="2"/>
                <w:sz w:val="24"/>
                <w:szCs w:val="24"/>
              </w:rPr>
            </w:pPr>
            <w:r>
              <w:rPr>
                <w:rFonts w:hint="eastAsia" w:ascii="宋体" w:hAnsi="宋体" w:eastAsia="宋体" w:cs="宋体"/>
                <w:color w:val="auto"/>
                <w:kern w:val="2"/>
                <w:sz w:val="24"/>
                <w:szCs w:val="24"/>
              </w:rPr>
              <w:t>不组织</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20</w:t>
            </w:r>
          </w:p>
        </w:tc>
        <w:tc>
          <w:tcPr>
            <w:tcW w:w="1202"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招标代理服务费收取标准和方式</w:t>
            </w:r>
          </w:p>
        </w:tc>
        <w:tc>
          <w:tcPr>
            <w:tcW w:w="8769" w:type="dxa"/>
            <w:gridSpan w:val="2"/>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outlineLvl w:val="9"/>
              <w:rPr>
                <w:rFonts w:ascii="宋体" w:hAnsi="宋体" w:eastAsia="宋体" w:cs="宋体"/>
                <w:kern w:val="2"/>
                <w:sz w:val="24"/>
                <w:szCs w:val="24"/>
              </w:rPr>
            </w:pPr>
            <w:r>
              <w:rPr>
                <w:rFonts w:hint="eastAsia" w:ascii="宋体" w:hAnsi="宋体" w:eastAsia="宋体" w:cs="宋体"/>
                <w:sz w:val="24"/>
                <w:szCs w:val="24"/>
                <w:lang w:val="zh-CN" w:bidi="zh-CN"/>
              </w:rPr>
              <w:t>依据国家计委颁发的《招标代理服务收费管理暂行办法》（计价格[2002]1980号），《国家发展改革委关于进一步放开专业服务价格的通知》（发改办价格[2015]299号）规定的标准，</w:t>
            </w:r>
            <w:r>
              <w:rPr>
                <w:rFonts w:hint="eastAsia" w:ascii="宋体" w:hAnsi="宋体" w:eastAsia="宋体" w:cs="宋体"/>
                <w:spacing w:val="-4"/>
                <w:sz w:val="24"/>
                <w:szCs w:val="24"/>
                <w:lang w:val="zh-CN" w:bidi="zh-CN"/>
              </w:rPr>
              <w:t>中标人在中标公告公示期结束后</w:t>
            </w:r>
            <w:r>
              <w:rPr>
                <w:rFonts w:hint="eastAsia" w:ascii="宋体" w:hAnsi="宋体" w:eastAsia="宋体" w:cs="宋体"/>
                <w:sz w:val="24"/>
                <w:szCs w:val="24"/>
                <w:lang w:val="zh-CN" w:bidi="zh-CN"/>
              </w:rPr>
              <w:t>5</w:t>
            </w:r>
            <w:r>
              <w:rPr>
                <w:rFonts w:hint="eastAsia" w:ascii="宋体" w:hAnsi="宋体" w:eastAsia="宋体" w:cs="宋体"/>
                <w:spacing w:val="-5"/>
                <w:sz w:val="24"/>
                <w:szCs w:val="24"/>
                <w:lang w:val="zh-CN" w:bidi="zh-CN"/>
              </w:rPr>
              <w:t>个工作日内向招标代理机构缴纳（</w:t>
            </w:r>
            <w:r>
              <w:rPr>
                <w:rFonts w:hint="eastAsia" w:ascii="宋体" w:hAnsi="宋体" w:eastAsia="宋体" w:cs="宋体"/>
                <w:spacing w:val="-5"/>
                <w:sz w:val="24"/>
                <w:szCs w:val="24"/>
                <w:lang w:val="en-US" w:bidi="zh-CN"/>
              </w:rPr>
              <w:t>转账或者现金方式</w:t>
            </w:r>
            <w:r>
              <w:rPr>
                <w:rFonts w:hint="eastAsia" w:ascii="宋体" w:hAnsi="宋体" w:eastAsia="宋体" w:cs="宋体"/>
                <w:spacing w:val="-5"/>
                <w:sz w:val="24"/>
                <w:szCs w:val="24"/>
                <w:lang w:val="zh-CN" w:bidi="zh-CN"/>
              </w:rPr>
              <w:t>）招标代理服务费</w:t>
            </w:r>
            <w:r>
              <w:rPr>
                <w:rFonts w:hint="eastAsia" w:ascii="宋体" w:hAnsi="宋体" w:eastAsia="宋体" w:cs="宋体"/>
                <w:sz w:val="24"/>
                <w:szCs w:val="24"/>
                <w:lang w:val="zh-CN" w:bidi="zh-CN"/>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21</w:t>
            </w:r>
          </w:p>
        </w:tc>
        <w:tc>
          <w:tcPr>
            <w:tcW w:w="1202"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sz w:val="24"/>
                <w:szCs w:val="24"/>
                <w:lang w:val="zh-CN" w:bidi="zh-CN"/>
              </w:rPr>
            </w:pPr>
            <w:r>
              <w:rPr>
                <w:rFonts w:hint="eastAsia" w:ascii="宋体" w:hAnsi="宋体" w:eastAsia="宋体" w:cs="宋体"/>
                <w:sz w:val="24"/>
                <w:szCs w:val="24"/>
                <w:lang w:val="zh-CN" w:bidi="zh-CN"/>
              </w:rPr>
              <w:t>预留比例</w:t>
            </w:r>
          </w:p>
        </w:tc>
        <w:tc>
          <w:tcPr>
            <w:tcW w:w="8769" w:type="dxa"/>
            <w:gridSpan w:val="2"/>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outlineLvl w:val="9"/>
              <w:rPr>
                <w:rFonts w:ascii="宋体" w:hAnsi="宋体" w:eastAsia="宋体" w:cs="宋体"/>
                <w:color w:val="auto"/>
                <w:sz w:val="24"/>
                <w:szCs w:val="24"/>
                <w:lang w:val="zh-CN" w:bidi="zh-CN"/>
              </w:rPr>
            </w:pPr>
            <w:r>
              <w:rPr>
                <w:rFonts w:hint="eastAsia" w:ascii="宋体" w:hAnsi="宋体" w:eastAsia="宋体" w:cs="宋体"/>
                <w:b/>
                <w:color w:val="auto"/>
                <w:sz w:val="24"/>
                <w:szCs w:val="24"/>
                <w:lang w:val="zh-CN" w:bidi="zh-CN"/>
              </w:rPr>
              <w:t>中小企业采购预留份额比例</w:t>
            </w:r>
            <w:r>
              <w:rPr>
                <w:rFonts w:hint="eastAsia" w:ascii="宋体" w:hAnsi="宋体" w:eastAsia="宋体" w:cs="宋体"/>
                <w:color w:val="auto"/>
                <w:sz w:val="24"/>
                <w:szCs w:val="24"/>
                <w:lang w:val="zh-CN" w:bidi="zh-CN"/>
              </w:rPr>
              <w:t>：100%。</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30"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22</w:t>
            </w:r>
          </w:p>
        </w:tc>
        <w:tc>
          <w:tcPr>
            <w:tcW w:w="1202"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hint="default" w:ascii="宋体" w:hAnsi="宋体" w:eastAsia="宋体" w:cs="宋体"/>
                <w:sz w:val="24"/>
                <w:szCs w:val="24"/>
                <w:lang w:val="en-US" w:bidi="zh-CN"/>
              </w:rPr>
            </w:pPr>
            <w:r>
              <w:rPr>
                <w:rFonts w:hint="eastAsia" w:ascii="宋体" w:hAnsi="宋体" w:eastAsia="宋体" w:cs="宋体"/>
                <w:sz w:val="24"/>
                <w:szCs w:val="24"/>
                <w:lang w:val="en-US" w:bidi="zh-CN"/>
              </w:rPr>
              <w:t>项目所属行业</w:t>
            </w:r>
          </w:p>
        </w:tc>
        <w:tc>
          <w:tcPr>
            <w:tcW w:w="8769" w:type="dxa"/>
            <w:gridSpan w:val="2"/>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outlineLvl w:val="9"/>
              <w:rPr>
                <w:rFonts w:hint="default" w:ascii="宋体" w:hAnsi="宋体" w:eastAsia="宋体" w:cs="宋体"/>
                <w:b/>
                <w:color w:val="auto"/>
                <w:sz w:val="24"/>
                <w:szCs w:val="24"/>
                <w:lang w:val="en-US" w:bidi="zh-CN"/>
              </w:rPr>
            </w:pPr>
            <w:r>
              <w:rPr>
                <w:rFonts w:hint="default" w:ascii="宋体" w:hAnsi="宋体" w:eastAsia="宋体" w:cs="宋体"/>
                <w:b/>
                <w:color w:val="auto"/>
                <w:sz w:val="24"/>
                <w:szCs w:val="24"/>
                <w:lang w:val="en-US" w:bidi="zh-CN"/>
              </w:rPr>
              <w:t>农、林、牧、渔业</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2</w:t>
            </w:r>
            <w:r>
              <w:rPr>
                <w:rFonts w:hint="eastAsia" w:ascii="宋体" w:hAnsi="宋体" w:eastAsia="宋体" w:cs="宋体"/>
                <w:kern w:val="2"/>
                <w:sz w:val="24"/>
                <w:szCs w:val="24"/>
                <w:lang w:val="en-US" w:eastAsia="zh-CN"/>
              </w:rPr>
              <w:t>3</w:t>
            </w:r>
          </w:p>
        </w:tc>
        <w:tc>
          <w:tcPr>
            <w:tcW w:w="2130" w:type="dxa"/>
            <w:gridSpan w:val="2"/>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sz w:val="24"/>
                <w:szCs w:val="24"/>
                <w:lang w:val="zh-CN" w:bidi="zh-CN"/>
              </w:rPr>
            </w:pPr>
            <w:r>
              <w:rPr>
                <w:rFonts w:hint="eastAsia" w:ascii="宋体" w:hAnsi="宋体" w:eastAsia="宋体" w:cs="宋体"/>
                <w:sz w:val="21"/>
                <w:szCs w:val="21"/>
                <w:lang w:val="zh-CN" w:bidi="zh-CN"/>
              </w:rPr>
              <w:t>是否存在以注册资本金、资产总额、营业收入、从业人员等规模条件对中小企业实行差别待遇或歧视待遇的情况</w:t>
            </w:r>
          </w:p>
        </w:tc>
        <w:tc>
          <w:tcPr>
            <w:tcW w:w="7841" w:type="dxa"/>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outlineLvl w:val="9"/>
              <w:rPr>
                <w:rFonts w:ascii="宋体" w:hAnsi="宋体" w:eastAsia="宋体" w:cs="宋体"/>
                <w:b/>
                <w:color w:val="auto"/>
                <w:sz w:val="24"/>
                <w:szCs w:val="24"/>
                <w:lang w:val="zh-CN" w:bidi="zh-CN"/>
              </w:rPr>
            </w:pPr>
            <w:r>
              <w:rPr>
                <w:rFonts w:hint="eastAsia" w:ascii="宋体" w:hAnsi="宋体" w:eastAsia="宋体" w:cs="宋体"/>
                <w:b/>
                <w:color w:val="auto"/>
                <w:sz w:val="24"/>
                <w:szCs w:val="24"/>
                <w:lang w:val="zh-CN" w:bidi="zh-CN"/>
              </w:rPr>
              <w:t>否</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630" w:type="dxa"/>
            <w:tcBorders>
              <w:top w:val="double" w:color="000000" w:sz="6" w:space="0"/>
              <w:left w:val="double" w:color="000000" w:sz="6"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24</w:t>
            </w:r>
          </w:p>
        </w:tc>
        <w:tc>
          <w:tcPr>
            <w:tcW w:w="1202" w:type="dxa"/>
            <w:tcBorders>
              <w:top w:val="double" w:color="000000" w:sz="6" w:space="0"/>
              <w:left w:val="single" w:color="000000" w:sz="4" w:space="0"/>
              <w:bottom w:val="double" w:color="000000" w:sz="6" w:space="0"/>
              <w:right w:val="single" w:color="000000" w:sz="4" w:space="0"/>
            </w:tcBorders>
            <w:vAlign w:val="center"/>
          </w:tcPr>
          <w:p>
            <w:pPr>
              <w:adjustRightInd/>
              <w:snapToGrid/>
              <w:spacing w:after="0" w:line="360" w:lineRule="auto"/>
              <w:jc w:val="center"/>
              <w:textAlignment w:val="baseline"/>
              <w:outlineLvl w:val="9"/>
              <w:rPr>
                <w:rFonts w:hint="eastAsia" w:ascii="宋体" w:hAnsi="宋体" w:eastAsia="宋体" w:cs="宋体"/>
                <w:sz w:val="21"/>
                <w:szCs w:val="21"/>
                <w:lang w:val="zh-CN" w:bidi="zh-CN"/>
              </w:rPr>
            </w:pPr>
            <w:r>
              <w:rPr>
                <w:rFonts w:hint="eastAsia" w:ascii="宋体" w:hAnsi="宋体" w:eastAsia="宋体" w:cs="宋体"/>
                <w:sz w:val="21"/>
                <w:szCs w:val="21"/>
                <w:lang w:val="zh-CN" w:bidi="zh-CN"/>
              </w:rPr>
              <w:t>政府采购合同融资</w:t>
            </w:r>
          </w:p>
        </w:tc>
        <w:tc>
          <w:tcPr>
            <w:tcW w:w="8769" w:type="dxa"/>
            <w:gridSpan w:val="2"/>
            <w:tcBorders>
              <w:top w:val="double" w:color="000000" w:sz="6" w:space="0"/>
              <w:left w:val="single" w:color="000000" w:sz="4" w:space="0"/>
              <w:bottom w:val="double" w:color="000000" w:sz="6" w:space="0"/>
              <w:right w:val="double" w:color="000000" w:sz="6" w:space="0"/>
            </w:tcBorders>
            <w:vAlign w:val="center"/>
          </w:tcPr>
          <w:p>
            <w:pPr>
              <w:adjustRightInd/>
              <w:snapToGrid/>
              <w:spacing w:after="0" w:line="360" w:lineRule="auto"/>
              <w:ind w:right="96"/>
              <w:jc w:val="both"/>
              <w:textAlignment w:val="baseline"/>
              <w:outlineLvl w:val="9"/>
              <w:rPr>
                <w:rFonts w:hint="eastAsia" w:ascii="宋体" w:hAnsi="宋体" w:eastAsia="宋体" w:cs="宋体"/>
                <w:b/>
                <w:color w:val="auto"/>
                <w:sz w:val="24"/>
                <w:szCs w:val="24"/>
                <w:lang w:val="zh-CN" w:bidi="zh-CN"/>
              </w:rPr>
            </w:pPr>
            <w:r>
              <w:rPr>
                <w:rFonts w:hint="eastAsia" w:ascii="宋体" w:hAnsi="宋体" w:eastAsia="宋体" w:cs="宋体"/>
                <w:spacing w:val="-4"/>
                <w:sz w:val="24"/>
                <w:szCs w:val="24"/>
                <w:lang w:val="zh-CN" w:bidi="zh-CN"/>
              </w:rPr>
              <w:t>在甘肃省注册、具有法人资格且依法取得省内政府采购合同中小微企业在依法签订政府采购合同后，即可通过融资平台自行选择金融机构及合同融资产品，申请合同融资。详见《甘肃省财政厅关于开展甘肃省政府采购合同融资业务有关事宜的通知》（甘财采〔2019〕16 号）。</w:t>
            </w:r>
          </w:p>
        </w:tc>
      </w:tr>
    </w:tbl>
    <w:p>
      <w:pPr>
        <w:pStyle w:val="22"/>
        <w:outlineLvl w:val="9"/>
        <w:rPr>
          <w:rFonts w:ascii="宋体" w:hAnsi="宋体" w:eastAsia="宋体"/>
        </w:rPr>
      </w:pPr>
    </w:p>
    <w:p>
      <w:pPr>
        <w:outlineLvl w:val="9"/>
        <w:rPr>
          <w:rFonts w:ascii="宋体" w:hAnsi="宋体" w:eastAsia="宋体" w:cs="Times New Roman"/>
          <w:b/>
          <w:bCs/>
          <w:kern w:val="44"/>
          <w:sz w:val="30"/>
        </w:rPr>
      </w:pPr>
      <w:bookmarkStart w:id="11" w:name="_Toc3934"/>
      <w:bookmarkStart w:id="12" w:name="_Toc20703"/>
      <w:r>
        <w:rPr>
          <w:rFonts w:hint="eastAsia" w:ascii="宋体" w:hAnsi="宋体" w:eastAsia="宋体" w:cs="Times New Roman"/>
          <w:b/>
          <w:bCs/>
          <w:kern w:val="44"/>
          <w:sz w:val="30"/>
        </w:rPr>
        <w:br w:type="page"/>
      </w:r>
    </w:p>
    <w:p>
      <w:pPr>
        <w:adjustRightInd/>
        <w:snapToGrid/>
        <w:spacing w:after="0" w:line="360" w:lineRule="auto"/>
        <w:jc w:val="center"/>
        <w:textAlignment w:val="baseline"/>
        <w:outlineLvl w:val="0"/>
        <w:rPr>
          <w:rFonts w:ascii="宋体" w:hAnsi="宋体" w:eastAsia="宋体" w:cs="宋体"/>
          <w:sz w:val="72"/>
          <w:szCs w:val="72"/>
        </w:rPr>
      </w:pPr>
      <w:bookmarkStart w:id="13" w:name="_Toc28098"/>
      <w:r>
        <w:rPr>
          <w:rFonts w:hint="eastAsia" w:ascii="宋体" w:hAnsi="宋体" w:eastAsia="宋体" w:cs="Times New Roman"/>
          <w:b/>
          <w:bCs/>
          <w:kern w:val="44"/>
          <w:sz w:val="30"/>
        </w:rPr>
        <w:t>第三章</w:t>
      </w:r>
      <w:bookmarkEnd w:id="11"/>
      <w:bookmarkStart w:id="14" w:name="_Toc13531"/>
      <w:r>
        <w:rPr>
          <w:rFonts w:hint="eastAsia" w:ascii="宋体" w:hAnsi="宋体" w:eastAsia="宋体" w:cs="Times New Roman"/>
          <w:b/>
          <w:bCs/>
          <w:kern w:val="44"/>
          <w:sz w:val="30"/>
        </w:rPr>
        <w:t>、投标人须知</w:t>
      </w:r>
      <w:bookmarkEnd w:id="12"/>
      <w:bookmarkEnd w:id="13"/>
      <w:bookmarkEnd w:id="14"/>
    </w:p>
    <w:p>
      <w:pPr>
        <w:spacing w:after="0" w:line="480" w:lineRule="exact"/>
        <w:outlineLvl w:val="9"/>
        <w:rPr>
          <w:rFonts w:ascii="宋体" w:hAnsi="宋体" w:eastAsia="宋体" w:cs="宋体"/>
          <w:b/>
          <w:bCs/>
          <w:sz w:val="24"/>
          <w:szCs w:val="24"/>
        </w:rPr>
      </w:pPr>
      <w:bookmarkStart w:id="15" w:name="_Toc25888"/>
      <w:bookmarkStart w:id="16" w:name="_Toc22849"/>
      <w:bookmarkStart w:id="17" w:name="_Toc11425"/>
      <w:bookmarkStart w:id="18" w:name="_Toc6430"/>
      <w:bookmarkStart w:id="19" w:name="_Toc27213"/>
      <w:r>
        <w:rPr>
          <w:rFonts w:hint="eastAsia" w:ascii="宋体" w:hAnsi="宋体" w:eastAsia="宋体" w:cs="宋体"/>
          <w:b/>
          <w:bCs/>
          <w:sz w:val="24"/>
          <w:szCs w:val="24"/>
        </w:rPr>
        <w:t>3.1 招标文件涉及术语的内涵及解释</w:t>
      </w:r>
      <w:bookmarkEnd w:id="15"/>
      <w:bookmarkEnd w:id="16"/>
      <w:bookmarkEnd w:id="17"/>
      <w:bookmarkEnd w:id="18"/>
      <w:bookmarkEnd w:id="19"/>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1)“政府采购当事人”是指在政府采购活动中享有权利和承担义务的各类主体，包括采购人、供应商和采购代理机构等。</w:t>
      </w:r>
    </w:p>
    <w:p>
      <w:pPr>
        <w:adjustRightInd/>
        <w:snapToGrid/>
        <w:spacing w:after="0" w:line="480" w:lineRule="exact"/>
        <w:ind w:firstLine="480" w:firstLineChars="200"/>
        <w:jc w:val="both"/>
        <w:textAlignment w:val="baseline"/>
        <w:outlineLvl w:val="9"/>
        <w:rPr>
          <w:rFonts w:ascii="宋体" w:hAnsi="宋体" w:eastAsia="宋体" w:cs="宋体"/>
          <w:b/>
          <w:kern w:val="2"/>
          <w:sz w:val="24"/>
          <w:szCs w:val="24"/>
        </w:rPr>
      </w:pPr>
      <w:r>
        <w:rPr>
          <w:rFonts w:hint="eastAsia" w:ascii="宋体" w:hAnsi="宋体" w:eastAsia="宋体" w:cs="宋体"/>
          <w:kern w:val="2"/>
          <w:sz w:val="24"/>
          <w:szCs w:val="24"/>
        </w:rPr>
        <w:t>2)“采购人”和“需方”是指</w:t>
      </w:r>
      <w:r>
        <w:rPr>
          <w:rFonts w:hint="eastAsia" w:ascii="宋体" w:hAnsi="宋体" w:eastAsia="宋体" w:cs="宋体"/>
          <w:kern w:val="2"/>
          <w:sz w:val="24"/>
          <w:szCs w:val="24"/>
          <w:lang w:eastAsia="zh-CN"/>
        </w:rPr>
        <w:t>陇南市武都区核桃产业开发中心</w:t>
      </w:r>
      <w:r>
        <w:rPr>
          <w:rFonts w:hint="eastAsia" w:ascii="宋体" w:hAnsi="宋体" w:eastAsia="宋体" w:cs="宋体"/>
          <w:kern w:val="2"/>
          <w:sz w:val="24"/>
          <w:szCs w:val="24"/>
        </w:rPr>
        <w:t>。</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u w:val="single"/>
        </w:rPr>
      </w:pPr>
      <w:r>
        <w:rPr>
          <w:rFonts w:hint="eastAsia" w:ascii="宋体" w:hAnsi="宋体" w:eastAsia="宋体" w:cs="宋体"/>
          <w:kern w:val="2"/>
          <w:sz w:val="24"/>
          <w:szCs w:val="24"/>
        </w:rPr>
        <w:t>3)“招标代理机构”是指</w:t>
      </w:r>
      <w:r>
        <w:rPr>
          <w:rFonts w:hint="eastAsia" w:ascii="宋体" w:hAnsi="宋体" w:eastAsia="宋体" w:cs="宋体"/>
          <w:kern w:val="2"/>
          <w:sz w:val="24"/>
          <w:szCs w:val="24"/>
          <w:lang w:eastAsia="zh-CN"/>
        </w:rPr>
        <w:t>陇南子午线招标代理有限公司</w:t>
      </w:r>
      <w:r>
        <w:rPr>
          <w:rFonts w:hint="eastAsia" w:ascii="宋体" w:hAnsi="宋体" w:eastAsia="宋体" w:cs="宋体"/>
          <w:kern w:val="2"/>
          <w:sz w:val="24"/>
          <w:szCs w:val="24"/>
        </w:rPr>
        <w:t>。</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4)“投标人”是指向本次招标人提交投标文件的供应商。</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5)“供应商”是指向采购人提供货物、工程或者服务的法人、其他组织或者自然人。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6)“招标文件”是指由招标人发出的文本、文件，包括全部章节和附件及答疑会议纪要。</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7)“投标文件”是指投标供应商根据本招标文件向招标代理机构提交的全部响应性文件。投标供应商必须保证投标文件所提供的全部资料真实可靠，并接受招标代理机构对其中任何资料进一步审查的要求。</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8)“采购文件”是指包括采购活动记录、采购预算、招标文件、投标文件、评标标准、评标报告、定标文件、合同文本、验收证明、质疑答复、投诉处理决定及其他有关文件、资料。</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9)“货物”是指投标供应商中标后根据招标文件和合同的规定须向采购人提供的各种形态和种类的物品，包括原材料、燃料、设备等。</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10）“工程”是指建设工程，包括建筑物和构筑物的新建、改建、扩建、装修、拆除、修缮等。</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11)“安装”是指投标人中标后按谈判文件和合同的规定在项目现场所进行的安装、调试、检验、验收及修补缺陷等内容。供方应对所有现场作业、所有全部安装的完备性、稳定性和安全性负责。</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12)“服务”是指供方根据招标文件和合同的规定承担与供货有关的服务，包括运输、仓储、保险以及其它的伴随服务，如售后、安装、集成、调试、培训、技术支持、维护和维修以及其它使货物正常运转所必需的服务，更换和应承担的其它义务。</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13）“知识产权”是指通过签署投标函，投标供应商应确认其为所供硬件和软件的知识产权的合法所有人，或已经从其所有人那里得到了适当的授权。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如采用投标人所不拥有的知识产权，则在投标报价中必须包括合法获取该知识产权的相关费用。</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14）“自主创新产品”是指纳入财政部公布的《政府采购自主创新产品目录》的货物和服务。</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15）“节能产品”或者“环保产品”是指列入财政部、国家发展改革委制定的《节能产品政府采购品目清单》和财政部、国家环境保护总局制定的《环境标志产品政府采购清单》的产品并在产品认证证书有效期内的。</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16）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根据《财政部民政部中国残疾人联合会关于促进残疾人就业政府采购政策的通知》（财库〔2017〕141号）的规定，残疾人福利性单位视同为小型、微型企业。</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17）“进口产品”是指通过中国海关报关验收进入中国境内且产自关境外的产品。详见《关于政府采购进口产品管理有关问题的通知》(财库[2007]119号)。经财政监管部门审核管理，并经进口论证后方可采购进口产品。</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18) “书面形式”是指任何手写、打印或印刷的各种函件，不包括电传、电报、传真、电子邮件。</w:t>
      </w:r>
    </w:p>
    <w:p>
      <w:pPr>
        <w:spacing w:after="0" w:line="480" w:lineRule="exact"/>
        <w:outlineLvl w:val="9"/>
        <w:rPr>
          <w:rFonts w:ascii="宋体" w:hAnsi="宋体" w:eastAsia="宋体" w:cs="宋体"/>
          <w:b/>
          <w:bCs/>
          <w:sz w:val="24"/>
          <w:szCs w:val="24"/>
        </w:rPr>
      </w:pPr>
      <w:bookmarkStart w:id="20" w:name="_Toc23428"/>
      <w:bookmarkStart w:id="21" w:name="_Toc29583"/>
      <w:bookmarkStart w:id="22" w:name="_Toc13717"/>
      <w:bookmarkStart w:id="23" w:name="_Toc25226"/>
      <w:bookmarkStart w:id="24" w:name="_Toc9091"/>
      <w:r>
        <w:rPr>
          <w:rFonts w:hint="eastAsia" w:ascii="宋体" w:hAnsi="宋体" w:eastAsia="宋体" w:cs="宋体"/>
          <w:b/>
          <w:bCs/>
          <w:sz w:val="24"/>
          <w:szCs w:val="24"/>
        </w:rPr>
        <w:t>3.2招标</w:t>
      </w:r>
      <w:bookmarkEnd w:id="20"/>
      <w:bookmarkEnd w:id="21"/>
      <w:bookmarkEnd w:id="22"/>
      <w:bookmarkEnd w:id="23"/>
      <w:bookmarkEnd w:id="24"/>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3.2.1综合说明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本项目按照《中华人民共和国政府采购法》及相关法规，已办理招标申请，并得到招标管理机构批准，现通过招标来择优选定货物服务的供应商。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其风险由投标人自行承担。</w:t>
      </w:r>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3.2.2招标文件的构成</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招标文件用以阐明招标项目所需的资质、技术、服务及报价等要求、招标投标程序、有关规定和注意事项以及合同主要条款等。本招标文件包括以下内容：</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招标公告</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投标人须知前附表</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投标人须知</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项目技术参数</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评标原则及办法</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合同条款及格式</w:t>
      </w:r>
    </w:p>
    <w:p>
      <w:pPr>
        <w:numPr>
          <w:ilvl w:val="0"/>
          <w:numId w:val="5"/>
        </w:numPr>
        <w:adjustRightInd/>
        <w:snapToGrid/>
        <w:spacing w:after="0" w:line="480" w:lineRule="exact"/>
        <w:ind w:left="0" w:firstLine="480" w:firstLineChars="200"/>
        <w:jc w:val="both"/>
        <w:outlineLvl w:val="9"/>
        <w:rPr>
          <w:rFonts w:ascii="宋体" w:hAnsi="宋体" w:eastAsia="宋体" w:cs="宋体"/>
          <w:kern w:val="2"/>
          <w:sz w:val="24"/>
          <w:szCs w:val="24"/>
        </w:rPr>
      </w:pPr>
      <w:r>
        <w:rPr>
          <w:rFonts w:hint="eastAsia" w:ascii="宋体" w:hAnsi="宋体" w:eastAsia="宋体" w:cs="宋体"/>
          <w:kern w:val="2"/>
          <w:sz w:val="24"/>
          <w:szCs w:val="24"/>
        </w:rPr>
        <w:t>附件（投标文件格式）</w:t>
      </w:r>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3.2.3 招标文件的修改与补充</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投标截止日期3天前，无论出于何种原因，招标人（采购人）可主动地或在解答投标人提出的问题时对招标文件进行修改。</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文件的修改将以书面形式或网上公告的形式通知所有购买招标文件的投标人，并对其具有约束力。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为使投标人准备投标时有充分时间对招标文件的补充或修改内容进行考虑和研究或由于其他原因，招标人可决定是否延长投标文件递交截止时间和开标时间，并将此变更通知上述每一投标人。</w:t>
      </w:r>
    </w:p>
    <w:p>
      <w:pPr>
        <w:spacing w:after="0" w:line="480" w:lineRule="exact"/>
        <w:outlineLvl w:val="9"/>
        <w:rPr>
          <w:rFonts w:ascii="宋体" w:hAnsi="宋体" w:eastAsia="宋体" w:cs="宋体"/>
          <w:b/>
          <w:bCs/>
          <w:sz w:val="24"/>
          <w:szCs w:val="24"/>
        </w:rPr>
      </w:pPr>
      <w:bookmarkStart w:id="25" w:name="_Toc11324"/>
      <w:bookmarkStart w:id="26" w:name="_Toc1264"/>
      <w:bookmarkStart w:id="27" w:name="_Toc10065"/>
      <w:bookmarkStart w:id="28" w:name="_Toc10431"/>
      <w:bookmarkStart w:id="29" w:name="_Toc26783"/>
      <w:r>
        <w:rPr>
          <w:rFonts w:hint="eastAsia" w:ascii="宋体" w:hAnsi="宋体" w:eastAsia="宋体" w:cs="宋体"/>
          <w:b/>
          <w:bCs/>
          <w:sz w:val="24"/>
          <w:szCs w:val="24"/>
        </w:rPr>
        <w:t>3.3投标</w:t>
      </w:r>
      <w:bookmarkEnd w:id="25"/>
      <w:bookmarkEnd w:id="26"/>
      <w:bookmarkEnd w:id="27"/>
      <w:bookmarkEnd w:id="28"/>
      <w:bookmarkEnd w:id="29"/>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3.3.1投标综合要求及说明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1）投标人投标应按照招标人标书要求有分包的按分包投标，且每包只能报一个方案进行投标，否则按无效投标处理；</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2）投标人对投标产品技术性能的描述因欠缺或漏报而影响对投标人投标文件的评比，不利后果由投标人承担；</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3）投标人在投标文件中所列出的所有货物、材料、人工、机械等均视为包含在投标项目以及报价中；</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投标人在本次项目中所提供的建设项目，对于招标文件中的技术参数要求必须满足，必须符合国家相关规定的要求，对国标、省标和行业标准以及企业标准的满足在个案中标书内给予确认，否则视为无效投标；</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招标人发现具有《中华人民共和国政府采购法》第七十七条中第一至五项情形之一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6）招标人可视投标品目价格情况适当增加或减少采购数量，并保留拆包或取消采购某些品目的权力；</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7）投标人应自行承担所有与准备和参加投标有关的费用。不论投标的结果如何，招标人和需方均无义务和责任承担这些费用。</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8）本项目不接受联合体投标。</w:t>
      </w:r>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3.3.2 投标文件的制作</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投标人须按招标文件的要求制作投标文件。制作投标文件须编制目录、页码。</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1）投标文件封面格式</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2）投标函</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3）法定代表人身份证明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4）法人授权委托函</w:t>
      </w:r>
    </w:p>
    <w:p>
      <w:pPr>
        <w:tabs>
          <w:tab w:val="left" w:pos="945"/>
        </w:tabs>
        <w:adjustRightInd/>
        <w:snapToGrid/>
        <w:spacing w:after="0" w:line="480" w:lineRule="exact"/>
        <w:ind w:firstLine="480" w:firstLineChars="200"/>
        <w:jc w:val="both"/>
        <w:textAlignment w:val="baseline"/>
        <w:outlineLvl w:val="9"/>
        <w:rPr>
          <w:rFonts w:ascii="宋体" w:hAnsi="宋体" w:eastAsia="宋体" w:cs="宋体"/>
          <w:b/>
          <w:kern w:val="2"/>
          <w:sz w:val="24"/>
          <w:szCs w:val="24"/>
        </w:rPr>
      </w:pPr>
      <w:r>
        <w:rPr>
          <w:rFonts w:hint="eastAsia" w:ascii="宋体" w:hAnsi="宋体" w:eastAsia="宋体" w:cs="宋体"/>
          <w:kern w:val="2"/>
          <w:sz w:val="24"/>
          <w:szCs w:val="24"/>
        </w:rPr>
        <w:t>5）投标报价表</w:t>
      </w:r>
    </w:p>
    <w:p>
      <w:pPr>
        <w:tabs>
          <w:tab w:val="left" w:pos="945"/>
        </w:tabs>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6）投标材料真实性保证承诺书</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7）投标人资质证明文件及认为有必要的其他相关证明材料</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8）商务偏离表</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bookmarkStart w:id="30" w:name="_Toc18320"/>
      <w:bookmarkStart w:id="31" w:name="_Toc20633"/>
      <w:bookmarkStart w:id="32" w:name="_Toc6809"/>
      <w:r>
        <w:rPr>
          <w:rFonts w:hint="eastAsia" w:ascii="宋体" w:hAnsi="宋体" w:eastAsia="宋体" w:cs="宋体"/>
          <w:kern w:val="2"/>
          <w:sz w:val="24"/>
          <w:szCs w:val="24"/>
        </w:rPr>
        <w:t>9）技术偏离表</w:t>
      </w:r>
      <w:bookmarkEnd w:id="30"/>
      <w:bookmarkEnd w:id="31"/>
      <w:bookmarkEnd w:id="32"/>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10) 优惠条件承诺书</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11）售后服务承诺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12）无重大违法记录声明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13）中小企业声明函</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14）同意招标文件条款声明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15）虚假应标承担责任声明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16）代理服务费确认书</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17）残疾人福利性单位声明函</w:t>
      </w:r>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3.3.3 有下列情形之一的，视为投标人串通投标，其投标无效：</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1）不同投标人的投标文件由同一单位或者个人编制；</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2）不同投标人委托同一单位或者个人办理投标事宜；</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3）不同投标人的投标文件载明的项目管理成员或者联系人为同一人；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4）不同投标人的投标文件异常一致或者投标报价呈规律性差异；</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5）不同投标人的投标文件相互混装；</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6）不同投标人的投标保证金从同一单位或者个人的账户转出。</w:t>
      </w:r>
    </w:p>
    <w:p>
      <w:pPr>
        <w:spacing w:after="0" w:line="480" w:lineRule="exact"/>
        <w:ind w:firstLine="482" w:firstLineChars="200"/>
        <w:outlineLvl w:val="9"/>
        <w:rPr>
          <w:rFonts w:ascii="宋体" w:hAnsi="宋体" w:eastAsia="宋体" w:cs="宋体"/>
          <w:b/>
          <w:bCs/>
          <w:sz w:val="24"/>
          <w:szCs w:val="24"/>
        </w:rPr>
      </w:pPr>
      <w:r>
        <w:rPr>
          <w:rFonts w:hint="eastAsia" w:ascii="宋体" w:hAnsi="宋体" w:eastAsia="宋体" w:cs="宋体"/>
          <w:b/>
          <w:bCs/>
          <w:sz w:val="24"/>
          <w:szCs w:val="24"/>
        </w:rPr>
        <w:t>3.3.4 投标报价</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投标人应根据招标文件要求和范围报价，此次投标报价（须标明各品目报价及合计报价，否则视为无效投标）。投标价格应包括完成招标文件规定的招标范围全部内容所需的全部费用，并通过合格验收的全部价格，包括设备采购费用、运输费用和检测费用等。</w:t>
      </w:r>
      <w:r>
        <w:rPr>
          <w:rFonts w:hint="eastAsia" w:ascii="宋体" w:hAnsi="宋体" w:eastAsia="宋体" w:cs="宋体"/>
          <w:sz w:val="24"/>
          <w:szCs w:val="24"/>
        </w:rPr>
        <w:t>除非招标文件另有规定，</w:t>
      </w:r>
      <w:r>
        <w:rPr>
          <w:rFonts w:hint="eastAsia" w:ascii="宋体" w:hAnsi="宋体" w:eastAsia="宋体" w:cs="宋体"/>
          <w:kern w:val="2"/>
          <w:sz w:val="24"/>
          <w:szCs w:val="24"/>
        </w:rPr>
        <w:t>投标</w:t>
      </w:r>
      <w:r>
        <w:rPr>
          <w:rFonts w:hint="eastAsia" w:ascii="宋体" w:hAnsi="宋体" w:eastAsia="宋体" w:cs="宋体"/>
          <w:sz w:val="24"/>
          <w:szCs w:val="24"/>
        </w:rPr>
        <w:t>报价应包括所需货物、检测、保险、利润、税金、劳保统筹、政策性文件规定及合同包含的所有风险、优惠率、责任等各项应有费用。</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投标价格采用唯一价格，即不得为某一范围价格。投标货币为</w:t>
      </w:r>
      <w:r>
        <w:rPr>
          <w:rFonts w:hint="eastAsia" w:ascii="宋体" w:hAnsi="宋体" w:eastAsia="宋体" w:cs="宋体"/>
          <w:b/>
          <w:kern w:val="2"/>
          <w:sz w:val="24"/>
          <w:szCs w:val="24"/>
        </w:rPr>
        <w:t>人民币</w:t>
      </w:r>
      <w:r>
        <w:rPr>
          <w:rFonts w:hint="eastAsia" w:ascii="宋体" w:hAnsi="宋体" w:eastAsia="宋体" w:cs="宋体"/>
          <w:kern w:val="2"/>
          <w:sz w:val="24"/>
          <w:szCs w:val="24"/>
        </w:rPr>
        <w:t>。</w:t>
      </w:r>
    </w:p>
    <w:p>
      <w:pPr>
        <w:spacing w:after="0" w:line="48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t>3.3.5投标有效期</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投标文件在正式递交之日起60日内有效。</w:t>
      </w:r>
    </w:p>
    <w:p>
      <w:pPr>
        <w:spacing w:after="0" w:line="48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t>3.3.6 投标保证金</w:t>
      </w:r>
    </w:p>
    <w:p>
      <w:pPr>
        <w:spacing w:after="0" w:line="48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t>本项目不设立保证金</w:t>
      </w:r>
    </w:p>
    <w:p>
      <w:pPr>
        <w:spacing w:after="0" w:line="480" w:lineRule="exact"/>
        <w:ind w:firstLine="480" w:firstLineChars="200"/>
        <w:outlineLvl w:val="9"/>
        <w:rPr>
          <w:rFonts w:ascii="宋体" w:hAnsi="宋体" w:eastAsia="宋体" w:cs="宋体"/>
          <w:sz w:val="24"/>
          <w:szCs w:val="24"/>
          <w:lang w:val="zh-CN"/>
        </w:rPr>
      </w:pPr>
      <w:r>
        <w:rPr>
          <w:rFonts w:hint="eastAsia" w:ascii="宋体" w:hAnsi="宋体" w:eastAsia="宋体" w:cs="宋体"/>
          <w:sz w:val="24"/>
          <w:szCs w:val="24"/>
          <w:lang w:val="zh-CN"/>
        </w:rPr>
        <w:t>3.3.7投标文件的签署</w:t>
      </w:r>
    </w:p>
    <w:p>
      <w:pPr>
        <w:adjustRightInd/>
        <w:snapToGrid/>
        <w:spacing w:after="0" w:line="480" w:lineRule="exact"/>
        <w:ind w:firstLine="480" w:firstLineChars="200"/>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本项目采用网上开评标，投标文件中除要求由投标人法定代表人或被授权人签字的内容必须签字、盖章外，其他每页也须签字（印章）并加盖公章，副本可由正本复印而成 。 由被授权人签字或盖章的《投标文件》 中须同时提交“法 定代表人授权函 ” 。除投标人对错误处须修改外，全套《投标文件》应无涂改或行间插字 和增删。如有修改，修改处应由投标人加盖投标人的印章或由《投标文件》签字人签字或盖章</w:t>
      </w:r>
      <w:r>
        <w:rPr>
          <w:rFonts w:hint="eastAsia" w:ascii="宋体" w:hAnsi="宋体" w:eastAsia="宋体" w:cs="宋体"/>
          <w:kern w:val="2"/>
          <w:sz w:val="24"/>
          <w:szCs w:val="24"/>
          <w:lang w:eastAsia="zh-CN"/>
        </w:rPr>
        <w:t>。</w:t>
      </w:r>
    </w:p>
    <w:p>
      <w:pPr>
        <w:spacing w:after="0" w:line="480" w:lineRule="exact"/>
        <w:ind w:firstLine="482" w:firstLineChars="200"/>
        <w:outlineLvl w:val="9"/>
        <w:rPr>
          <w:rFonts w:ascii="宋体" w:hAnsi="宋体" w:eastAsia="宋体" w:cs="宋体"/>
          <w:b/>
          <w:bCs/>
          <w:sz w:val="24"/>
          <w:szCs w:val="24"/>
          <w:lang w:val="zh-CN"/>
        </w:rPr>
      </w:pPr>
      <w:r>
        <w:rPr>
          <w:rFonts w:hint="eastAsia" w:ascii="宋体" w:hAnsi="宋体" w:eastAsia="宋体" w:cs="宋体"/>
          <w:b/>
          <w:bCs/>
          <w:sz w:val="24"/>
          <w:szCs w:val="24"/>
          <w:lang w:val="zh-CN"/>
        </w:rPr>
        <w:t>3.3.8 投标文件格式</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招标文件提供的规定格式见附件1—附件18。</w:t>
      </w:r>
    </w:p>
    <w:p>
      <w:pPr>
        <w:spacing w:after="0" w:line="480" w:lineRule="exact"/>
        <w:ind w:firstLine="482" w:firstLineChars="200"/>
        <w:outlineLvl w:val="9"/>
        <w:rPr>
          <w:rFonts w:ascii="宋体" w:hAnsi="宋体" w:eastAsia="宋体" w:cs="宋体"/>
          <w:b/>
          <w:bCs/>
          <w:sz w:val="24"/>
          <w:szCs w:val="24"/>
          <w:lang w:val="zh-CN"/>
        </w:rPr>
      </w:pPr>
      <w:r>
        <w:rPr>
          <w:rFonts w:hint="eastAsia" w:ascii="宋体" w:hAnsi="宋体" w:eastAsia="宋体" w:cs="宋体"/>
          <w:b/>
          <w:bCs/>
          <w:sz w:val="24"/>
          <w:szCs w:val="24"/>
          <w:lang w:val="zh-CN"/>
        </w:rPr>
        <w:t>3.3.9 投标文件的上传</w:t>
      </w:r>
    </w:p>
    <w:p>
      <w:pPr>
        <w:adjustRightInd/>
        <w:snapToGrid/>
        <w:spacing w:after="0" w:line="480" w:lineRule="exact"/>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本项目采用网上电子投标方式，不接受投标人递交的纸质投标文件，（详见投标人须知前附表2.21）。对迟于投标截止时间提交的电子投标文件将不予接受。</w:t>
      </w:r>
    </w:p>
    <w:p>
      <w:pPr>
        <w:spacing w:after="0" w:line="480" w:lineRule="exact"/>
        <w:ind w:firstLine="482" w:firstLineChars="200"/>
        <w:outlineLvl w:val="9"/>
        <w:rPr>
          <w:rFonts w:ascii="宋体" w:hAnsi="宋体" w:eastAsia="宋体" w:cs="宋体"/>
          <w:b/>
          <w:bCs/>
          <w:sz w:val="24"/>
          <w:szCs w:val="24"/>
          <w:lang w:val="zh-CN"/>
        </w:rPr>
      </w:pPr>
      <w:r>
        <w:rPr>
          <w:rFonts w:hint="eastAsia" w:ascii="宋体" w:hAnsi="宋体" w:eastAsia="宋体" w:cs="宋体"/>
          <w:b/>
          <w:bCs/>
          <w:sz w:val="24"/>
          <w:szCs w:val="24"/>
          <w:lang w:val="zh-CN"/>
        </w:rPr>
        <w:t>3.3.10 投标文件递交</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highlight w:val="none"/>
          <w:lang w:bidi="zh-CN"/>
        </w:rPr>
      </w:pPr>
      <w:r>
        <w:rPr>
          <w:rFonts w:hint="eastAsia" w:ascii="宋体" w:hAnsi="宋体" w:eastAsia="宋体" w:cs="宋体"/>
          <w:kern w:val="2"/>
          <w:sz w:val="24"/>
          <w:szCs w:val="24"/>
          <w:lang w:bidi="zh-CN"/>
        </w:rPr>
        <w:t>中标人在开标之后按投标须知前附表</w:t>
      </w:r>
      <w:r>
        <w:rPr>
          <w:rFonts w:hint="eastAsia" w:ascii="宋体" w:hAnsi="宋体" w:eastAsia="宋体" w:cs="宋体"/>
          <w:kern w:val="2"/>
          <w:sz w:val="24"/>
          <w:szCs w:val="24"/>
          <w:highlight w:val="none"/>
          <w:lang w:bidi="zh-CN"/>
        </w:rPr>
        <w:t>中投标文件份数及要求将</w:t>
      </w:r>
      <w:r>
        <w:rPr>
          <w:rFonts w:hint="eastAsia" w:ascii="宋体" w:hAnsi="宋体" w:eastAsia="宋体" w:cs="宋体"/>
          <w:b/>
          <w:kern w:val="2"/>
          <w:sz w:val="24"/>
          <w:szCs w:val="24"/>
          <w:highlight w:val="none"/>
          <w:lang w:bidi="zh-CN"/>
        </w:rPr>
        <w:t>与上传投标文件一致的投标文件纸质版和电子版</w:t>
      </w:r>
      <w:r>
        <w:rPr>
          <w:rFonts w:hint="eastAsia" w:ascii="宋体" w:hAnsi="宋体" w:eastAsia="宋体" w:cs="宋体"/>
          <w:kern w:val="2"/>
          <w:sz w:val="24"/>
          <w:szCs w:val="24"/>
          <w:highlight w:val="none"/>
          <w:lang w:bidi="zh-CN"/>
        </w:rPr>
        <w:t>邮寄至陇南子午线招标代理有限公司存档。</w:t>
      </w:r>
    </w:p>
    <w:p>
      <w:pPr>
        <w:spacing w:after="0" w:line="480" w:lineRule="exact"/>
        <w:ind w:firstLine="482" w:firstLineChars="200"/>
        <w:outlineLvl w:val="9"/>
        <w:rPr>
          <w:rFonts w:ascii="宋体" w:hAnsi="宋体" w:eastAsia="宋体" w:cs="宋体"/>
          <w:b/>
          <w:bCs/>
          <w:sz w:val="24"/>
          <w:szCs w:val="24"/>
          <w:highlight w:val="none"/>
          <w:lang w:val="zh-CN"/>
        </w:rPr>
      </w:pPr>
      <w:r>
        <w:rPr>
          <w:rFonts w:hint="eastAsia" w:ascii="宋体" w:hAnsi="宋体" w:eastAsia="宋体" w:cs="宋体"/>
          <w:b/>
          <w:bCs/>
          <w:sz w:val="24"/>
          <w:szCs w:val="24"/>
          <w:highlight w:val="none"/>
          <w:lang w:val="zh-CN"/>
        </w:rPr>
        <w:t>3.3.11 投标截止时间</w:t>
      </w:r>
    </w:p>
    <w:p>
      <w:pPr>
        <w:adjustRightInd/>
        <w:snapToGrid/>
        <w:spacing w:after="0" w:line="480" w:lineRule="exact"/>
        <w:ind w:firstLine="480" w:firstLineChars="200"/>
        <w:jc w:val="both"/>
        <w:textAlignment w:val="baseline"/>
        <w:outlineLvl w:val="9"/>
        <w:rPr>
          <w:rFonts w:ascii="宋体" w:hAnsi="宋体" w:eastAsia="宋体" w:cs="宋体"/>
          <w:b/>
          <w:color w:val="auto"/>
          <w:kern w:val="2"/>
          <w:sz w:val="24"/>
          <w:szCs w:val="24"/>
          <w:highlight w:val="none"/>
        </w:rPr>
      </w:pPr>
      <w:r>
        <w:rPr>
          <w:rFonts w:hint="eastAsia" w:ascii="宋体" w:hAnsi="宋体" w:eastAsia="宋体" w:cs="宋体"/>
          <w:kern w:val="2"/>
          <w:sz w:val="24"/>
          <w:szCs w:val="24"/>
          <w:highlight w:val="none"/>
        </w:rPr>
        <w:t>投标截止时</w:t>
      </w:r>
      <w:r>
        <w:rPr>
          <w:rFonts w:hint="eastAsia" w:ascii="宋体" w:hAnsi="宋体" w:eastAsia="宋体" w:cs="宋体"/>
          <w:color w:val="auto"/>
          <w:kern w:val="2"/>
          <w:sz w:val="24"/>
          <w:szCs w:val="24"/>
          <w:highlight w:val="none"/>
        </w:rPr>
        <w:t>间为：</w:t>
      </w:r>
      <w:r>
        <w:rPr>
          <w:rFonts w:hint="eastAsia" w:ascii="宋体" w:hAnsi="宋体" w:eastAsia="宋体" w:cs="宋体"/>
          <w:b/>
          <w:color w:val="auto"/>
          <w:kern w:val="2"/>
          <w:sz w:val="24"/>
          <w:szCs w:val="24"/>
          <w:highlight w:val="none"/>
          <w:lang w:eastAsia="zh-CN"/>
        </w:rPr>
        <w:t>2024年</w:t>
      </w:r>
      <w:r>
        <w:rPr>
          <w:rFonts w:hint="eastAsia" w:ascii="宋体" w:hAnsi="宋体" w:eastAsia="宋体" w:cs="宋体"/>
          <w:b/>
          <w:color w:val="auto"/>
          <w:kern w:val="2"/>
          <w:sz w:val="24"/>
          <w:szCs w:val="24"/>
          <w:highlight w:val="none"/>
          <w:lang w:val="en-US" w:eastAsia="zh-CN"/>
        </w:rPr>
        <w:t>06</w:t>
      </w:r>
      <w:r>
        <w:rPr>
          <w:rFonts w:hint="eastAsia" w:ascii="宋体" w:hAnsi="宋体" w:eastAsia="宋体" w:cs="宋体"/>
          <w:b/>
          <w:color w:val="auto"/>
          <w:kern w:val="2"/>
          <w:sz w:val="24"/>
          <w:szCs w:val="24"/>
          <w:highlight w:val="none"/>
          <w:lang w:eastAsia="zh-CN"/>
        </w:rPr>
        <w:t>月</w:t>
      </w:r>
      <w:r>
        <w:rPr>
          <w:rFonts w:hint="eastAsia" w:ascii="宋体" w:hAnsi="宋体" w:eastAsia="宋体" w:cs="宋体"/>
          <w:b/>
          <w:color w:val="auto"/>
          <w:kern w:val="2"/>
          <w:sz w:val="24"/>
          <w:szCs w:val="24"/>
          <w:highlight w:val="none"/>
          <w:lang w:val="en-US" w:eastAsia="zh-CN"/>
        </w:rPr>
        <w:t>17</w:t>
      </w:r>
      <w:r>
        <w:rPr>
          <w:rFonts w:hint="eastAsia" w:ascii="宋体" w:hAnsi="宋体" w:eastAsia="宋体" w:cs="宋体"/>
          <w:b/>
          <w:color w:val="auto"/>
          <w:kern w:val="2"/>
          <w:sz w:val="24"/>
          <w:szCs w:val="24"/>
          <w:highlight w:val="none"/>
          <w:lang w:eastAsia="zh-CN"/>
        </w:rPr>
        <w:t>日上午09时00分</w:t>
      </w:r>
      <w:r>
        <w:rPr>
          <w:rFonts w:hint="eastAsia" w:ascii="宋体" w:hAnsi="宋体" w:eastAsia="宋体" w:cs="宋体"/>
          <w:b/>
          <w:color w:val="auto"/>
          <w:kern w:val="2"/>
          <w:sz w:val="24"/>
          <w:szCs w:val="24"/>
          <w:highlight w:val="none"/>
        </w:rPr>
        <w:t>（北京时间）</w:t>
      </w:r>
      <w:r>
        <w:rPr>
          <w:rFonts w:hint="eastAsia" w:ascii="宋体" w:hAnsi="宋体" w:eastAsia="宋体" w:cs="宋体"/>
          <w:color w:val="auto"/>
          <w:kern w:val="2"/>
          <w:sz w:val="24"/>
          <w:szCs w:val="24"/>
          <w:highlight w:val="none"/>
        </w:rPr>
        <w:t>。</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highlight w:val="none"/>
        </w:rPr>
      </w:pPr>
      <w:r>
        <w:rPr>
          <w:rFonts w:hint="eastAsia" w:ascii="宋体" w:hAnsi="宋体" w:eastAsia="宋体" w:cs="宋体"/>
          <w:color w:val="auto"/>
          <w:kern w:val="2"/>
          <w:sz w:val="24"/>
          <w:szCs w:val="24"/>
          <w:highlight w:val="none"/>
        </w:rPr>
        <w:t>招标人可以补充通知的方式，酌情延长投标截止时间。在上述情况下，招标人与投标人以前在投标截止</w:t>
      </w:r>
      <w:r>
        <w:rPr>
          <w:rFonts w:hint="eastAsia" w:ascii="宋体" w:hAnsi="宋体" w:eastAsia="宋体" w:cs="宋体"/>
          <w:kern w:val="2"/>
          <w:sz w:val="24"/>
          <w:szCs w:val="24"/>
          <w:highlight w:val="none"/>
        </w:rPr>
        <w:t>期方面的全部权力、责任和义务，将适用于延长后新的投标截止时间。</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highlight w:val="none"/>
        </w:rPr>
      </w:pPr>
      <w:r>
        <w:rPr>
          <w:rFonts w:hint="eastAsia" w:ascii="宋体" w:hAnsi="宋体" w:eastAsia="宋体" w:cs="宋体"/>
          <w:b/>
          <w:kern w:val="2"/>
          <w:sz w:val="24"/>
          <w:szCs w:val="24"/>
          <w:highlight w:val="none"/>
        </w:rPr>
        <w:t>3.3.12 投标文件的修改与撤回</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highlight w:val="none"/>
        </w:rPr>
      </w:pPr>
      <w:r>
        <w:rPr>
          <w:rFonts w:hint="eastAsia" w:ascii="宋体" w:hAnsi="宋体" w:eastAsia="宋体" w:cs="宋体"/>
          <w:kern w:val="2"/>
          <w:sz w:val="24"/>
          <w:szCs w:val="24"/>
          <w:highlight w:val="none"/>
        </w:rPr>
        <w:t>在开标时间到达之前，投标人可以多次在线提交或修改电子投标文件，以最后一次上传的为准；在开标时间到达之前，可在线撤回投标。</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在投标截止时间之后，投标人不得对其提交的电子投标文件做任何修改或撤回投标。 </w:t>
      </w:r>
    </w:p>
    <w:p>
      <w:pPr>
        <w:adjustRightInd/>
        <w:snapToGrid/>
        <w:spacing w:after="0" w:line="480" w:lineRule="exact"/>
        <w:jc w:val="both"/>
        <w:textAlignment w:val="baseline"/>
        <w:outlineLvl w:val="9"/>
        <w:rPr>
          <w:rFonts w:ascii="宋体" w:hAnsi="宋体" w:eastAsia="宋体" w:cs="宋体"/>
          <w:b/>
          <w:kern w:val="2"/>
          <w:sz w:val="24"/>
          <w:szCs w:val="24"/>
          <w:highlight w:val="none"/>
        </w:rPr>
      </w:pPr>
      <w:bookmarkStart w:id="33" w:name="_Toc29539"/>
      <w:bookmarkStart w:id="34" w:name="_Toc2286"/>
      <w:bookmarkStart w:id="35" w:name="_Toc10980"/>
      <w:bookmarkStart w:id="36" w:name="_Toc18151"/>
      <w:bookmarkStart w:id="37" w:name="_Toc25204"/>
      <w:r>
        <w:rPr>
          <w:rFonts w:hint="eastAsia" w:ascii="宋体" w:hAnsi="宋体" w:eastAsia="宋体" w:cs="宋体"/>
          <w:b/>
          <w:kern w:val="2"/>
          <w:sz w:val="24"/>
          <w:szCs w:val="24"/>
          <w:highlight w:val="none"/>
        </w:rPr>
        <w:t>3.4开标</w:t>
      </w:r>
      <w:bookmarkEnd w:id="33"/>
      <w:bookmarkEnd w:id="34"/>
      <w:bookmarkEnd w:id="35"/>
      <w:bookmarkEnd w:id="36"/>
      <w:bookmarkEnd w:id="37"/>
    </w:p>
    <w:p>
      <w:pPr>
        <w:adjustRightInd/>
        <w:snapToGrid/>
        <w:spacing w:after="0" w:line="480" w:lineRule="exact"/>
        <w:ind w:firstLine="482" w:firstLineChars="200"/>
        <w:jc w:val="both"/>
        <w:textAlignment w:val="baseline"/>
        <w:outlineLvl w:val="9"/>
        <w:rPr>
          <w:rFonts w:ascii="宋体" w:hAnsi="宋体" w:eastAsia="宋体" w:cs="宋体"/>
          <w:bCs/>
          <w:color w:val="auto"/>
          <w:kern w:val="2"/>
          <w:sz w:val="24"/>
          <w:szCs w:val="24"/>
          <w:lang w:bidi="zh-CN"/>
        </w:rPr>
      </w:pPr>
      <w:r>
        <w:rPr>
          <w:rFonts w:hint="eastAsia" w:ascii="宋体" w:hAnsi="宋体" w:eastAsia="宋体" w:cs="宋体"/>
          <w:b/>
          <w:color w:val="auto"/>
          <w:kern w:val="2"/>
          <w:sz w:val="24"/>
          <w:szCs w:val="24"/>
          <w:highlight w:val="none"/>
          <w:lang w:bidi="zh-CN"/>
        </w:rPr>
        <w:t>开标地点：</w:t>
      </w:r>
      <w:r>
        <w:rPr>
          <w:rFonts w:hint="eastAsia" w:ascii="宋体" w:hAnsi="宋体" w:eastAsia="宋体" w:cs="宋体"/>
          <w:b/>
          <w:bCs/>
          <w:color w:val="auto"/>
          <w:kern w:val="2"/>
          <w:sz w:val="24"/>
          <w:szCs w:val="24"/>
          <w:highlight w:val="none"/>
          <w:lang w:bidi="zh-CN"/>
        </w:rPr>
        <w:t>陇南市公共资源交易中心</w:t>
      </w:r>
      <w:r>
        <w:rPr>
          <w:rFonts w:hint="eastAsia" w:ascii="宋体" w:hAnsi="宋体" w:eastAsia="宋体" w:cs="宋体"/>
          <w:b/>
          <w:bCs/>
          <w:color w:val="auto"/>
          <w:kern w:val="2"/>
          <w:sz w:val="24"/>
          <w:szCs w:val="24"/>
          <w:highlight w:val="none"/>
          <w:lang w:val="en-US" w:bidi="zh-CN"/>
        </w:rPr>
        <w:t>网</w:t>
      </w:r>
      <w:r>
        <w:rPr>
          <w:rFonts w:hint="eastAsia" w:ascii="宋体" w:hAnsi="宋体" w:eastAsia="宋体" w:cs="宋体"/>
          <w:b/>
          <w:bCs/>
          <w:color w:val="auto"/>
          <w:kern w:val="2"/>
          <w:sz w:val="24"/>
          <w:szCs w:val="24"/>
          <w:lang w:val="en-US" w:bidi="zh-CN"/>
        </w:rPr>
        <w:t>络</w:t>
      </w:r>
      <w:r>
        <w:rPr>
          <w:rFonts w:hint="eastAsia" w:ascii="宋体" w:hAnsi="宋体" w:eastAsia="宋体" w:cs="宋体"/>
          <w:b/>
          <w:bCs/>
          <w:color w:val="auto"/>
          <w:kern w:val="2"/>
          <w:sz w:val="24"/>
          <w:szCs w:val="24"/>
          <w:lang w:bidi="zh-CN"/>
        </w:rPr>
        <w:t>开</w:t>
      </w:r>
      <w:r>
        <w:rPr>
          <w:rFonts w:hint="eastAsia" w:ascii="宋体" w:hAnsi="宋体" w:eastAsia="宋体" w:cs="宋体"/>
          <w:b/>
          <w:bCs/>
          <w:color w:val="auto"/>
          <w:kern w:val="2"/>
          <w:sz w:val="24"/>
          <w:szCs w:val="24"/>
          <w:highlight w:val="none"/>
          <w:lang w:bidi="zh-CN"/>
        </w:rPr>
        <w:t>标直播一厅第4坐席</w:t>
      </w:r>
      <w:r>
        <w:rPr>
          <w:rFonts w:hint="eastAsia" w:ascii="宋体" w:hAnsi="宋体" w:eastAsia="宋体" w:cs="宋体"/>
          <w:b/>
          <w:bCs/>
          <w:color w:val="auto"/>
          <w:kern w:val="2"/>
          <w:sz w:val="24"/>
          <w:szCs w:val="24"/>
          <w:lang w:bidi="zh-CN"/>
        </w:rPr>
        <w:t>(陇南市行政中心5号楼环保大厦)</w:t>
      </w:r>
      <w:bookmarkStart w:id="351" w:name="_GoBack"/>
      <w:bookmarkEnd w:id="351"/>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lang w:bidi="zh-CN"/>
        </w:rPr>
      </w:pPr>
      <w:r>
        <w:rPr>
          <w:rFonts w:hint="eastAsia" w:ascii="宋体" w:hAnsi="宋体" w:eastAsia="宋体" w:cs="宋体"/>
          <w:color w:val="auto"/>
          <w:kern w:val="2"/>
          <w:sz w:val="24"/>
          <w:szCs w:val="24"/>
          <w:lang w:bidi="zh-CN"/>
        </w:rPr>
        <w:t>公开开标</w:t>
      </w:r>
      <w:r>
        <w:rPr>
          <w:rFonts w:hint="eastAsia" w:ascii="宋体" w:hAnsi="宋体" w:eastAsia="宋体" w:cs="宋体"/>
          <w:kern w:val="2"/>
          <w:sz w:val="24"/>
          <w:szCs w:val="24"/>
          <w:lang w:bidi="zh-CN"/>
        </w:rPr>
        <w:t>后，直到向中标的供应商授予合同时止，凡与审查、澄清、评价和比较投标的有关资料以及授标意见等均不得向供应商及与投标无关的其他人透露。</w:t>
      </w:r>
    </w:p>
    <w:p>
      <w:pPr>
        <w:adjustRightInd/>
        <w:snapToGrid/>
        <w:spacing w:after="0" w:line="480" w:lineRule="exact"/>
        <w:jc w:val="both"/>
        <w:textAlignment w:val="baseline"/>
        <w:outlineLvl w:val="9"/>
        <w:rPr>
          <w:rFonts w:ascii="宋体" w:hAnsi="宋体" w:eastAsia="宋体" w:cs="宋体"/>
          <w:b/>
          <w:kern w:val="2"/>
          <w:sz w:val="24"/>
          <w:szCs w:val="24"/>
        </w:rPr>
      </w:pPr>
      <w:bookmarkStart w:id="38" w:name="_Toc23075"/>
      <w:bookmarkStart w:id="39" w:name="_Toc32217"/>
      <w:bookmarkStart w:id="40" w:name="_Toc32138"/>
      <w:bookmarkStart w:id="41" w:name="_Toc26747"/>
      <w:bookmarkStart w:id="42" w:name="_Toc30551"/>
      <w:r>
        <w:rPr>
          <w:rFonts w:hint="eastAsia" w:ascii="宋体" w:hAnsi="宋体" w:eastAsia="宋体" w:cs="宋体"/>
          <w:b/>
          <w:kern w:val="2"/>
          <w:sz w:val="24"/>
          <w:szCs w:val="24"/>
        </w:rPr>
        <w:t>3.5评标</w:t>
      </w:r>
      <w:bookmarkEnd w:id="38"/>
      <w:bookmarkEnd w:id="39"/>
      <w:bookmarkEnd w:id="40"/>
      <w:bookmarkEnd w:id="41"/>
      <w:bookmarkEnd w:id="42"/>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3.5.1评标流程</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评标工作由招标人依法组建的评标委员会负责。</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评标流程详见第五章评标原则及办法5.3。</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3.5.2注意事项</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在评标期间，评标过程严格保密。评标委员会可要求投标人对其投标文件中非实质性的有关问题进行澄清、说明或者补正。有关澄清、说明或者补正的要求和答复应以书面形式提交。投标人的澄清、说明或者补正不得超出投标文件的范围或者改变投标文件实质性内容。</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如果投标文件没有实质性响应招标文件的要求，评标委员会将予以拒绝。</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评标委员会只对确定为实质性响应招标文件要求的投标文件，根据招标文件的要求采用相同的评标程序、评分办法及标准进行评价和比较。</w:t>
      </w:r>
    </w:p>
    <w:p>
      <w:pPr>
        <w:adjustRightInd/>
        <w:snapToGrid/>
        <w:spacing w:after="0" w:line="480" w:lineRule="exact"/>
        <w:jc w:val="both"/>
        <w:textAlignment w:val="baseline"/>
        <w:outlineLvl w:val="9"/>
        <w:rPr>
          <w:rFonts w:ascii="宋体" w:hAnsi="宋体" w:eastAsia="宋体" w:cs="宋体"/>
          <w:b/>
          <w:kern w:val="2"/>
          <w:sz w:val="24"/>
          <w:szCs w:val="24"/>
        </w:rPr>
      </w:pPr>
      <w:bookmarkStart w:id="43" w:name="_Toc20335"/>
      <w:bookmarkStart w:id="44" w:name="_Toc19396"/>
      <w:bookmarkStart w:id="45" w:name="_Toc23613"/>
      <w:bookmarkStart w:id="46" w:name="_Toc18743"/>
      <w:bookmarkStart w:id="47" w:name="_Toc30142"/>
      <w:r>
        <w:rPr>
          <w:rFonts w:hint="eastAsia" w:ascii="宋体" w:hAnsi="宋体" w:eastAsia="宋体" w:cs="宋体"/>
          <w:b/>
          <w:kern w:val="2"/>
          <w:sz w:val="24"/>
          <w:szCs w:val="24"/>
        </w:rPr>
        <w:t>3.6定标</w:t>
      </w:r>
      <w:bookmarkEnd w:id="43"/>
      <w:bookmarkEnd w:id="44"/>
      <w:bookmarkEnd w:id="45"/>
      <w:bookmarkEnd w:id="46"/>
      <w:bookmarkEnd w:id="47"/>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3.6.1定标原则</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采购人根据评标委员会推荐的中标候选人名单，按顺序确定中标人。</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3.6.2定标程序</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采购人或者采购代理机构应当自中标人确定之日起2个工作日内，给参加此次招标的所有供应商发布中标结果。</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中标结果公告内容应当包括采购人及其委托的采购代理机构的名称、地址、联系方式，项目名称和</w:t>
      </w:r>
      <w:r>
        <w:rPr>
          <w:rFonts w:hint="eastAsia" w:ascii="宋体" w:hAnsi="宋体" w:eastAsia="宋体" w:cs="宋体"/>
          <w:kern w:val="2"/>
          <w:sz w:val="24"/>
          <w:szCs w:val="24"/>
          <w:lang w:eastAsia="zh-CN"/>
        </w:rPr>
        <w:t>招标编号</w:t>
      </w:r>
      <w:r>
        <w:rPr>
          <w:rFonts w:hint="eastAsia" w:ascii="宋体" w:hAnsi="宋体" w:eastAsia="宋体" w:cs="宋体"/>
          <w:kern w:val="2"/>
          <w:sz w:val="24"/>
          <w:szCs w:val="24"/>
        </w:rPr>
        <w:t>，中标人名称、地址和中标金额，主要中标标的的名称、规格型号、品牌、数量、单价，中标公告期限以及评审专家名单。</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中标公告期限为1个工作日。</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邀请招标采购人采用书面推荐方式产生符合资格条件的潜在投标人的，还应当将所有被推荐供应商名单和推荐理由随中标结果同时公告。</w:t>
      </w:r>
    </w:p>
    <w:p>
      <w:pPr>
        <w:adjustRightInd/>
        <w:snapToGrid/>
        <w:spacing w:after="0" w:line="480" w:lineRule="exact"/>
        <w:jc w:val="both"/>
        <w:textAlignment w:val="baseline"/>
        <w:outlineLvl w:val="9"/>
        <w:rPr>
          <w:rFonts w:ascii="宋体" w:hAnsi="宋体" w:eastAsia="宋体" w:cs="宋体"/>
          <w:b/>
          <w:kern w:val="2"/>
          <w:sz w:val="24"/>
          <w:szCs w:val="24"/>
        </w:rPr>
      </w:pPr>
      <w:bookmarkStart w:id="48" w:name="_Toc6891"/>
      <w:bookmarkStart w:id="49" w:name="_Toc17774"/>
      <w:bookmarkStart w:id="50" w:name="_Toc19134"/>
      <w:bookmarkStart w:id="51" w:name="_Toc14278"/>
      <w:bookmarkStart w:id="52" w:name="_Toc5023"/>
      <w:r>
        <w:rPr>
          <w:rFonts w:hint="eastAsia" w:ascii="宋体" w:hAnsi="宋体" w:eastAsia="宋体" w:cs="宋体"/>
          <w:b/>
          <w:kern w:val="2"/>
          <w:sz w:val="24"/>
          <w:szCs w:val="24"/>
        </w:rPr>
        <w:t>3.7中标通知书</w:t>
      </w:r>
      <w:bookmarkEnd w:id="48"/>
      <w:bookmarkEnd w:id="49"/>
      <w:bookmarkEnd w:id="50"/>
      <w:bookmarkEnd w:id="51"/>
      <w:bookmarkEnd w:id="52"/>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在发布中标结果的同时，采购人或者采购代理机构应当向中标人发出中标通知书；对未通过资格审查的投标人，应当告知其未通过的原因；采用综合评分法评审的，还应当告知未中标人本人的评审得分与排序。</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中标通知书对采购人和中标人均具有法律效力。中标通知书发出后，采购人改变中标结果，或者中标人无正当理由放弃中标的，应当承担相应的法律责任。</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adjustRightInd/>
        <w:snapToGrid/>
        <w:spacing w:after="0" w:line="480" w:lineRule="exact"/>
        <w:jc w:val="both"/>
        <w:textAlignment w:val="baseline"/>
        <w:outlineLvl w:val="9"/>
        <w:rPr>
          <w:rFonts w:ascii="宋体" w:hAnsi="宋体" w:eastAsia="宋体" w:cs="宋体"/>
          <w:b/>
          <w:kern w:val="2"/>
          <w:sz w:val="24"/>
          <w:szCs w:val="24"/>
        </w:rPr>
      </w:pPr>
      <w:bookmarkStart w:id="53" w:name="_Toc12529"/>
      <w:bookmarkStart w:id="54" w:name="_Toc12761"/>
      <w:bookmarkStart w:id="55" w:name="_Toc7448"/>
      <w:bookmarkStart w:id="56" w:name="_Toc9476"/>
      <w:bookmarkStart w:id="57" w:name="_Toc4933"/>
      <w:r>
        <w:rPr>
          <w:rFonts w:hint="eastAsia" w:ascii="宋体" w:hAnsi="宋体" w:eastAsia="宋体" w:cs="宋体"/>
          <w:b/>
          <w:kern w:val="2"/>
          <w:sz w:val="24"/>
          <w:szCs w:val="24"/>
        </w:rPr>
        <w:t>3.8签订政府采购合同</w:t>
      </w:r>
      <w:bookmarkEnd w:id="53"/>
      <w:bookmarkEnd w:id="54"/>
      <w:bookmarkEnd w:id="55"/>
      <w:bookmarkEnd w:id="56"/>
      <w:bookmarkEnd w:id="57"/>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3.8.1合同授予原则</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招标人将把合同授予经评标委员会评议推荐采购人确认的投标人。若因中标人违约或因不可抗力等原因不能被授予合同，则合同将授予排序在该投标人之后的下一个投标人。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招标人保留在签订合同时调整方案需求和变动所购货物数量的权力。</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3.8.2合同的签署、履约及验收</w:t>
      </w:r>
    </w:p>
    <w:p>
      <w:pPr>
        <w:adjustRightInd/>
        <w:snapToGrid/>
        <w:spacing w:after="0" w:line="480" w:lineRule="exact"/>
        <w:ind w:firstLine="482" w:firstLineChars="200"/>
        <w:jc w:val="both"/>
        <w:textAlignment w:val="baseline"/>
        <w:outlineLvl w:val="9"/>
        <w:rPr>
          <w:rFonts w:ascii="宋体" w:hAnsi="宋体" w:eastAsia="宋体" w:cs="宋体"/>
          <w:kern w:val="2"/>
          <w:sz w:val="24"/>
          <w:szCs w:val="24"/>
        </w:rPr>
      </w:pPr>
      <w:r>
        <w:rPr>
          <w:rFonts w:hint="eastAsia" w:ascii="宋体" w:hAnsi="宋体" w:eastAsia="宋体" w:cs="宋体"/>
          <w:b/>
          <w:kern w:val="2"/>
          <w:sz w:val="24"/>
          <w:szCs w:val="24"/>
        </w:rPr>
        <w:t>签署：</w:t>
      </w:r>
      <w:r>
        <w:rPr>
          <w:rFonts w:hint="eastAsia" w:ascii="宋体" w:hAnsi="宋体" w:eastAsia="宋体" w:cs="宋体"/>
          <w:kern w:val="2"/>
          <w:sz w:val="24"/>
          <w:szCs w:val="24"/>
        </w:rPr>
        <w:t>中标人于中标通知书中发出之日起10日内，按中标通知书指定的时间、地点与采购人签订政府采购合同。招标文件、中标人的投标文件均为签订合同的依据，需方与中标人是合同权利与义务的直接、全部责任承担人。招标人所发出的中标通知书对需方和中标供应商具有同等法律效力。</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通知书发出后，需方拒绝签订供货合同或擅自改变中标内容，按照《中华人民共和国民法典》定金罚则及损害赔偿的原则处罚并办理。若中标人不能在规定时间内与需方签订合同，或拒签、变相签订合同，招标人依监督职能可采取取消其中标资格并没收其投标保证金等措施，并可按照财政部令【2017】第87号第七十一条、第七十二条、第七十三条及《中华人民共和国政府采购法实施条例》第七十二条规定办理。此时可由招标人按照排名顺序与下一投标人签订合同或重新组织招标。</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如果中标人在规定的合同签订时间内，没有按照招标文件的规定交纳履约保证金，且又无正当理由的，将视为放弃中标，其交纳的投标保证金不予退还。</w:t>
      </w:r>
    </w:p>
    <w:p>
      <w:pPr>
        <w:adjustRightInd/>
        <w:snapToGrid/>
        <w:spacing w:after="0" w:line="480" w:lineRule="exact"/>
        <w:ind w:firstLine="482" w:firstLineChars="200"/>
        <w:jc w:val="both"/>
        <w:textAlignment w:val="baseline"/>
        <w:outlineLvl w:val="9"/>
        <w:rPr>
          <w:rFonts w:ascii="宋体" w:hAnsi="宋体" w:eastAsia="宋体" w:cs="宋体"/>
          <w:kern w:val="2"/>
          <w:sz w:val="24"/>
          <w:szCs w:val="24"/>
        </w:rPr>
      </w:pPr>
      <w:r>
        <w:rPr>
          <w:rFonts w:hint="eastAsia" w:ascii="宋体" w:hAnsi="宋体" w:eastAsia="宋体" w:cs="宋体"/>
          <w:b/>
          <w:kern w:val="2"/>
          <w:sz w:val="24"/>
          <w:szCs w:val="24"/>
        </w:rPr>
        <w:t>履约：</w:t>
      </w:r>
      <w:r>
        <w:rPr>
          <w:rFonts w:hint="eastAsia" w:ascii="宋体" w:hAnsi="宋体" w:eastAsia="宋体" w:cs="宋体"/>
          <w:kern w:val="2"/>
          <w:sz w:val="24"/>
          <w:szCs w:val="24"/>
        </w:rPr>
        <w:t>中标人与采购人签订合同后，合同双方应严格执行合同条款，履行合同规定的义务，保证合同的顺利完成。</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在合同履行过程中，如发生合同纠纷，合同双方应按照《民法典》的有关规定进行处理。</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验收：</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（一）验收依据：招标文件、投标文件、服务合同及国家有关的标准规定，均为验收依据。</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（二）供应商必须按要求提供完整的验收资料并办理必要的相关手续。</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（三）乙方按照合同规定时限要求完成项目建设后，向甲方提出书面验收申请，由甲方组织人员进行现场核查验收。</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（四）如主要项目服务关键技术性能指标达不到招标文件中规定的指标要求，甲方除部分或全部扣除乙方质量保证金外，还将保留继续向乙方进一步索赔有关直接或间接经济损失的权力。</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（五）验收结束后，验收主要负责人应当在采购验收书上签署验收小组的验收意见。《政府采购项目验收单》一式四份，采购人、供应商、政府采购办、采购代理机构执一份。</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（六）供应商不符合以上要求，则采购人有权取消供应商的中标资格，供应商须退回采购人已付的支付款及承当相应的法律责任。</w:t>
      </w:r>
    </w:p>
    <w:p>
      <w:pPr>
        <w:adjustRightInd/>
        <w:snapToGrid/>
        <w:spacing w:after="0" w:line="480" w:lineRule="exact"/>
        <w:jc w:val="both"/>
        <w:textAlignment w:val="baseline"/>
        <w:outlineLvl w:val="9"/>
        <w:rPr>
          <w:rFonts w:ascii="宋体" w:hAnsi="宋体" w:eastAsia="宋体" w:cs="宋体"/>
          <w:b/>
          <w:kern w:val="2"/>
          <w:sz w:val="24"/>
          <w:szCs w:val="24"/>
        </w:rPr>
      </w:pPr>
      <w:bookmarkStart w:id="58" w:name="_Toc20880"/>
      <w:bookmarkStart w:id="59" w:name="_Toc18017"/>
      <w:bookmarkStart w:id="60" w:name="_Toc18826"/>
      <w:bookmarkStart w:id="61" w:name="_Toc21357"/>
      <w:bookmarkStart w:id="62" w:name="_Toc5455"/>
      <w:r>
        <w:rPr>
          <w:rFonts w:hint="eastAsia" w:ascii="宋体" w:hAnsi="宋体" w:eastAsia="宋体" w:cs="宋体"/>
          <w:b/>
          <w:kern w:val="2"/>
          <w:sz w:val="24"/>
          <w:szCs w:val="24"/>
        </w:rPr>
        <w:t>3.9其他</w:t>
      </w:r>
      <w:bookmarkEnd w:id="58"/>
      <w:bookmarkEnd w:id="59"/>
      <w:bookmarkEnd w:id="60"/>
      <w:bookmarkEnd w:id="61"/>
      <w:bookmarkEnd w:id="62"/>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中标后招标文件和投标文件未尽事宜另行商定。本招标文件由招标人负责解释。</w:t>
      </w:r>
    </w:p>
    <w:p>
      <w:pPr>
        <w:adjustRightInd/>
        <w:snapToGrid/>
        <w:spacing w:after="0" w:line="480" w:lineRule="exact"/>
        <w:jc w:val="both"/>
        <w:textAlignment w:val="baseline"/>
        <w:outlineLvl w:val="9"/>
        <w:rPr>
          <w:rFonts w:ascii="宋体" w:hAnsi="宋体" w:eastAsia="宋体" w:cs="宋体"/>
          <w:b/>
          <w:kern w:val="2"/>
          <w:sz w:val="24"/>
          <w:szCs w:val="24"/>
        </w:rPr>
      </w:pPr>
      <w:bookmarkStart w:id="63" w:name="_Toc1010"/>
      <w:bookmarkStart w:id="64" w:name="_Toc4820"/>
      <w:bookmarkStart w:id="65" w:name="_Toc4665"/>
      <w:bookmarkStart w:id="66" w:name="_Toc32002"/>
      <w:bookmarkStart w:id="67" w:name="_Toc4601"/>
      <w:r>
        <w:rPr>
          <w:rFonts w:hint="eastAsia" w:ascii="宋体" w:hAnsi="宋体" w:eastAsia="宋体" w:cs="宋体"/>
          <w:b/>
          <w:kern w:val="2"/>
          <w:sz w:val="24"/>
          <w:szCs w:val="24"/>
        </w:rPr>
        <w:t>3.10澄清与质疑</w:t>
      </w:r>
      <w:bookmarkEnd w:id="63"/>
      <w:bookmarkEnd w:id="64"/>
      <w:bookmarkEnd w:id="65"/>
      <w:bookmarkEnd w:id="66"/>
      <w:bookmarkEnd w:id="67"/>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3.10.1综合说明</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供应商对政府采购活动事项有疑问的，可以向招标人提出询问，招标人应当及时予以答复，但答复的内容不得涉及商业秘密。供应商认为招标文件、招标过程或中标结果使自己权益受到损害的，可以在规定期限内，以书面形式向招标人提出质疑。供应商质疑实行实名制，质疑应当有事实根据，不得进行虚假、恶意质疑，干扰政府采购正常工作秩序。</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3.10.2澄清或质疑答复的时限</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（1）潜在供应商对政府采购活动事项有疑问的，可以向采购人或采购代理机构提出询问，采购人或采购代理机构将在3个工作日内作出答复。</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（2）供应商若认为采购文件、采购过程、中标或成交结果使自己的权益受到损害的，应当在下列时间内以书面形式向采购人或采购代理机构提出：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①关于招标文件的质疑，应在收到招标文件之日或者招标文件公告期限届满之日起7个工作日内提出。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② 关于采购过程的质疑，应在采购程序环节结束之日起7个工作日内提出。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③ 关于中标结果的质疑，应在中标结果信息发布后7个工作日内提出。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（3）采购人应当在收到供应商的书面质疑后7个工作日内作出答复。</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3.10.3供应商提起质疑应当符合下列条件：</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（1）必须是参与被质疑项目的投标人；</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（2）必须在规定的质疑有效期内提起质疑；</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（3）政府采购监督管理部门规定的其他条件。</w:t>
      </w:r>
    </w:p>
    <w:p>
      <w:pPr>
        <w:adjustRightInd/>
        <w:snapToGrid/>
        <w:spacing w:after="0" w:line="480" w:lineRule="exact"/>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3.10.4 质疑函的递交及地点</w:t>
      </w:r>
    </w:p>
    <w:p>
      <w:pPr>
        <w:adjustRightInd/>
        <w:snapToGrid/>
        <w:spacing w:after="0" w:line="480" w:lineRule="exact"/>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（1）供应商提出质疑应当提交质疑函和必要的证明材料，质疑函应当包括下列主要内容：</w:t>
      </w:r>
    </w:p>
    <w:p>
      <w:pPr>
        <w:numPr>
          <w:ilvl w:val="0"/>
          <w:numId w:val="6"/>
        </w:numPr>
        <w:adjustRightInd/>
        <w:snapToGrid/>
        <w:spacing w:after="0" w:line="480" w:lineRule="exact"/>
        <w:jc w:val="both"/>
        <w:outlineLvl w:val="9"/>
        <w:rPr>
          <w:rFonts w:ascii="宋体" w:hAnsi="宋体" w:eastAsia="宋体" w:cs="宋体"/>
          <w:kern w:val="2"/>
          <w:sz w:val="24"/>
          <w:szCs w:val="24"/>
        </w:rPr>
      </w:pPr>
      <w:r>
        <w:rPr>
          <w:rFonts w:hint="eastAsia" w:ascii="宋体" w:hAnsi="宋体" w:eastAsia="宋体" w:cs="宋体"/>
          <w:kern w:val="2"/>
          <w:sz w:val="24"/>
          <w:szCs w:val="24"/>
        </w:rPr>
        <w:t>供应商的姓名或者名称、地址、邮编、联系人及联系电话；</w:t>
      </w:r>
    </w:p>
    <w:p>
      <w:pPr>
        <w:numPr>
          <w:ilvl w:val="0"/>
          <w:numId w:val="6"/>
        </w:numPr>
        <w:adjustRightInd/>
        <w:snapToGrid/>
        <w:spacing w:after="0" w:line="480" w:lineRule="exact"/>
        <w:jc w:val="both"/>
        <w:outlineLvl w:val="9"/>
        <w:rPr>
          <w:rFonts w:ascii="宋体" w:hAnsi="宋体" w:eastAsia="宋体" w:cs="宋体"/>
          <w:kern w:val="2"/>
          <w:sz w:val="24"/>
          <w:szCs w:val="24"/>
        </w:rPr>
      </w:pPr>
      <w:r>
        <w:rPr>
          <w:rFonts w:hint="eastAsia" w:ascii="宋体" w:hAnsi="宋体" w:eastAsia="宋体" w:cs="宋体"/>
          <w:kern w:val="2"/>
          <w:sz w:val="24"/>
          <w:szCs w:val="24"/>
        </w:rPr>
        <w:t>质疑项目的名称、编号；</w:t>
      </w:r>
    </w:p>
    <w:p>
      <w:pPr>
        <w:numPr>
          <w:ilvl w:val="0"/>
          <w:numId w:val="6"/>
        </w:numPr>
        <w:adjustRightInd/>
        <w:snapToGrid/>
        <w:spacing w:after="0" w:line="480" w:lineRule="exact"/>
        <w:jc w:val="both"/>
        <w:outlineLvl w:val="9"/>
        <w:rPr>
          <w:rFonts w:ascii="宋体" w:hAnsi="宋体" w:eastAsia="宋体" w:cs="宋体"/>
          <w:kern w:val="2"/>
          <w:sz w:val="24"/>
          <w:szCs w:val="24"/>
        </w:rPr>
      </w:pPr>
      <w:r>
        <w:rPr>
          <w:rFonts w:hint="eastAsia" w:ascii="宋体" w:hAnsi="宋体" w:eastAsia="宋体" w:cs="宋体"/>
          <w:kern w:val="2"/>
          <w:sz w:val="24"/>
          <w:szCs w:val="24"/>
        </w:rPr>
        <w:t>具体、明确的质疑事项和与质疑事项相关的请求；</w:t>
      </w:r>
    </w:p>
    <w:p>
      <w:pPr>
        <w:numPr>
          <w:ilvl w:val="0"/>
          <w:numId w:val="6"/>
        </w:numPr>
        <w:adjustRightInd/>
        <w:snapToGrid/>
        <w:spacing w:after="0" w:line="480" w:lineRule="exact"/>
        <w:jc w:val="both"/>
        <w:outlineLvl w:val="9"/>
        <w:rPr>
          <w:rFonts w:ascii="宋体" w:hAnsi="宋体" w:eastAsia="宋体" w:cs="宋体"/>
          <w:kern w:val="2"/>
          <w:sz w:val="24"/>
          <w:szCs w:val="24"/>
        </w:rPr>
      </w:pPr>
      <w:r>
        <w:rPr>
          <w:rFonts w:hint="eastAsia" w:ascii="宋体" w:hAnsi="宋体" w:eastAsia="宋体" w:cs="宋体"/>
          <w:kern w:val="2"/>
          <w:sz w:val="24"/>
          <w:szCs w:val="24"/>
        </w:rPr>
        <w:t>事实依据；</w:t>
      </w:r>
    </w:p>
    <w:p>
      <w:pPr>
        <w:numPr>
          <w:ilvl w:val="0"/>
          <w:numId w:val="6"/>
        </w:numPr>
        <w:adjustRightInd/>
        <w:snapToGrid/>
        <w:spacing w:after="0" w:line="480" w:lineRule="exact"/>
        <w:jc w:val="both"/>
        <w:outlineLvl w:val="9"/>
        <w:rPr>
          <w:rFonts w:ascii="宋体" w:hAnsi="宋体" w:eastAsia="宋体" w:cs="宋体"/>
          <w:kern w:val="2"/>
          <w:sz w:val="24"/>
          <w:szCs w:val="24"/>
        </w:rPr>
      </w:pPr>
      <w:r>
        <w:rPr>
          <w:rFonts w:hint="eastAsia" w:ascii="宋体" w:hAnsi="宋体" w:eastAsia="宋体" w:cs="宋体"/>
          <w:kern w:val="2"/>
          <w:sz w:val="24"/>
          <w:szCs w:val="24"/>
        </w:rPr>
        <w:t>必要的法律依据；</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⑥ 提出质疑的日期。</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质疑函应当由投标人法定代表人或其授权的代理人签字并加盖投标人单位公章，质疑函由授权的代理人签字的应附投标人法定代表人委托授权书。</w:t>
      </w:r>
    </w:p>
    <w:p>
      <w:pPr>
        <w:adjustRightInd/>
        <w:snapToGrid/>
        <w:spacing w:after="0" w:line="480" w:lineRule="exact"/>
        <w:ind w:firstLine="480" w:firstLineChars="200"/>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质疑函递交地点：</w:t>
      </w:r>
      <w:r>
        <w:rPr>
          <w:rFonts w:hint="eastAsia" w:ascii="宋体" w:hAnsi="宋体" w:eastAsia="宋体" w:cs="宋体"/>
          <w:kern w:val="2"/>
          <w:sz w:val="24"/>
          <w:szCs w:val="24"/>
          <w:lang w:eastAsia="zh-CN"/>
        </w:rPr>
        <w:t>陇南子午线招标代理有限公司</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 xml:space="preserve">（2）质疑函的递交应当采取当面递交的形式。 </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w:t>
      </w:r>
      <w:r>
        <w:rPr>
          <w:rFonts w:hint="eastAsia" w:ascii="宋体" w:hAnsi="宋体" w:eastAsia="宋体" w:cs="宋体"/>
          <w:bCs/>
          <w:kern w:val="2"/>
          <w:sz w:val="24"/>
          <w:szCs w:val="24"/>
        </w:rPr>
        <w:t>XXX</w:t>
      </w:r>
      <w:r>
        <w:rPr>
          <w:rFonts w:hint="eastAsia" w:ascii="宋体" w:hAnsi="宋体" w:eastAsia="宋体" w:cs="宋体"/>
          <w:kern w:val="2"/>
          <w:sz w:val="24"/>
          <w:szCs w:val="24"/>
        </w:rPr>
        <w:t>项目质疑使用”字样，并由身份证持有人签字确认。上述资料均须加盖公章。</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（3）采购人或采购代理机构收到质疑函后，应当向质疑供应商签收回执。</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3.10.5 对供应商质疑的答复</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人应在收到质疑函7个工作日内根据澄清或质疑函的具体内容相应作出答复或不予答复，答复内容不得涉及商业秘密。作出答复的将以书面形式通知提出澄清或质疑的投标人和其他有关投标人，或在指定媒体上予以公布。</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递交质疑的供应商和其他有关供应商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供应商对评审过程、中标或者成交结果提出质疑的，采购人、采购代理机构可以组织原评标委员会、谈判小组、询价小组或者竞争性投标小组协助答复质疑。</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质疑答复应当包括下列内容：</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（1）质疑供应商的姓名或者名称；</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（2）收到质疑函的日期、质疑项目名称及编号；</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（3）质疑事项、质疑答复的具体内容、事实依据和法律依据；</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（4）告知质疑供应商依法投诉的权利；</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（5）质疑答复人名称；</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（6）答复质疑的日期。</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3.10.6澄清或质疑不予受理的情况</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sz w:val="24"/>
          <w:szCs w:val="24"/>
        </w:rPr>
        <w:t>有下列情形之一的，属于无效质疑，被质疑人不予受理，</w:t>
      </w:r>
      <w:r>
        <w:rPr>
          <w:rFonts w:hint="eastAsia" w:ascii="宋体" w:hAnsi="宋体" w:eastAsia="宋体" w:cs="宋体"/>
          <w:kern w:val="2"/>
          <w:sz w:val="24"/>
          <w:szCs w:val="24"/>
        </w:rPr>
        <w:t>由此产生的影响由供应商自行承担</w:t>
      </w:r>
      <w:r>
        <w:rPr>
          <w:rFonts w:hint="eastAsia" w:ascii="宋体" w:hAnsi="宋体" w:eastAsia="宋体" w:cs="宋体"/>
          <w:sz w:val="24"/>
          <w:szCs w:val="24"/>
        </w:rPr>
        <w:t>：</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（1）</w:t>
      </w:r>
      <w:r>
        <w:rPr>
          <w:rFonts w:hint="eastAsia" w:ascii="宋体" w:hAnsi="宋体" w:eastAsia="宋体" w:cs="宋体"/>
          <w:sz w:val="24"/>
          <w:szCs w:val="24"/>
        </w:rPr>
        <w:t>不是参与该政府采购项目活动供应商的；</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（2）</w:t>
      </w:r>
      <w:r>
        <w:rPr>
          <w:rFonts w:hint="eastAsia" w:ascii="宋体" w:hAnsi="宋体" w:eastAsia="宋体" w:cs="宋体"/>
          <w:sz w:val="24"/>
          <w:szCs w:val="24"/>
        </w:rPr>
        <w:t>被质疑人为采购人或政府采购代理机构之外的；</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（3）</w:t>
      </w:r>
      <w:r>
        <w:rPr>
          <w:rFonts w:hint="eastAsia" w:ascii="宋体" w:hAnsi="宋体" w:eastAsia="宋体" w:cs="宋体"/>
          <w:sz w:val="24"/>
          <w:szCs w:val="24"/>
        </w:rPr>
        <w:t>所有质疑事项超过质疑有效期的；</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（4）</w:t>
      </w:r>
      <w:r>
        <w:rPr>
          <w:rFonts w:hint="eastAsia" w:ascii="宋体" w:hAnsi="宋体" w:eastAsia="宋体" w:cs="宋体"/>
          <w:sz w:val="24"/>
          <w:szCs w:val="24"/>
        </w:rPr>
        <w:t>以具有法律效力的文书送达之外方式提出的；</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（5）未按上述规定递交澄清或质疑函的</w:t>
      </w:r>
      <w:r>
        <w:rPr>
          <w:rFonts w:hint="eastAsia" w:ascii="宋体" w:hAnsi="宋体" w:eastAsia="宋体" w:cs="宋体"/>
          <w:sz w:val="24"/>
          <w:szCs w:val="24"/>
        </w:rPr>
        <w:t>；</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kern w:val="2"/>
          <w:sz w:val="24"/>
          <w:szCs w:val="24"/>
        </w:rPr>
        <w:t>（6）</w:t>
      </w:r>
      <w:r>
        <w:rPr>
          <w:rFonts w:hint="eastAsia" w:ascii="宋体" w:hAnsi="宋体" w:eastAsia="宋体" w:cs="宋体"/>
          <w:sz w:val="24"/>
          <w:szCs w:val="24"/>
        </w:rPr>
        <w:t>其它不符合受理条件的情形。</w:t>
      </w:r>
    </w:p>
    <w:p>
      <w:pPr>
        <w:adjustRightInd/>
        <w:snapToGrid/>
        <w:spacing w:after="0" w:line="480" w:lineRule="exact"/>
        <w:ind w:firstLine="482" w:firstLineChars="200"/>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3.10.7 投诉</w:t>
      </w:r>
    </w:p>
    <w:p>
      <w:pPr>
        <w:adjustRightInd/>
        <w:snapToGrid/>
        <w:spacing w:after="0" w:line="480" w:lineRule="exact"/>
        <w:ind w:firstLine="480" w:firstLineChars="200"/>
        <w:jc w:val="both"/>
        <w:textAlignment w:val="baseline"/>
        <w:outlineLvl w:val="9"/>
        <w:rPr>
          <w:rFonts w:ascii="宋体" w:hAnsi="宋体" w:eastAsia="宋体" w:cs="宋体"/>
          <w:sz w:val="24"/>
          <w:szCs w:val="24"/>
        </w:rPr>
      </w:pPr>
      <w:r>
        <w:rPr>
          <w:rFonts w:hint="eastAsia" w:ascii="宋体" w:hAnsi="宋体" w:eastAsia="宋体" w:cs="宋体"/>
          <w:sz w:val="24"/>
          <w:szCs w:val="24"/>
        </w:rPr>
        <w:t>质疑供应商对采购人或采购代理机构的答复不满意，或采购人或采购代理机构未在规定的期限作出答复的，可在答复期满后15个工作日内，按政府采购相关法律法规规章的规定及程序，向同级财政部门提出投诉，15个工作日过后视为放弃投诉。</w:t>
      </w:r>
    </w:p>
    <w:p>
      <w:pPr>
        <w:adjustRightInd/>
        <w:snapToGrid/>
        <w:spacing w:after="0" w:line="480" w:lineRule="exact"/>
        <w:ind w:firstLine="480" w:firstLineChars="200"/>
        <w:jc w:val="both"/>
        <w:textAlignment w:val="baseline"/>
        <w:outlineLvl w:val="9"/>
        <w:rPr>
          <w:rFonts w:ascii="宋体" w:hAnsi="宋体" w:eastAsia="宋体" w:cs="宋体"/>
          <w:kern w:val="2"/>
          <w:sz w:val="24"/>
          <w:szCs w:val="24"/>
        </w:rPr>
        <w:sectPr>
          <w:pgSz w:w="11906" w:h="16838"/>
          <w:pgMar w:top="1417" w:right="1361" w:bottom="1417" w:left="1417" w:header="851" w:footer="851" w:gutter="0"/>
          <w:cols w:space="720" w:num="1"/>
          <w:titlePg/>
          <w:docGrid w:linePitch="312" w:charSpace="0"/>
        </w:sectPr>
      </w:pPr>
    </w:p>
    <w:p>
      <w:pPr>
        <w:numPr>
          <w:ilvl w:val="0"/>
          <w:numId w:val="7"/>
        </w:numPr>
        <w:adjustRightInd/>
        <w:snapToGrid/>
        <w:spacing w:after="0" w:line="360" w:lineRule="auto"/>
        <w:jc w:val="center"/>
        <w:textAlignment w:val="baseline"/>
        <w:outlineLvl w:val="0"/>
        <w:rPr>
          <w:rFonts w:ascii="宋体" w:hAnsi="宋体" w:eastAsia="宋体" w:cs="Times New Roman"/>
          <w:b/>
          <w:bCs/>
          <w:kern w:val="44"/>
          <w:sz w:val="30"/>
        </w:rPr>
      </w:pPr>
      <w:bookmarkStart w:id="68" w:name="_Toc18864"/>
      <w:r>
        <w:rPr>
          <w:rFonts w:hint="eastAsia" w:ascii="宋体" w:hAnsi="宋体" w:eastAsia="宋体" w:cs="Times New Roman"/>
          <w:b/>
          <w:bCs/>
          <w:kern w:val="44"/>
          <w:sz w:val="30"/>
        </w:rPr>
        <w:t>磋商内容及要求</w:t>
      </w:r>
      <w:bookmarkEnd w:id="68"/>
    </w:p>
    <w:p>
      <w:pPr>
        <w:numPr>
          <w:ilvl w:val="0"/>
          <w:numId w:val="8"/>
        </w:numPr>
        <w:kinsoku w:val="0"/>
        <w:autoSpaceDE w:val="0"/>
        <w:autoSpaceDN w:val="0"/>
        <w:spacing w:before="65" w:after="0" w:line="227" w:lineRule="auto"/>
        <w:ind w:left="228"/>
        <w:jc w:val="left"/>
        <w:textAlignment w:val="baseline"/>
        <w:outlineLvl w:val="9"/>
        <w:rPr>
          <w:rFonts w:ascii="宋体" w:hAnsi="宋体" w:eastAsia="宋体" w:cs="宋体"/>
          <w:snapToGrid w:val="0"/>
          <w:color w:val="auto"/>
          <w:spacing w:val="9"/>
          <w:kern w:val="0"/>
          <w:sz w:val="24"/>
          <w:szCs w:val="24"/>
          <w:lang w:eastAsia="en-US"/>
        </w:rPr>
      </w:pPr>
      <w:bookmarkStart w:id="69" w:name="_Toc282"/>
      <w:bookmarkStart w:id="70" w:name="_Toc5271"/>
      <w:bookmarkStart w:id="71" w:name="_Toc1335"/>
      <w:bookmarkStart w:id="72" w:name="_Toc9260"/>
      <w:bookmarkStart w:id="73" w:name="_Toc30123"/>
      <w:bookmarkStart w:id="74" w:name="_Toc21374"/>
      <w:r>
        <w:rPr>
          <w:rFonts w:ascii="宋体" w:hAnsi="宋体" w:eastAsia="宋体" w:cs="宋体"/>
          <w:snapToGrid w:val="0"/>
          <w:color w:val="auto"/>
          <w:spacing w:val="9"/>
          <w:kern w:val="0"/>
          <w:sz w:val="24"/>
          <w:szCs w:val="24"/>
          <w:lang w:eastAsia="en-US"/>
        </w:rPr>
        <w:t>招标货物技术参数及</w:t>
      </w:r>
      <w:r>
        <w:rPr>
          <w:rFonts w:hint="eastAsia" w:ascii="宋体" w:hAnsi="宋体" w:eastAsia="宋体" w:cs="宋体"/>
          <w:snapToGrid w:val="0"/>
          <w:color w:val="auto"/>
          <w:spacing w:val="9"/>
          <w:kern w:val="0"/>
          <w:sz w:val="24"/>
          <w:szCs w:val="24"/>
          <w:lang w:val="en-US" w:eastAsia="zh-CN"/>
        </w:rPr>
        <w:t>技术培训</w:t>
      </w:r>
      <w:r>
        <w:rPr>
          <w:rFonts w:ascii="宋体" w:hAnsi="宋体" w:eastAsia="宋体" w:cs="宋体"/>
          <w:snapToGrid w:val="0"/>
          <w:color w:val="auto"/>
          <w:spacing w:val="9"/>
          <w:kern w:val="0"/>
          <w:sz w:val="24"/>
          <w:szCs w:val="24"/>
          <w:lang w:eastAsia="en-US"/>
        </w:rPr>
        <w:t>要求</w:t>
      </w:r>
    </w:p>
    <w:p>
      <w:pPr>
        <w:numPr>
          <w:ilvl w:val="0"/>
          <w:numId w:val="0"/>
        </w:numPr>
        <w:kinsoku w:val="0"/>
        <w:autoSpaceDE w:val="0"/>
        <w:autoSpaceDN w:val="0"/>
        <w:spacing w:before="65" w:after="0" w:line="227" w:lineRule="auto"/>
        <w:jc w:val="left"/>
        <w:textAlignment w:val="baseline"/>
        <w:outlineLvl w:val="9"/>
        <w:rPr>
          <w:rFonts w:hint="eastAsia" w:ascii="宋体" w:hAnsi="宋体" w:eastAsia="宋体" w:cs="宋体"/>
          <w:b/>
          <w:bCs/>
          <w:snapToGrid w:val="0"/>
          <w:color w:val="auto"/>
          <w:spacing w:val="9"/>
          <w:kern w:val="0"/>
          <w:sz w:val="24"/>
          <w:szCs w:val="24"/>
          <w:lang w:val="en-US" w:eastAsia="zh-CN"/>
        </w:rPr>
      </w:pPr>
      <w:r>
        <w:rPr>
          <w:rFonts w:hint="eastAsia" w:ascii="宋体" w:hAnsi="宋体" w:eastAsia="宋体" w:cs="宋体"/>
          <w:b/>
          <w:bCs/>
          <w:snapToGrid w:val="0"/>
          <w:color w:val="auto"/>
          <w:spacing w:val="9"/>
          <w:kern w:val="0"/>
          <w:sz w:val="24"/>
          <w:szCs w:val="24"/>
          <w:lang w:val="en-US" w:eastAsia="zh-CN"/>
        </w:rPr>
        <w:t>货物参数：</w:t>
      </w:r>
    </w:p>
    <w:tbl>
      <w:tblPr>
        <w:tblStyle w:val="28"/>
        <w:tblW w:w="497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2"/>
        <w:gridCol w:w="1972"/>
        <w:gridCol w:w="3066"/>
        <w:gridCol w:w="865"/>
        <w:gridCol w:w="926"/>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526" w:type="pct"/>
            <w:tcBorders>
              <w:top w:val="doub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63"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项目分项名称</w:t>
            </w:r>
          </w:p>
        </w:tc>
        <w:tc>
          <w:tcPr>
            <w:tcW w:w="1808"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主要技术参数（功能点描述）</w:t>
            </w:r>
          </w:p>
        </w:tc>
        <w:tc>
          <w:tcPr>
            <w:tcW w:w="510"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计量单位</w:t>
            </w:r>
          </w:p>
        </w:tc>
        <w:tc>
          <w:tcPr>
            <w:tcW w:w="546" w:type="pct"/>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445" w:type="pct"/>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5"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有机肥</w:t>
            </w:r>
          </w:p>
        </w:tc>
        <w:tc>
          <w:tcPr>
            <w:tcW w:w="1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有机质含量:≥30%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总养分（N~p2O5~K2O）:≥4%</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水分:≤30%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酸碱度（pH）:5.5~8.5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种子发芽率:≥70%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机械杂质:≤0.5%</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滴酸草甘膦</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180g*50瓶/箱</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涂白剂</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水剂   20kg/桶</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2.5%溴氰菊酯</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80ml*100瓶/箱</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敌敌畏</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300g*20瓶/箱</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50%多菌灵</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400g*100包/箱</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喷雾器</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电动背负式喷雾器</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修剪工具</w:t>
            </w:r>
          </w:p>
        </w:tc>
        <w:tc>
          <w:tcPr>
            <w:tcW w:w="18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刀、剪、锯、嫁接刀</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45" w:type="pct"/>
            <w:tcBorders>
              <w:top w:val="single" w:color="000000" w:sz="4" w:space="0"/>
              <w:left w:val="single" w:color="000000" w:sz="4" w:space="0"/>
              <w:bottom w:val="single" w:color="000000" w:sz="4" w:space="0"/>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526" w:type="pct"/>
            <w:tcBorders>
              <w:top w:val="single" w:color="000000" w:sz="4" w:space="0"/>
              <w:left w:val="doub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培训资料</w:t>
            </w:r>
          </w:p>
        </w:tc>
        <w:tc>
          <w:tcPr>
            <w:tcW w:w="1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制作宣传牌、标语，印制《工具资料袋》《病虫害防治资料》《综合管理技术要点》《陇南市武都区优质核桃丰产栽培技术图说》</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45" w:type="pct"/>
            <w:tcBorders>
              <w:top w:val="single" w:color="000000" w:sz="4" w:space="0"/>
              <w:left w:val="single" w:color="000000" w:sz="4" w:space="0"/>
              <w:bottom w:val="nil"/>
              <w:right w:val="doub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 xml:space="preserve">二、交货期：  </w:t>
      </w:r>
    </w:p>
    <w:p>
      <w:pPr>
        <w:adjustRightInd/>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合同签订</w:t>
      </w:r>
      <w:r>
        <w:rPr>
          <w:rFonts w:hint="eastAsia" w:ascii="宋体" w:hAnsi="宋体" w:eastAsia="宋体" w:cs="宋体"/>
          <w:kern w:val="2"/>
          <w:sz w:val="24"/>
          <w:szCs w:val="24"/>
          <w:highlight w:val="none"/>
          <w:lang w:val="en-US" w:eastAsia="en-US"/>
        </w:rPr>
        <w:t>后</w:t>
      </w:r>
      <w:r>
        <w:rPr>
          <w:rFonts w:hint="eastAsia" w:ascii="宋体" w:hAnsi="宋体" w:eastAsia="宋体" w:cs="宋体"/>
          <w:kern w:val="2"/>
          <w:sz w:val="24"/>
          <w:szCs w:val="24"/>
          <w:highlight w:val="none"/>
          <w:lang w:val="en-US" w:eastAsia="zh-CN"/>
        </w:rPr>
        <w:t>1</w:t>
      </w:r>
      <w:r>
        <w:rPr>
          <w:rFonts w:hint="eastAsia" w:ascii="宋体" w:hAnsi="宋体" w:eastAsia="宋体" w:cs="宋体"/>
          <w:kern w:val="2"/>
          <w:sz w:val="24"/>
          <w:szCs w:val="24"/>
          <w:highlight w:val="none"/>
          <w:lang w:val="en-US" w:eastAsia="en-US"/>
        </w:rPr>
        <w:t>0日内</w:t>
      </w:r>
      <w:r>
        <w:rPr>
          <w:rFonts w:hint="eastAsia" w:ascii="宋体" w:hAnsi="宋体" w:eastAsia="宋体" w:cs="宋体"/>
          <w:kern w:val="2"/>
          <w:sz w:val="24"/>
          <w:szCs w:val="24"/>
          <w:lang w:val="en-US" w:eastAsia="en-US"/>
        </w:rPr>
        <w:t xml:space="preserve">完成。由成交供应商负责将所有货物送到采购人指定的地点。   </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三、交付方式、交付完工期限及交付地点： </w:t>
      </w:r>
    </w:p>
    <w:p>
      <w:pPr>
        <w:adjustRightInd/>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付款方式：由甲乙双方协商确定。</w:t>
      </w:r>
    </w:p>
    <w:p>
      <w:pPr>
        <w:adjustRightInd/>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 xml:space="preserve">合同签订后 </w:t>
      </w:r>
      <w:r>
        <w:rPr>
          <w:rFonts w:hint="eastAsia" w:ascii="宋体" w:hAnsi="宋体" w:eastAsia="宋体" w:cs="宋体"/>
          <w:kern w:val="2"/>
          <w:sz w:val="24"/>
          <w:szCs w:val="24"/>
          <w:lang w:val="en-US" w:eastAsia="zh-CN"/>
        </w:rPr>
        <w:t>10</w:t>
      </w:r>
      <w:r>
        <w:rPr>
          <w:rFonts w:hint="eastAsia" w:ascii="宋体" w:hAnsi="宋体" w:eastAsia="宋体" w:cs="宋体"/>
          <w:kern w:val="2"/>
          <w:sz w:val="24"/>
          <w:szCs w:val="24"/>
          <w:lang w:val="en-US" w:eastAsia="en-US"/>
        </w:rPr>
        <w:t xml:space="preserve"> 日内将所有货物必须送至甲方指定地点，地点由甲方提供给中标人。</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四</w:t>
      </w:r>
      <w:r>
        <w:rPr>
          <w:rFonts w:hint="eastAsia" w:ascii="宋体" w:hAnsi="宋体" w:eastAsia="宋体" w:cs="宋体"/>
          <w:kern w:val="2"/>
          <w:sz w:val="24"/>
          <w:szCs w:val="24"/>
          <w:lang w:val="en-US" w:eastAsia="en-US"/>
        </w:rPr>
        <w:t xml:space="preserve">、招标货物付款资金说明：具体以签订合同为准。 </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五</w:t>
      </w:r>
      <w:r>
        <w:rPr>
          <w:rFonts w:hint="eastAsia" w:ascii="宋体" w:hAnsi="宋体" w:eastAsia="宋体" w:cs="宋体"/>
          <w:kern w:val="2"/>
          <w:sz w:val="24"/>
          <w:szCs w:val="24"/>
          <w:lang w:val="en-US" w:eastAsia="en-US"/>
        </w:rPr>
        <w:t>、验收标准</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firstLine="480" w:firstLineChars="200"/>
        <w:jc w:val="both"/>
        <w:textAlignment w:val="baseline"/>
        <w:outlineLvl w:val="9"/>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1、产品技术参数指标符合招标文件要求。技术性能指标不低于采购项目技术规格、参数与要求中提出的要求。 </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2、在项目所有产品安装后，由采购人及使用单位组织相关人员对货物进行验收，验收过程中，如发现产品有技术参数不符等质量问题，进行无条件更换。 </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lang w:val="en-US" w:eastAsia="en-US"/>
        </w:rPr>
        <w:t>、所采购其他货物必须符合招标要求</w:t>
      </w:r>
      <w:r>
        <w:rPr>
          <w:rFonts w:hint="eastAsia" w:ascii="宋体" w:hAnsi="宋体" w:eastAsia="宋体" w:cs="宋体"/>
          <w:kern w:val="2"/>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六</w:t>
      </w:r>
      <w:r>
        <w:rPr>
          <w:rFonts w:hint="eastAsia" w:ascii="宋体" w:hAnsi="宋体" w:eastAsia="宋体" w:cs="宋体"/>
          <w:kern w:val="2"/>
          <w:sz w:val="24"/>
          <w:szCs w:val="24"/>
          <w:lang w:val="en-US" w:eastAsia="en-US"/>
        </w:rPr>
        <w:t>、售后服务基本要求</w:t>
      </w:r>
    </w:p>
    <w:p>
      <w:pPr>
        <w:adjustRightInd/>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en-US"/>
        </w:rPr>
        <w:t>1、在质量保证期内，中标供应商在接到货物质量问题后 1 小时内响应，6 小时以内到达现场进行更换及调整。保证 24 小时接收使用方的电话咨询。</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七</w:t>
      </w:r>
      <w:r>
        <w:rPr>
          <w:rFonts w:hint="eastAsia" w:ascii="宋体" w:hAnsi="宋体" w:eastAsia="宋体" w:cs="宋体"/>
          <w:kern w:val="2"/>
          <w:sz w:val="24"/>
          <w:szCs w:val="24"/>
          <w:lang w:val="en-US" w:eastAsia="en-US"/>
        </w:rPr>
        <w:t>、质量标准：按国家或行业及地方验收标准。</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r>
        <w:rPr>
          <w:rFonts w:hint="eastAsia" w:ascii="宋体" w:hAnsi="宋体" w:eastAsia="宋体" w:cs="宋体"/>
          <w:kern w:val="2"/>
          <w:sz w:val="24"/>
          <w:szCs w:val="24"/>
          <w:lang w:val="en-US" w:eastAsia="zh-CN"/>
        </w:rPr>
        <w:t>八</w:t>
      </w:r>
      <w:r>
        <w:rPr>
          <w:rFonts w:hint="eastAsia" w:ascii="宋体" w:hAnsi="宋体" w:eastAsia="宋体" w:cs="宋体"/>
          <w:kern w:val="2"/>
          <w:sz w:val="24"/>
          <w:szCs w:val="24"/>
          <w:lang w:val="en-US" w:eastAsia="en-US"/>
        </w:rPr>
        <w:t>、质保期：一年。</w:t>
      </w:r>
    </w:p>
    <w:p>
      <w:pPr>
        <w:adjustRightInd/>
        <w:spacing w:after="0" w:line="360" w:lineRule="auto"/>
        <w:jc w:val="both"/>
        <w:textAlignment w:val="baseline"/>
        <w:outlineLvl w:val="9"/>
        <w:rPr>
          <w:rFonts w:hint="eastAsia" w:ascii="宋体" w:hAnsi="宋体" w:eastAsia="宋体" w:cs="宋体"/>
          <w:kern w:val="2"/>
          <w:sz w:val="24"/>
          <w:szCs w:val="24"/>
          <w:lang w:val="en-US" w:eastAsia="en-US"/>
        </w:rPr>
      </w:pPr>
    </w:p>
    <w:p>
      <w:pPr>
        <w:adjustRightInd/>
        <w:spacing w:after="0" w:line="360" w:lineRule="auto"/>
        <w:ind w:firstLine="480" w:firstLineChars="200"/>
        <w:jc w:val="both"/>
        <w:textAlignment w:val="baseline"/>
        <w:outlineLvl w:val="9"/>
        <w:rPr>
          <w:rFonts w:hint="eastAsia" w:ascii="宋体" w:hAnsi="宋体" w:eastAsia="宋体" w:cs="宋体"/>
          <w:kern w:val="2"/>
          <w:sz w:val="24"/>
          <w:szCs w:val="24"/>
          <w:lang w:val="en-US" w:eastAsia="en-US"/>
        </w:rPr>
      </w:pPr>
    </w:p>
    <w:p>
      <w:pPr>
        <w:adjustRightInd/>
        <w:spacing w:after="0" w:line="360" w:lineRule="auto"/>
        <w:ind w:firstLine="602" w:firstLineChars="200"/>
        <w:jc w:val="both"/>
        <w:textAlignment w:val="baseline"/>
        <w:outlineLvl w:val="9"/>
        <w:rPr>
          <w:rFonts w:hint="eastAsia" w:ascii="宋体" w:hAnsi="宋体" w:eastAsia="宋体" w:cs="Times New Roman"/>
          <w:b/>
          <w:bCs/>
          <w:kern w:val="44"/>
          <w:sz w:val="30"/>
        </w:rPr>
      </w:pPr>
      <w:r>
        <w:rPr>
          <w:rFonts w:hint="eastAsia" w:ascii="宋体" w:hAnsi="宋体" w:eastAsia="宋体" w:cs="Times New Roman"/>
          <w:b/>
          <w:bCs/>
          <w:kern w:val="44"/>
          <w:sz w:val="30"/>
        </w:rPr>
        <w:br w:type="page"/>
      </w:r>
    </w:p>
    <w:p>
      <w:pPr>
        <w:jc w:val="center"/>
        <w:outlineLvl w:val="0"/>
        <w:rPr>
          <w:rFonts w:ascii="宋体" w:hAnsi="宋体" w:eastAsia="宋体" w:cs="仿宋"/>
          <w:b/>
          <w:bCs/>
          <w:sz w:val="36"/>
          <w:szCs w:val="36"/>
        </w:rPr>
      </w:pPr>
      <w:r>
        <w:rPr>
          <w:rFonts w:hint="eastAsia" w:ascii="宋体" w:hAnsi="宋体" w:eastAsia="宋体" w:cs="Times New Roman"/>
          <w:b/>
          <w:bCs/>
          <w:kern w:val="44"/>
          <w:sz w:val="30"/>
        </w:rPr>
        <w:t>第五章</w:t>
      </w:r>
      <w:bookmarkEnd w:id="69"/>
      <w:r>
        <w:rPr>
          <w:rFonts w:hint="eastAsia" w:ascii="宋体" w:hAnsi="宋体" w:eastAsia="宋体" w:cs="Times New Roman"/>
          <w:b/>
          <w:bCs/>
          <w:kern w:val="44"/>
          <w:sz w:val="30"/>
        </w:rPr>
        <w:t>、</w:t>
      </w:r>
      <w:bookmarkStart w:id="75" w:name="_Toc9413"/>
      <w:r>
        <w:rPr>
          <w:rFonts w:hint="eastAsia" w:ascii="宋体" w:hAnsi="宋体" w:eastAsia="宋体" w:cs="Times New Roman"/>
          <w:b/>
          <w:bCs/>
          <w:kern w:val="44"/>
          <w:sz w:val="30"/>
        </w:rPr>
        <w:t>评标原则及办法</w:t>
      </w:r>
      <w:bookmarkEnd w:id="70"/>
      <w:bookmarkEnd w:id="71"/>
      <w:bookmarkEnd w:id="75"/>
    </w:p>
    <w:p>
      <w:pPr>
        <w:outlineLvl w:val="9"/>
        <w:rPr>
          <w:rFonts w:ascii="宋体" w:hAnsi="宋体" w:eastAsia="宋体" w:cs="宋体"/>
          <w:b/>
          <w:bCs/>
          <w:sz w:val="24"/>
          <w:szCs w:val="24"/>
        </w:rPr>
      </w:pPr>
      <w:bookmarkStart w:id="76" w:name="_Toc5229"/>
      <w:bookmarkStart w:id="77" w:name="_Toc10095"/>
      <w:r>
        <w:rPr>
          <w:rFonts w:hint="eastAsia" w:ascii="宋体" w:hAnsi="宋体" w:eastAsia="宋体" w:cs="宋体"/>
          <w:b/>
          <w:bCs/>
          <w:sz w:val="24"/>
          <w:szCs w:val="24"/>
        </w:rPr>
        <w:t>5.1 评标工作中的原则及组织</w:t>
      </w:r>
      <w:bookmarkEnd w:id="72"/>
      <w:bookmarkEnd w:id="73"/>
      <w:bookmarkEnd w:id="74"/>
      <w:bookmarkEnd w:id="76"/>
      <w:bookmarkEnd w:id="77"/>
    </w:p>
    <w:p>
      <w:pPr>
        <w:adjustRightInd/>
        <w:snapToGrid/>
        <w:spacing w:after="0" w:line="360" w:lineRule="auto"/>
        <w:ind w:firstLine="236" w:firstLineChars="98"/>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5.1.1 原则</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招标人组织评标，在监督部门监督下,根据《中华人民共和国政府采购法》组建评标委员会，成员人数应当为3人以上单数（包含3人），由采购人代表和评标专家共同组成，评标委员会成员应坚持“公开、公平、公正”的宗旨,认真细致地做好评标工作。</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1）评标委员会成员人数为单数，其中技术、经济等方面的专家不少于成员总数的三分之二。</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2）评标委员会成员应当客观、公正的履行职责，遵守职业道德，对所提出的评审意见承担个人责任。</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3)评标委员会成员和与评标活动有关的工作人员不得透露对投标文件的评审和比较、中标候选人的推荐情况以及与评标有关的其他情况。</w:t>
      </w:r>
    </w:p>
    <w:p>
      <w:pPr>
        <w:adjustRightInd/>
        <w:spacing w:after="0" w:line="360" w:lineRule="auto"/>
        <w:ind w:firstLine="236" w:firstLineChars="98"/>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5.1.2 组织</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1）评标委员会：由采购人代表从政府采购地方专家库抽取的专家组成评标委员会。评标委员会根据招标文件要求负责投标文件的商务审核和技术评价。</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2）招标代理机构：由</w:t>
      </w:r>
      <w:r>
        <w:rPr>
          <w:rFonts w:hint="eastAsia" w:ascii="宋体" w:hAnsi="宋体" w:eastAsia="宋体" w:cs="宋体"/>
          <w:kern w:val="2"/>
          <w:sz w:val="24"/>
          <w:szCs w:val="24"/>
          <w:lang w:eastAsia="zh-CN"/>
        </w:rPr>
        <w:t>陇南子午线招标代理有限公司</w:t>
      </w:r>
      <w:r>
        <w:rPr>
          <w:rFonts w:hint="eastAsia" w:ascii="宋体" w:hAnsi="宋体" w:eastAsia="宋体" w:cs="宋体"/>
          <w:kern w:val="2"/>
          <w:sz w:val="24"/>
          <w:szCs w:val="24"/>
        </w:rPr>
        <w:t>工作人员组成，负责招标文件的制作，对外联系，开标、评标的会务工作,整理并向评标组分发招标资料、招标文件；做好招标开标和评标会议记录；对评标过程中的原始文件进行归档；随时印发需要的文件资料,对各种咨询函件及档案文件的统收统发，负责对评标委员会推荐的拟中标结果进行审核。</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3）监督部门：由本级人民政府财政局政府采购办等有关监督部门组成，根据国家有关法律、法规及招标文件的规定,对整个评标过程进行监督,保证评标的公正性,防止违法行为的产生。</w:t>
      </w:r>
    </w:p>
    <w:p>
      <w:pPr>
        <w:outlineLvl w:val="9"/>
        <w:rPr>
          <w:rFonts w:ascii="宋体" w:hAnsi="宋体" w:eastAsia="宋体" w:cs="宋体"/>
          <w:b/>
          <w:bCs/>
          <w:sz w:val="24"/>
          <w:szCs w:val="24"/>
        </w:rPr>
      </w:pPr>
      <w:bookmarkStart w:id="78" w:name="_Toc5628"/>
      <w:bookmarkStart w:id="79" w:name="_Toc8959"/>
      <w:bookmarkStart w:id="80" w:name="_Toc16982"/>
      <w:bookmarkStart w:id="81" w:name="_Toc32421"/>
      <w:bookmarkStart w:id="82" w:name="_Toc17638"/>
      <w:r>
        <w:rPr>
          <w:rFonts w:hint="eastAsia" w:ascii="宋体" w:hAnsi="宋体" w:eastAsia="宋体" w:cs="宋体"/>
          <w:b/>
          <w:bCs/>
          <w:sz w:val="24"/>
          <w:szCs w:val="24"/>
        </w:rPr>
        <w:t>5.2 评标内容及标准</w:t>
      </w:r>
      <w:bookmarkEnd w:id="78"/>
      <w:bookmarkEnd w:id="79"/>
      <w:bookmarkEnd w:id="80"/>
      <w:bookmarkEnd w:id="81"/>
      <w:bookmarkEnd w:id="82"/>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评标委员会将审查投标书是否完整、有无计算上的错误、是否提交了投标保证金、文件签署是否合格、投标文件的总体编排是否有序。</w:t>
      </w:r>
    </w:p>
    <w:p>
      <w:pPr>
        <w:adjustRightInd/>
        <w:spacing w:after="0" w:line="360" w:lineRule="auto"/>
        <w:ind w:firstLine="48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lang w:val="zh-CN"/>
        </w:rPr>
        <w:t>招标人将组织评标委员会审查投标文件是否完整，审查投标人提供的资格证明文件，评估投标人的财务、技术和生产能力。如果评标委员会认定投标人未完全响应招标文件，其投标将被视为无效投标。</w:t>
      </w:r>
    </w:p>
    <w:p>
      <w:pPr>
        <w:tabs>
          <w:tab w:val="left" w:pos="8640"/>
        </w:tabs>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评标委员会可以对确定为实质上响应招标文件要求的投标文件进行校核，修正错误的标准如下：</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1）大写金额和小写金额不一致的，以大写金额为准；</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2）投标文件中开标一览表（报价表）内容与投标文件中相应内容不一致的，以开标一览表（报价表）为准；</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3）总价金额与按单价汇总金额不一致的，以单价金额计算结果为准；</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4）单价金额小数点或者百分比有明显错位的，以开标一览表的总价为准，并修改单价。</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如果投标人不接受对其错误的更正，其投标将被视为无效投标。</w:t>
      </w:r>
    </w:p>
    <w:p>
      <w:pPr>
        <w:tabs>
          <w:tab w:val="left" w:pos="8640"/>
        </w:tabs>
        <w:adjustRightInd/>
        <w:spacing w:after="0" w:line="360" w:lineRule="auto"/>
        <w:ind w:firstLine="48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lang w:val="zh-CN"/>
        </w:rPr>
        <w:t>5）对于投标文件中不构成实质性偏差的小的不正规、不一致或不规则，评标委员会可以接受，但这种接受不能损害或影响任何投标人的相对排序。</w:t>
      </w:r>
    </w:p>
    <w:p>
      <w:pPr>
        <w:adjustRightInd/>
        <w:spacing w:after="0" w:line="360" w:lineRule="auto"/>
        <w:ind w:firstLine="48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lang w:val="zh-CN"/>
        </w:rPr>
        <w:t>6）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tabs>
          <w:tab w:val="left" w:pos="8640"/>
        </w:tabs>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7）如果投标文件实质上没有响应招标文件的要求，其投标将被视为无效投标，投标人不得通过修正或撤消不符合要求的偏离从而使其投标成为实质上响应的投标。</w:t>
      </w:r>
    </w:p>
    <w:p>
      <w:pPr>
        <w:outlineLvl w:val="9"/>
        <w:rPr>
          <w:rFonts w:ascii="宋体" w:hAnsi="宋体" w:eastAsia="宋体" w:cs="宋体"/>
          <w:b/>
          <w:bCs/>
          <w:sz w:val="24"/>
          <w:szCs w:val="24"/>
        </w:rPr>
      </w:pPr>
      <w:bookmarkStart w:id="83" w:name="_Toc3335"/>
      <w:bookmarkStart w:id="84" w:name="_Toc28881"/>
      <w:bookmarkStart w:id="85" w:name="_Toc19513"/>
      <w:bookmarkStart w:id="86" w:name="_Toc10496"/>
      <w:bookmarkStart w:id="87" w:name="_Toc559"/>
      <w:r>
        <w:rPr>
          <w:rFonts w:hint="eastAsia" w:ascii="宋体" w:hAnsi="宋体" w:eastAsia="宋体" w:cs="宋体"/>
          <w:b/>
          <w:bCs/>
          <w:sz w:val="24"/>
          <w:szCs w:val="24"/>
        </w:rPr>
        <w:t>5.3 评标的程序和方法</w:t>
      </w:r>
      <w:bookmarkEnd w:id="83"/>
      <w:bookmarkEnd w:id="84"/>
      <w:bookmarkEnd w:id="85"/>
      <w:bookmarkEnd w:id="86"/>
      <w:bookmarkEnd w:id="87"/>
    </w:p>
    <w:p>
      <w:pPr>
        <w:adjustRightInd/>
        <w:spacing w:after="0" w:line="360" w:lineRule="auto"/>
        <w:ind w:firstLine="236" w:firstLineChars="98"/>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5.3.1 评标程序</w:t>
      </w:r>
    </w:p>
    <w:p>
      <w:pPr>
        <w:adjustRightInd/>
        <w:spacing w:after="0" w:line="360" w:lineRule="auto"/>
        <w:ind w:firstLine="480" w:firstLineChars="200"/>
        <w:jc w:val="both"/>
        <w:textAlignment w:val="baseline"/>
        <w:outlineLvl w:val="9"/>
        <w:rPr>
          <w:rFonts w:ascii="宋体" w:hAnsi="宋体" w:eastAsia="宋体" w:cs="宋体"/>
          <w:b/>
          <w:kern w:val="2"/>
          <w:sz w:val="24"/>
          <w:szCs w:val="24"/>
        </w:rPr>
      </w:pPr>
      <w:r>
        <w:rPr>
          <w:rFonts w:hint="eastAsia" w:ascii="宋体" w:hAnsi="宋体" w:eastAsia="宋体" w:cs="宋体"/>
          <w:kern w:val="2"/>
          <w:sz w:val="24"/>
          <w:szCs w:val="24"/>
          <w:lang w:val="zh-CN"/>
        </w:rPr>
        <w:t>1、采购人或评标委员会对投标人的投标文件进行资质审查，依据招标文件的规定，对投标文件中提供的资格证明材料进行审查，审查合格者进入符合性审查，审查不合格者将被宣布其为无效投标。</w:t>
      </w:r>
    </w:p>
    <w:p>
      <w:pPr>
        <w:adjustRightInd/>
        <w:spacing w:after="0" w:line="360" w:lineRule="auto"/>
        <w:ind w:firstLine="48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2、评标委员会对资格审查合格的投标文件进行符合性审查。依据招标文件的规定，对投标文件的有效性、完整性和对招标文件规定的格式响应程度进行审查，以确定是否对招标文件做出实质性的响应。对于未响应招标文件的投标商将不再进行商务和技术部分评价；</w:t>
      </w:r>
    </w:p>
    <w:p>
      <w:pPr>
        <w:adjustRightIn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lang w:val="zh-CN"/>
        </w:rPr>
        <w:t>3、经</w:t>
      </w:r>
      <w:r>
        <w:rPr>
          <w:rFonts w:hint="eastAsia" w:ascii="宋体" w:hAnsi="宋体" w:eastAsia="宋体" w:cs="宋体"/>
          <w:kern w:val="2"/>
          <w:sz w:val="24"/>
          <w:szCs w:val="24"/>
        </w:rPr>
        <w:t>资质审查和符合性审查合格的投标文件（供应商不得少于3家），</w:t>
      </w:r>
      <w:r>
        <w:rPr>
          <w:rFonts w:hint="eastAsia" w:ascii="宋体" w:hAnsi="宋体" w:eastAsia="宋体"/>
          <w:sz w:val="24"/>
          <w:szCs w:val="28"/>
        </w:rPr>
        <w:t>进行第二轮的报价</w:t>
      </w:r>
      <w:r>
        <w:rPr>
          <w:rFonts w:hint="eastAsia" w:ascii="宋体" w:hAnsi="宋体" w:eastAsia="宋体"/>
          <w:sz w:val="24"/>
          <w:szCs w:val="28"/>
          <w:lang w:eastAsia="zh-CN"/>
        </w:rPr>
        <w:t>。</w:t>
      </w:r>
      <w:r>
        <w:rPr>
          <w:rFonts w:hint="eastAsia" w:ascii="宋体" w:hAnsi="宋体" w:eastAsia="宋体" w:cs="宋体"/>
          <w:kern w:val="2"/>
          <w:sz w:val="24"/>
          <w:szCs w:val="24"/>
        </w:rPr>
        <w:t>评标委员会将对其商务和技术部分作进一步的综合比较和评价，以综合得分最高的投标人作为中标候选供应商或者中标供应商。得分相同的，按投标报价由低到高顺序排列。得分且投标报价相同的并列。投标文件满足招标文件全部实质性要求，且按照评审因素的量化指标评审得分最高的投标人为排名第一的中标候选人。</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4、评标委员会对确定为实质上响应的投标进行政策功能评价，如涉及以下内容，具体标准为：</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1） 评标委员会对于节能、环保产品或小型、微型企业或监狱企业的价格扣除，审核投标人填写的《政府采购政策情况表》。</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2） 对于非专门面向中小微企业、监狱企业、残疾人福利性单位采购的项目，依照《政府采购促进中小企业发展管理办法》及《财政部关于进一步加大政府采购支持中小企业力度的通知》的规定，凡符合要求的有效投标人，按照10%比例给予相应的价格扣除。</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评标价＝总投标报价—小型和微型企业产品的价格×10%</w:t>
      </w:r>
    </w:p>
    <w:p>
      <w:pPr>
        <w:adjustRightInd/>
        <w:spacing w:after="0" w:line="360" w:lineRule="auto"/>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注：① 上述评标价仅用于计算价格评分，中标金额以实际投标价为准。</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② 小微企业、监狱企业、残疾人福利性单位是指投标人及其所投产品的制造商均为小微企业、监狱企业、残疾人福利性单位。</w:t>
      </w:r>
    </w:p>
    <w:p>
      <w:pPr>
        <w:adjustRightIn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③ 在技术、服务等指标同等条件下，结合具有环境标志、节能、自主创新的产品报价占总项目的比例，优先采购具有环境标志、节能、自主创新的产品。环境标志产品是指由财政部、国家环境保护总局制定的《环境标志产品政府采购品目清单》的产品在产品认证证书有效期内的；节能产品是指列入财政部、国家发展改革委制定的《节能产品政府采购品目清单》中的有效期内的产品；自主创新产品是指纳入财政部公布的《政府采购自主创新产品目录》中的有效期内的货物和服务。</w:t>
      </w:r>
    </w:p>
    <w:p>
      <w:pPr>
        <w:adjustRightInd/>
        <w:spacing w:after="0" w:line="360" w:lineRule="auto"/>
        <w:ind w:firstLine="482"/>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spacing w:after="0" w:line="360" w:lineRule="auto"/>
        <w:ind w:firstLine="235" w:firstLineChars="9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5.3.2评标方法</w:t>
      </w:r>
    </w:p>
    <w:p>
      <w:pPr>
        <w:numPr>
          <w:ilvl w:val="0"/>
          <w:numId w:val="9"/>
        </w:numPr>
        <w:spacing w:line="560" w:lineRule="exact"/>
        <w:ind w:firstLine="480" w:firstLineChars="200"/>
        <w:outlineLvl w:val="9"/>
        <w:rPr>
          <w:rFonts w:hint="eastAsia" w:ascii="宋体" w:hAnsi="宋体" w:eastAsia="宋体"/>
          <w:sz w:val="24"/>
          <w:szCs w:val="28"/>
        </w:rPr>
      </w:pPr>
      <w:r>
        <w:rPr>
          <w:rFonts w:hint="eastAsia" w:ascii="宋体" w:hAnsi="宋体" w:eastAsia="宋体"/>
          <w:sz w:val="24"/>
          <w:szCs w:val="28"/>
        </w:rPr>
        <w:t>通过资格性和符合性审查的投标人在进行第二轮的报价后，采用“综合评分法”，即是指在最大限度地满足招标文件实质性要求前提下，按照招标文件中规定的各项因素进行综合评审后，以评标总得分最高的投标人作为拟中标供应商。综合评分法中的价格分统一采用低价优先法计算，即满足招标文件要求且投标最低的投标报价（优惠率最高）为评标基准价，其价格分为满分。其他投标人的价格分统一按照下列公式计算：</w:t>
      </w:r>
      <w:r>
        <w:rPr>
          <w:rFonts w:hint="eastAsia" w:ascii="宋体" w:hAnsi="宋体" w:eastAsia="宋体"/>
          <w:b/>
          <w:sz w:val="24"/>
          <w:szCs w:val="28"/>
        </w:rPr>
        <w:t>投标报价得分＝（评标基准价</w:t>
      </w:r>
      <w:r>
        <w:rPr>
          <w:rFonts w:ascii="宋体" w:hAnsi="宋体" w:eastAsia="宋体"/>
          <w:b/>
          <w:sz w:val="24"/>
          <w:szCs w:val="28"/>
        </w:rPr>
        <w:t>/</w:t>
      </w:r>
      <w:r>
        <w:rPr>
          <w:rFonts w:hint="eastAsia" w:ascii="宋体" w:hAnsi="宋体" w:eastAsia="宋体"/>
          <w:b/>
          <w:sz w:val="24"/>
          <w:szCs w:val="28"/>
        </w:rPr>
        <w:t>投标报价）×价格权值×</w:t>
      </w:r>
      <w:r>
        <w:rPr>
          <w:rFonts w:ascii="宋体" w:hAnsi="宋体" w:eastAsia="宋体"/>
          <w:b/>
          <w:sz w:val="24"/>
          <w:szCs w:val="28"/>
        </w:rPr>
        <w:t>100</w:t>
      </w:r>
      <w:r>
        <w:rPr>
          <w:rFonts w:hint="eastAsia" w:ascii="宋体" w:hAnsi="宋体" w:eastAsia="宋体"/>
          <w:b/>
          <w:sz w:val="24"/>
          <w:szCs w:val="28"/>
        </w:rPr>
        <w:t>。</w:t>
      </w:r>
      <w:r>
        <w:rPr>
          <w:rFonts w:hint="eastAsia" w:ascii="宋体" w:hAnsi="宋体" w:eastAsia="宋体"/>
          <w:sz w:val="24"/>
          <w:szCs w:val="28"/>
        </w:rPr>
        <w:t>若总得分相等时，投标报价得分最高者优先；若总得分和投标报价得分均相同时，由招标人自行确定。</w:t>
      </w:r>
    </w:p>
    <w:tbl>
      <w:tblPr>
        <w:tblStyle w:val="28"/>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7"/>
        <w:gridCol w:w="1124"/>
        <w:gridCol w:w="6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价格部分</w:t>
            </w:r>
          </w:p>
          <w:p>
            <w:pPr>
              <w:keepNext w:val="0"/>
              <w:keepLines w:val="0"/>
              <w:pageBreakBefore w:val="0"/>
              <w:kinsoku/>
              <w:wordWrap/>
              <w:overflowPunct/>
              <w:topLinePunct w:val="0"/>
              <w:bidi w:val="0"/>
              <w:spacing w:after="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（30分）</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30分</w:t>
            </w:r>
          </w:p>
        </w:tc>
        <w:tc>
          <w:tcPr>
            <w:tcW w:w="3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在价格评分时，满足招标文件要求且投标报价最低的为评标基准价，其价格分为满分；其它供应商的价格分统一按照下列公式计算：</w:t>
            </w:r>
          </w:p>
          <w:p>
            <w:pPr>
              <w:keepNext w:val="0"/>
              <w:keepLines w:val="0"/>
              <w:pageBreakBefore w:val="0"/>
              <w:widowControl w:val="0"/>
              <w:kinsoku/>
              <w:wordWrap/>
              <w:overflowPunct/>
              <w:topLinePunct w:val="0"/>
              <w:autoSpaceDE w:val="0"/>
              <w:autoSpaceDN w:val="0"/>
              <w:bidi w:val="0"/>
              <w:adjustRightInd/>
              <w:snapToGrid/>
              <w:spacing w:after="0"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投标报价得分=（评标基准价/投标报价）×30%×100</w:t>
            </w:r>
          </w:p>
          <w:p>
            <w:pPr>
              <w:keepNext w:val="0"/>
              <w:keepLines w:val="0"/>
              <w:pageBreakBefore w:val="0"/>
              <w:widowControl w:val="0"/>
              <w:kinsoku/>
              <w:wordWrap/>
              <w:overflowPunct/>
              <w:topLinePunct w:val="0"/>
              <w:autoSpaceDE w:val="0"/>
              <w:autoSpaceDN w:val="0"/>
              <w:bidi w:val="0"/>
              <w:adjustRightInd/>
              <w:snapToGrid/>
              <w:spacing w:after="0"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注：价格评分取值至小数点后第2位，2位以后四舍五入。</w:t>
            </w:r>
          </w:p>
          <w:p>
            <w:pPr>
              <w:keepNext w:val="0"/>
              <w:keepLines w:val="0"/>
              <w:pageBreakBefore w:val="0"/>
              <w:widowControl w:val="0"/>
              <w:kinsoku/>
              <w:wordWrap/>
              <w:overflowPunct/>
              <w:topLinePunct w:val="0"/>
              <w:autoSpaceDE w:val="0"/>
              <w:autoSpaceDN w:val="0"/>
              <w:bidi w:val="0"/>
              <w:adjustRightInd/>
              <w:snapToGrid/>
              <w:spacing w:after="0"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评标委员会认为投标人的报价明显低于其他通过符合性审查投标人的报价，有可能影响产品质量或者不能诚信履约的，评标委员会有权要求其在评标现场合理的时间内提供书面说明，必要时提交相关证明材料；投标人如不能证明其报价合理性的，评标委员会应当将其作为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539" w:type="pct"/>
            <w:vMerge w:val="restart"/>
            <w:tcBorders>
              <w:top w:val="single" w:color="000000" w:sz="4" w:space="0"/>
              <w:left w:val="single" w:color="000000" w:sz="4" w:space="0"/>
              <w:right w:val="single" w:color="000000" w:sz="4" w:space="0"/>
            </w:tcBorders>
            <w:noWrap w:val="0"/>
            <w:vAlign w:val="center"/>
          </w:tcPr>
          <w:p>
            <w:pPr>
              <w:pStyle w:val="6"/>
              <w:keepNext w:val="0"/>
              <w:keepLines w:val="0"/>
              <w:pageBreakBefore w:val="0"/>
              <w:numPr>
                <w:ilvl w:val="0"/>
                <w:numId w:val="0"/>
              </w:numPr>
              <w:kinsoku/>
              <w:wordWrap/>
              <w:overflowPunct/>
              <w:topLinePunct w:val="0"/>
              <w:bidi w:val="0"/>
              <w:spacing w:after="0"/>
              <w:ind w:lef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商务部分</w:t>
            </w:r>
          </w:p>
          <w:p>
            <w:pPr>
              <w:pStyle w:val="6"/>
              <w:keepNext w:val="0"/>
              <w:keepLines w:val="0"/>
              <w:pageBreakBefore w:val="0"/>
              <w:numPr>
                <w:ilvl w:val="0"/>
                <w:numId w:val="0"/>
              </w:numPr>
              <w:kinsoku/>
              <w:wordWrap/>
              <w:overflowPunct/>
              <w:topLinePunct w:val="0"/>
              <w:bidi w:val="0"/>
              <w:spacing w:after="0"/>
              <w:ind w:lef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（13分）</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类似项目业绩（4分）</w:t>
            </w:r>
          </w:p>
        </w:tc>
        <w:tc>
          <w:tcPr>
            <w:tcW w:w="3800" w:type="pc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ind w:right="0" w:rightChars="0"/>
              <w:jc w:val="both"/>
              <w:textAlignment w:val="auto"/>
              <w:outlineLvl w:val="9"/>
              <w:rPr>
                <w:rFonts w:hint="eastAsia" w:ascii="宋体" w:hAnsi="宋体" w:eastAsia="宋体" w:cs="宋体"/>
                <w:color w:val="FF0000"/>
                <w:sz w:val="24"/>
                <w:szCs w:val="24"/>
                <w:lang w:val="en-US" w:eastAsia="zh-CN" w:bidi="zh-CN"/>
              </w:rPr>
            </w:pPr>
            <w:r>
              <w:rPr>
                <w:rFonts w:hint="eastAsia" w:ascii="宋体" w:hAnsi="宋体" w:eastAsia="宋体" w:cs="宋体"/>
                <w:spacing w:val="1"/>
                <w:sz w:val="24"/>
                <w:szCs w:val="24"/>
                <w:lang w:val="en-US" w:eastAsia="zh-CN"/>
              </w:rPr>
              <w:t>投标人提供近3年类似项目业绩，须提供中标通知书或合同原件扫描件；提供一项得2分，不提供不得分。（满分4分）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539" w:type="pct"/>
            <w:vMerge w:val="continue"/>
            <w:tcBorders>
              <w:left w:val="single" w:color="000000" w:sz="4" w:space="0"/>
              <w:right w:val="single" w:color="000000" w:sz="4" w:space="0"/>
            </w:tcBorders>
            <w:noWrap w:val="0"/>
            <w:vAlign w:val="center"/>
          </w:tcPr>
          <w:p>
            <w:pPr>
              <w:pStyle w:val="6"/>
              <w:keepNext w:val="0"/>
              <w:keepLines w:val="0"/>
              <w:pageBreakBefore w:val="0"/>
              <w:numPr>
                <w:ilvl w:val="0"/>
                <w:numId w:val="0"/>
              </w:numPr>
              <w:kinsoku/>
              <w:wordWrap/>
              <w:overflowPunct/>
              <w:topLinePunct w:val="0"/>
              <w:bidi w:val="0"/>
              <w:spacing w:after="0"/>
              <w:ind w:leftChars="0"/>
              <w:jc w:val="center"/>
              <w:textAlignment w:val="auto"/>
              <w:rPr>
                <w:rFonts w:hint="eastAsia" w:ascii="宋体" w:hAnsi="宋体" w:eastAsia="宋体" w:cs="宋体"/>
                <w:color w:val="auto"/>
                <w:sz w:val="24"/>
                <w:szCs w:val="24"/>
                <w:lang w:val="en-US" w:eastAsia="zh-CN"/>
              </w:rPr>
            </w:pP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highlight w:val="none"/>
                <w:lang w:val="en-US" w:eastAsia="zh-CN" w:bidi="zh-CN"/>
              </w:rPr>
            </w:pPr>
            <w:r>
              <w:rPr>
                <w:rFonts w:hint="eastAsia" w:ascii="宋体" w:hAnsi="宋体" w:eastAsia="宋体" w:cs="宋体"/>
                <w:sz w:val="24"/>
                <w:szCs w:val="24"/>
                <w:vertAlign w:val="baseline"/>
                <w:lang w:val="en-US" w:eastAsia="zh-CN"/>
              </w:rPr>
              <w:t>商务响应（5分）</w:t>
            </w:r>
          </w:p>
        </w:tc>
        <w:tc>
          <w:tcPr>
            <w:tcW w:w="3800"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rightChars="0"/>
              <w:jc w:val="both"/>
              <w:textAlignment w:val="auto"/>
              <w:outlineLvl w:val="9"/>
              <w:rPr>
                <w:rFonts w:hint="default" w:ascii="宋体" w:hAnsi="宋体" w:eastAsia="宋体" w:cs="宋体"/>
                <w:spacing w:val="1"/>
                <w:sz w:val="24"/>
                <w:szCs w:val="24"/>
                <w:highlight w:val="none"/>
                <w:lang w:val="en-US" w:eastAsia="zh-CN"/>
              </w:rPr>
            </w:pPr>
            <w:r>
              <w:rPr>
                <w:rFonts w:hint="eastAsia" w:ascii="宋体" w:hAnsi="宋体" w:eastAsia="宋体" w:cs="宋体"/>
                <w:spacing w:val="1"/>
                <w:sz w:val="24"/>
                <w:szCs w:val="24"/>
                <w:lang w:val="en-US" w:eastAsia="zh-CN"/>
              </w:rPr>
              <w:t>商务条款响应情况：付款方式、交货期、交货地点、质保期、售后服务均响应要求得5分，响应一项得1分，均不响应不得分。（满分5分）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539" w:type="pct"/>
            <w:vMerge w:val="continue"/>
            <w:tcBorders>
              <w:left w:val="single" w:color="000000" w:sz="4" w:space="0"/>
              <w:right w:val="single" w:color="000000" w:sz="4" w:space="0"/>
            </w:tcBorders>
            <w:noWrap w:val="0"/>
            <w:vAlign w:val="center"/>
          </w:tcPr>
          <w:p>
            <w:pPr>
              <w:pStyle w:val="6"/>
              <w:keepNext w:val="0"/>
              <w:keepLines w:val="0"/>
              <w:pageBreakBefore w:val="0"/>
              <w:numPr>
                <w:ilvl w:val="0"/>
                <w:numId w:val="0"/>
              </w:numPr>
              <w:kinsoku/>
              <w:wordWrap/>
              <w:overflowPunct/>
              <w:topLinePunct w:val="0"/>
              <w:bidi w:val="0"/>
              <w:spacing w:after="0"/>
              <w:ind w:leftChars="0"/>
              <w:jc w:val="center"/>
              <w:textAlignment w:val="auto"/>
              <w:rPr>
                <w:rFonts w:hint="eastAsia" w:ascii="宋体" w:hAnsi="宋体" w:eastAsia="宋体" w:cs="宋体"/>
                <w:color w:val="auto"/>
                <w:sz w:val="24"/>
                <w:szCs w:val="24"/>
                <w:lang w:val="en-US" w:eastAsia="zh-CN"/>
              </w:rPr>
            </w:pPr>
          </w:p>
        </w:tc>
        <w:tc>
          <w:tcPr>
            <w:tcW w:w="660"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投标文件制作（4分）</w:t>
            </w:r>
          </w:p>
        </w:tc>
        <w:tc>
          <w:tcPr>
            <w:tcW w:w="3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after="0" w:line="360" w:lineRule="auto"/>
              <w:ind w:right="0" w:rightChars="0"/>
              <w:jc w:val="both"/>
              <w:textAlignment w:val="baseline"/>
              <w:outlineLvl w:val="9"/>
              <w:rPr>
                <w:rFonts w:hint="eastAsia" w:ascii="宋体" w:hAnsi="宋体" w:eastAsia="宋体" w:cs="宋体"/>
                <w:color w:val="FF0000"/>
                <w:sz w:val="24"/>
                <w:szCs w:val="24"/>
                <w:lang w:val="en-US" w:eastAsia="zh-CN"/>
              </w:rPr>
            </w:pPr>
            <w:r>
              <w:rPr>
                <w:rFonts w:hint="eastAsia" w:ascii="宋体" w:hAnsi="宋体" w:eastAsia="宋体" w:cs="宋体"/>
                <w:color w:val="000000"/>
                <w:sz w:val="24"/>
                <w:szCs w:val="24"/>
                <w:lang w:val="en-US" w:eastAsia="zh-CN"/>
              </w:rPr>
              <w:t>投标文件按招标文件规定的格式制作，投标附件资料齐全、详实、充分，顺序编制精美，字迹清晰，书面整洁无涂改，没有缺漏项，价格数量等内容完善、所提供与投标产品相同配置及能数的说明书或彩页能详细反映招标文件技术参数的计4分。投标文件的编制规范性一般，文件构成基本完整，条例基本清晰的得2分； 投标文件的编制规范性差，构成不完整，条例不清晰，文字模糊不得分。（满分4分）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技术部分</w:t>
            </w:r>
          </w:p>
          <w:p>
            <w:pPr>
              <w:pStyle w:val="6"/>
              <w:keepNext w:val="0"/>
              <w:keepLines w:val="0"/>
              <w:pageBreakBefore w:val="0"/>
              <w:numPr>
                <w:ilvl w:val="0"/>
                <w:numId w:val="0"/>
              </w:numPr>
              <w:kinsoku/>
              <w:wordWrap/>
              <w:overflowPunct/>
              <w:topLinePunct w:val="0"/>
              <w:bidi w:val="0"/>
              <w:spacing w:after="0"/>
              <w:ind w:lef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（57分）</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lang w:val="en-US" w:eastAsia="en-US" w:bidi="ar-SA"/>
              </w:rPr>
              <w:t>响应</w:t>
            </w:r>
            <w:r>
              <w:rPr>
                <w:rFonts w:hint="eastAsia" w:ascii="宋体" w:hAnsi="宋体" w:eastAsia="宋体" w:cs="宋体"/>
                <w:color w:val="auto"/>
                <w:sz w:val="24"/>
                <w:szCs w:val="24"/>
                <w:highlight w:val="none"/>
                <w:lang w:val="en-US" w:eastAsia="zh-CN"/>
              </w:rPr>
              <w:t>（20分）</w:t>
            </w:r>
          </w:p>
        </w:tc>
        <w:tc>
          <w:tcPr>
            <w:tcW w:w="3800" w:type="pct"/>
            <w:tcBorders>
              <w:top w:val="single" w:color="000000" w:sz="4" w:space="0"/>
              <w:left w:val="single" w:color="000000" w:sz="4" w:space="0"/>
              <w:bottom w:val="single" w:color="000000" w:sz="4" w:space="0"/>
              <w:right w:val="single" w:color="000000" w:sz="4" w:space="0"/>
            </w:tcBorders>
            <w:noWrap w:val="0"/>
            <w:vAlign w:val="top"/>
          </w:tcPr>
          <w:p>
            <w:pPr>
              <w:pStyle w:val="171"/>
              <w:keepNext w:val="0"/>
              <w:keepLines w:val="0"/>
              <w:pageBreakBefore w:val="0"/>
              <w:widowControl w:val="0"/>
              <w:kinsoku/>
              <w:wordWrap/>
              <w:overflowPunct/>
              <w:topLinePunct w:val="0"/>
              <w:autoSpaceDE w:val="0"/>
              <w:autoSpaceDN w:val="0"/>
              <w:bidi w:val="0"/>
              <w:adjustRightInd/>
              <w:snapToGrid/>
              <w:spacing w:after="0" w:line="360" w:lineRule="auto"/>
              <w:ind w:left="0" w:right="0" w:firstLine="0"/>
              <w:textAlignment w:val="auto"/>
              <w:rPr>
                <w:rFonts w:hint="eastAsia" w:ascii="宋体" w:hAnsi="宋体" w:eastAsia="宋体" w:cs="宋体"/>
                <w:color w:val="auto"/>
                <w:sz w:val="24"/>
                <w:szCs w:val="24"/>
                <w:highlight w:val="none"/>
                <w:lang w:val="en-US" w:eastAsia="en-US" w:bidi="ar-SA"/>
              </w:rPr>
            </w:pPr>
            <w:r>
              <w:rPr>
                <w:rFonts w:hint="eastAsia" w:ascii="宋体" w:hAnsi="宋体" w:eastAsia="宋体" w:cs="宋体"/>
                <w:color w:val="auto"/>
                <w:sz w:val="24"/>
                <w:szCs w:val="24"/>
                <w:highlight w:val="none"/>
                <w:lang w:val="en-US" w:eastAsia="en-US" w:bidi="ar-SA"/>
              </w:rPr>
              <w:t>所投产品技术指标及参数全部满足招标文件要求，得</w:t>
            </w:r>
            <w:r>
              <w:rPr>
                <w:rFonts w:hint="eastAsia" w:ascii="宋体" w:hAnsi="宋体" w:eastAsia="宋体" w:cs="宋体"/>
                <w:color w:val="auto"/>
                <w:sz w:val="24"/>
                <w:szCs w:val="24"/>
                <w:highlight w:val="none"/>
                <w:lang w:val="en-US" w:eastAsia="zh-CN" w:bidi="ar-SA"/>
              </w:rPr>
              <w:t>20</w:t>
            </w:r>
            <w:r>
              <w:rPr>
                <w:rFonts w:hint="eastAsia" w:ascii="宋体" w:hAnsi="宋体" w:eastAsia="宋体" w:cs="宋体"/>
                <w:color w:val="auto"/>
                <w:sz w:val="24"/>
                <w:szCs w:val="24"/>
                <w:highlight w:val="none"/>
                <w:lang w:val="en-US" w:eastAsia="en-US" w:bidi="ar-SA"/>
              </w:rPr>
              <w:t>分，一项不满足扣</w:t>
            </w:r>
            <w:r>
              <w:rPr>
                <w:rFonts w:hint="eastAsia" w:cs="宋体"/>
                <w:color w:val="auto"/>
                <w:sz w:val="24"/>
                <w:szCs w:val="24"/>
                <w:highlight w:val="none"/>
                <w:lang w:val="en-US" w:eastAsia="zh-CN" w:bidi="ar-SA"/>
              </w:rPr>
              <w:t>3</w:t>
            </w:r>
            <w:r>
              <w:rPr>
                <w:rFonts w:hint="eastAsia" w:ascii="宋体" w:hAnsi="宋体" w:eastAsia="宋体" w:cs="宋体"/>
                <w:color w:val="auto"/>
                <w:sz w:val="24"/>
                <w:szCs w:val="24"/>
                <w:highlight w:val="none"/>
                <w:lang w:val="en-US" w:eastAsia="en-US" w:bidi="ar-SA"/>
              </w:rPr>
              <w:t>分，扣完为止。（提供检测报告</w:t>
            </w:r>
            <w:r>
              <w:rPr>
                <w:rFonts w:hint="eastAsia" w:cs="宋体"/>
                <w:color w:val="auto"/>
                <w:sz w:val="24"/>
                <w:szCs w:val="24"/>
                <w:highlight w:val="none"/>
                <w:lang w:val="en-US" w:eastAsia="zh-CN" w:bidi="ar-SA"/>
              </w:rPr>
              <w:t>或</w:t>
            </w:r>
            <w:r>
              <w:rPr>
                <w:rFonts w:hint="eastAsia" w:ascii="宋体" w:hAnsi="宋体" w:eastAsia="宋体" w:cs="宋体"/>
                <w:color w:val="auto"/>
                <w:sz w:val="24"/>
                <w:szCs w:val="24"/>
                <w:highlight w:val="none"/>
                <w:lang w:val="en-US" w:eastAsia="en-US" w:bidi="ar-SA"/>
              </w:rPr>
              <w:t>产品彩页</w:t>
            </w:r>
            <w:r>
              <w:rPr>
                <w:rFonts w:hint="eastAsia" w:cs="宋体"/>
                <w:color w:val="auto"/>
                <w:sz w:val="24"/>
                <w:szCs w:val="24"/>
                <w:highlight w:val="none"/>
                <w:lang w:val="en-US" w:eastAsia="zh-CN" w:bidi="ar-SA"/>
              </w:rPr>
              <w:t>或</w:t>
            </w:r>
            <w:r>
              <w:rPr>
                <w:rFonts w:hint="eastAsia" w:ascii="宋体" w:hAnsi="宋体" w:eastAsia="宋体" w:cs="宋体"/>
                <w:color w:val="auto"/>
                <w:sz w:val="24"/>
                <w:szCs w:val="24"/>
                <w:highlight w:val="none"/>
                <w:lang w:val="en-US" w:eastAsia="en-US" w:bidi="ar-SA"/>
              </w:rPr>
              <w:t>产品说明书等</w:t>
            </w:r>
            <w:r>
              <w:rPr>
                <w:rFonts w:hint="eastAsia" w:ascii="宋体" w:hAnsi="宋体" w:eastAsia="宋体" w:cs="宋体"/>
                <w:color w:val="auto"/>
                <w:sz w:val="24"/>
                <w:szCs w:val="24"/>
                <w:highlight w:val="none"/>
                <w:lang w:val="en-US" w:eastAsia="zh-CN" w:bidi="ar-SA"/>
              </w:rPr>
              <w:t>相关</w:t>
            </w:r>
            <w:r>
              <w:rPr>
                <w:rFonts w:hint="eastAsia" w:ascii="宋体" w:hAnsi="宋体" w:eastAsia="宋体" w:cs="宋体"/>
                <w:color w:val="auto"/>
                <w:sz w:val="24"/>
                <w:szCs w:val="24"/>
                <w:highlight w:val="none"/>
                <w:lang w:val="en-US" w:eastAsia="en-US" w:bidi="ar-SA"/>
              </w:rPr>
              <w:t>证明材料）（满分</w:t>
            </w:r>
            <w:r>
              <w:rPr>
                <w:rFonts w:hint="eastAsia" w:ascii="宋体" w:hAnsi="宋体" w:eastAsia="宋体" w:cs="宋体"/>
                <w:color w:val="auto"/>
                <w:sz w:val="24"/>
                <w:szCs w:val="24"/>
                <w:highlight w:val="none"/>
                <w:lang w:val="en-US" w:eastAsia="zh-CN" w:bidi="ar-SA"/>
              </w:rPr>
              <w:t>20</w:t>
            </w:r>
            <w:r>
              <w:rPr>
                <w:rFonts w:hint="eastAsia" w:ascii="宋体" w:hAnsi="宋体" w:eastAsia="宋体" w:cs="宋体"/>
                <w:color w:val="auto"/>
                <w:sz w:val="24"/>
                <w:szCs w:val="24"/>
                <w:highlight w:val="none"/>
                <w:lang w:val="en-US" w:eastAsia="en-US"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FF0000"/>
                <w:sz w:val="24"/>
                <w:szCs w:val="24"/>
              </w:rPr>
            </w:pP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实施方案</w:t>
            </w:r>
          </w:p>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（12分）</w:t>
            </w:r>
          </w:p>
        </w:tc>
        <w:tc>
          <w:tcPr>
            <w:tcW w:w="3800" w:type="pct"/>
            <w:tcBorders>
              <w:top w:val="single" w:color="000000" w:sz="4" w:space="0"/>
              <w:left w:val="single" w:color="000000" w:sz="4" w:space="0"/>
              <w:bottom w:val="single" w:color="000000" w:sz="4" w:space="0"/>
              <w:right w:val="single" w:color="000000" w:sz="4" w:space="0"/>
            </w:tcBorders>
            <w:noWrap w:val="0"/>
            <w:vAlign w:val="top"/>
          </w:tcPr>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评委依据投标文件中对本项目制定的供货、运输、装卸等方案（计划）的完整性、科学性、可行性以及有利于采购人的原则进行综合评判；</w:t>
            </w:r>
          </w:p>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（1）供货、运输方案完整、科学、可行性强，把握项目特点者得1</w:t>
            </w:r>
            <w:r>
              <w:rPr>
                <w:rFonts w:hint="eastAsia" w:cs="宋体"/>
                <w:color w:val="auto"/>
                <w:sz w:val="24"/>
                <w:szCs w:val="24"/>
                <w:lang w:val="en-US" w:eastAsia="zh-CN" w:bidi="ar-SA"/>
              </w:rPr>
              <w:t>2</w:t>
            </w:r>
            <w:r>
              <w:rPr>
                <w:rFonts w:hint="eastAsia" w:ascii="宋体" w:hAnsi="宋体" w:eastAsia="宋体" w:cs="宋体"/>
                <w:color w:val="auto"/>
                <w:sz w:val="24"/>
                <w:szCs w:val="24"/>
                <w:lang w:val="en-US" w:eastAsia="en-US" w:bidi="ar-SA"/>
              </w:rPr>
              <w:t>分；</w:t>
            </w:r>
          </w:p>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（2）供货、运输方案较完整、较科学、可行性一般者得</w:t>
            </w:r>
            <w:r>
              <w:rPr>
                <w:rFonts w:hint="eastAsia" w:cs="宋体"/>
                <w:color w:val="auto"/>
                <w:sz w:val="24"/>
                <w:szCs w:val="24"/>
                <w:lang w:val="en-US" w:eastAsia="zh-CN" w:bidi="ar-SA"/>
              </w:rPr>
              <w:t>8</w:t>
            </w:r>
            <w:r>
              <w:rPr>
                <w:rFonts w:hint="eastAsia" w:ascii="宋体" w:hAnsi="宋体" w:eastAsia="宋体" w:cs="宋体"/>
                <w:color w:val="auto"/>
                <w:sz w:val="24"/>
                <w:szCs w:val="24"/>
                <w:lang w:val="en-US" w:eastAsia="en-US" w:bidi="ar-SA"/>
              </w:rPr>
              <w:t>分；</w:t>
            </w:r>
          </w:p>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（3）供货、运输方案不完整、不科学、可行性差者得</w:t>
            </w:r>
            <w:r>
              <w:rPr>
                <w:rFonts w:hint="eastAsia" w:cs="宋体"/>
                <w:color w:val="auto"/>
                <w:sz w:val="24"/>
                <w:szCs w:val="24"/>
                <w:lang w:val="en-US" w:eastAsia="zh-CN" w:bidi="ar-SA"/>
              </w:rPr>
              <w:t>4</w:t>
            </w:r>
            <w:r>
              <w:rPr>
                <w:rFonts w:hint="eastAsia" w:ascii="宋体" w:hAnsi="宋体" w:eastAsia="宋体" w:cs="宋体"/>
                <w:color w:val="auto"/>
                <w:sz w:val="24"/>
                <w:szCs w:val="24"/>
                <w:lang w:val="en-US" w:eastAsia="en-US" w:bidi="ar-SA"/>
              </w:rPr>
              <w:t>分；</w:t>
            </w:r>
          </w:p>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z w:val="24"/>
                <w:szCs w:val="24"/>
                <w:lang w:val="en-US" w:eastAsia="en-US" w:bidi="ar-SA"/>
              </w:rPr>
              <w:t>（4）无供货方案者不得分。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FF0000"/>
                <w:sz w:val="24"/>
                <w:szCs w:val="24"/>
              </w:rPr>
            </w:pP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售后服务方案（10分）</w:t>
            </w:r>
          </w:p>
        </w:tc>
        <w:tc>
          <w:tcPr>
            <w:tcW w:w="380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both"/>
              <w:textAlignment w:val="auto"/>
              <w:outlineLvl w:val="9"/>
              <w:rPr>
                <w:rFonts w:ascii="宋体" w:hAnsi="宋体" w:eastAsia="宋体" w:cs="宋体"/>
                <w:spacing w:val="-5"/>
                <w:sz w:val="24"/>
                <w:szCs w:val="24"/>
              </w:rPr>
            </w:pPr>
            <w:r>
              <w:rPr>
                <w:rFonts w:ascii="宋体" w:hAnsi="宋体" w:eastAsia="宋体" w:cs="宋体"/>
                <w:spacing w:val="-5"/>
                <w:sz w:val="24"/>
                <w:szCs w:val="24"/>
              </w:rPr>
              <w:t>针对该项目须有完善的售后服务体系，包含售后服务机构和人员</w:t>
            </w:r>
            <w:r>
              <w:rPr>
                <w:rFonts w:hint="eastAsia" w:ascii="宋体" w:hAnsi="宋体" w:eastAsia="宋体" w:cs="宋体"/>
                <w:spacing w:val="-5"/>
                <w:sz w:val="24"/>
                <w:szCs w:val="24"/>
                <w:lang w:eastAsia="zh-CN"/>
              </w:rPr>
              <w:t>、</w:t>
            </w:r>
            <w:r>
              <w:rPr>
                <w:rFonts w:ascii="宋体" w:hAnsi="宋体" w:eastAsia="宋体" w:cs="宋体"/>
                <w:spacing w:val="-5"/>
                <w:sz w:val="24"/>
                <w:szCs w:val="24"/>
              </w:rPr>
              <w:t>售后服务内容和流程</w:t>
            </w:r>
            <w:r>
              <w:rPr>
                <w:rFonts w:hint="eastAsia" w:ascii="宋体" w:hAnsi="宋体" w:eastAsia="宋体" w:cs="宋体"/>
                <w:spacing w:val="-5"/>
                <w:sz w:val="24"/>
                <w:szCs w:val="24"/>
                <w:lang w:eastAsia="zh-CN"/>
              </w:rPr>
              <w:t>、</w:t>
            </w:r>
            <w:r>
              <w:rPr>
                <w:rFonts w:ascii="宋体" w:hAnsi="宋体" w:eastAsia="宋体" w:cs="宋体"/>
                <w:spacing w:val="-5"/>
                <w:sz w:val="24"/>
                <w:szCs w:val="24"/>
              </w:rPr>
              <w:t>售后服务响应及到场时间</w:t>
            </w:r>
            <w:r>
              <w:rPr>
                <w:rFonts w:hint="eastAsia" w:ascii="宋体" w:hAnsi="宋体" w:eastAsia="宋体" w:cs="宋体"/>
                <w:spacing w:val="-5"/>
                <w:sz w:val="24"/>
                <w:szCs w:val="24"/>
                <w:lang w:eastAsia="zh-CN"/>
              </w:rPr>
              <w:t>、</w:t>
            </w:r>
            <w:r>
              <w:rPr>
                <w:rFonts w:ascii="宋体" w:hAnsi="宋体" w:eastAsia="宋体" w:cs="宋体"/>
                <w:spacing w:val="-5"/>
                <w:sz w:val="24"/>
                <w:szCs w:val="24"/>
              </w:rPr>
              <w:t>售后服务方式等内容；</w:t>
            </w:r>
          </w:p>
          <w:p>
            <w:pPr>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0" w:firstLineChars="0"/>
              <w:jc w:val="both"/>
              <w:textAlignment w:val="auto"/>
              <w:outlineLvl w:val="9"/>
              <w:rPr>
                <w:rFonts w:hint="eastAsia" w:ascii="宋体" w:hAnsi="宋体" w:eastAsia="宋体" w:cs="宋体"/>
                <w:spacing w:val="-5"/>
                <w:sz w:val="24"/>
                <w:szCs w:val="24"/>
                <w:lang w:eastAsia="zh-CN"/>
              </w:rPr>
            </w:pPr>
            <w:r>
              <w:rPr>
                <w:rFonts w:ascii="宋体" w:hAnsi="宋体" w:eastAsia="宋体" w:cs="宋体"/>
                <w:spacing w:val="-5"/>
                <w:sz w:val="24"/>
                <w:szCs w:val="24"/>
              </w:rPr>
              <w:t>方案编写充分且条理清晰，具有可实施性、科学性和合理性，技术人员配置合理的得</w:t>
            </w:r>
            <w:r>
              <w:rPr>
                <w:rFonts w:hint="eastAsia" w:ascii="宋体" w:hAnsi="宋体" w:eastAsia="宋体" w:cs="宋体"/>
                <w:spacing w:val="-5"/>
                <w:sz w:val="24"/>
                <w:szCs w:val="24"/>
                <w:lang w:val="en-US" w:eastAsia="zh-CN"/>
              </w:rPr>
              <w:t>10</w:t>
            </w:r>
            <w:r>
              <w:rPr>
                <w:rFonts w:ascii="宋体" w:hAnsi="宋体" w:eastAsia="宋体" w:cs="宋体"/>
                <w:spacing w:val="-5"/>
                <w:sz w:val="24"/>
                <w:szCs w:val="24"/>
              </w:rPr>
              <w:t>分</w:t>
            </w:r>
            <w:r>
              <w:rPr>
                <w:rFonts w:hint="eastAsia" w:ascii="宋体" w:hAnsi="宋体" w:eastAsia="宋体" w:cs="宋体"/>
                <w:spacing w:val="-5"/>
                <w:sz w:val="24"/>
                <w:szCs w:val="24"/>
                <w:lang w:eastAsia="zh-CN"/>
              </w:rPr>
              <w:t>；</w:t>
            </w:r>
          </w:p>
          <w:p>
            <w:pPr>
              <w:pStyle w:val="171"/>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Chars="0" w:right="0" w:rightChars="0" w:firstLine="0" w:firstLineChars="0"/>
              <w:textAlignment w:val="auto"/>
              <w:rPr>
                <w:rFonts w:hint="eastAsia" w:ascii="宋体" w:hAnsi="宋体" w:eastAsia="宋体" w:cs="宋体"/>
                <w:color w:val="auto"/>
                <w:sz w:val="24"/>
                <w:szCs w:val="24"/>
                <w:lang w:val="en-US" w:eastAsia="en-US" w:bidi="ar-SA"/>
              </w:rPr>
            </w:pPr>
            <w:r>
              <w:rPr>
                <w:rFonts w:hint="eastAsia" w:ascii="宋体" w:hAnsi="宋体" w:eastAsia="宋体" w:cs="宋体"/>
                <w:spacing w:val="1"/>
                <w:sz w:val="24"/>
                <w:szCs w:val="24"/>
                <w:lang w:val="en-US" w:eastAsia="zh-CN"/>
              </w:rPr>
              <w:t>不提供或所提供的方案中存在与本项目无关内容（指不切合实际、内容前后不一致、前后逻辑错误、涉及的规范及标准引用错误或已废止、有违法违规内容陈述等）的每有一项扣 2 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FF0000"/>
                <w:sz w:val="24"/>
                <w:szCs w:val="24"/>
              </w:rPr>
            </w:pP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spacing w:val="-5"/>
                <w:sz w:val="24"/>
                <w:szCs w:val="24"/>
                <w:lang w:val="en-US" w:eastAsia="zh-CN"/>
              </w:rPr>
            </w:pPr>
            <w:r>
              <w:rPr>
                <w:rFonts w:ascii="宋体" w:hAnsi="宋体" w:eastAsia="宋体" w:cs="宋体"/>
                <w:spacing w:val="-5"/>
                <w:sz w:val="24"/>
                <w:szCs w:val="24"/>
              </w:rPr>
              <w:t>质量保证措施</w:t>
            </w:r>
            <w:r>
              <w:rPr>
                <w:rFonts w:hint="eastAsia" w:ascii="宋体" w:hAnsi="宋体" w:eastAsia="宋体" w:cs="宋体"/>
                <w:spacing w:val="-5"/>
                <w:sz w:val="24"/>
                <w:szCs w:val="24"/>
                <w:lang w:val="en-US" w:eastAsia="zh-CN"/>
              </w:rPr>
              <w:t>方案（10分）</w:t>
            </w:r>
          </w:p>
        </w:tc>
        <w:tc>
          <w:tcPr>
            <w:tcW w:w="3800"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eastAsia="zh-CN"/>
              </w:rPr>
            </w:pPr>
            <w:r>
              <w:rPr>
                <w:rFonts w:ascii="宋体" w:hAnsi="宋体" w:eastAsia="宋体" w:cs="宋体"/>
                <w:spacing w:val="-5"/>
                <w:sz w:val="24"/>
                <w:szCs w:val="24"/>
              </w:rPr>
              <w:t>投标人针对本项目具有切实可行的质量保证措施、明确详细的包退包换措施等</w:t>
            </w:r>
            <w:r>
              <w:rPr>
                <w:rFonts w:hint="eastAsia" w:ascii="宋体" w:hAnsi="宋体" w:eastAsia="宋体" w:cs="宋体"/>
                <w:spacing w:val="-5"/>
                <w:sz w:val="24"/>
                <w:szCs w:val="24"/>
                <w:lang w:eastAsia="zh-CN"/>
              </w:rPr>
              <w:t>。</w:t>
            </w:r>
            <w:r>
              <w:rPr>
                <w:rFonts w:hint="eastAsia" w:ascii="宋体" w:hAnsi="宋体" w:eastAsia="宋体" w:cs="宋体"/>
                <w:spacing w:val="-5"/>
                <w:sz w:val="24"/>
                <w:szCs w:val="24"/>
                <w:lang w:val="en-US" w:eastAsia="zh-CN"/>
              </w:rPr>
              <w:t>方案</w:t>
            </w:r>
            <w:r>
              <w:rPr>
                <w:rFonts w:ascii="宋体" w:hAnsi="宋体" w:eastAsia="宋体" w:cs="宋体"/>
                <w:spacing w:val="-5"/>
                <w:sz w:val="24"/>
                <w:szCs w:val="24"/>
              </w:rPr>
              <w:t>内容完整、可操作性强得</w:t>
            </w:r>
            <w:r>
              <w:rPr>
                <w:rFonts w:hint="eastAsia" w:ascii="宋体" w:hAnsi="宋体" w:eastAsia="宋体" w:cs="宋体"/>
                <w:spacing w:val="-5"/>
                <w:sz w:val="24"/>
                <w:szCs w:val="24"/>
                <w:lang w:val="en-US" w:eastAsia="zh-CN"/>
              </w:rPr>
              <w:t>10</w:t>
            </w:r>
            <w:r>
              <w:rPr>
                <w:rFonts w:ascii="宋体" w:hAnsi="宋体" w:eastAsia="宋体" w:cs="宋体"/>
                <w:spacing w:val="-5"/>
                <w:sz w:val="24"/>
                <w:szCs w:val="24"/>
              </w:rPr>
              <w:t>分</w:t>
            </w:r>
            <w:r>
              <w:rPr>
                <w:rFonts w:hint="eastAsia" w:ascii="宋体" w:hAnsi="宋体" w:eastAsia="宋体" w:cs="宋体"/>
                <w:spacing w:val="-5"/>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val="en-US" w:eastAsia="en-US"/>
              </w:rPr>
            </w:pPr>
            <w:r>
              <w:rPr>
                <w:rFonts w:hint="eastAsia" w:ascii="宋体" w:hAnsi="宋体" w:eastAsia="宋体" w:cs="宋体"/>
                <w:spacing w:val="-5"/>
                <w:sz w:val="24"/>
                <w:szCs w:val="24"/>
                <w:lang w:val="en-US" w:eastAsia="zh-CN"/>
              </w:rPr>
              <w:t>不提供或所提供的方案中存在与本项目无关内容（指不切合实际、内容前后不一致、前后逻辑错误、涉及的规范及标准引用错误或已废止、有违法违规内容陈述等）的每有一项扣 2 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jc w:val="center"/>
              <w:textAlignment w:val="auto"/>
              <w:rPr>
                <w:rFonts w:hint="eastAsia" w:ascii="宋体" w:hAnsi="宋体" w:eastAsia="宋体" w:cs="宋体"/>
                <w:color w:val="FF0000"/>
                <w:sz w:val="24"/>
                <w:szCs w:val="24"/>
              </w:rPr>
            </w:pP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eastAsia" w:ascii="宋体" w:hAnsi="宋体" w:eastAsia="宋体" w:cs="宋体"/>
                <w:spacing w:val="-5"/>
                <w:sz w:val="24"/>
                <w:szCs w:val="24"/>
                <w:lang w:val="en-US" w:eastAsia="zh-CN"/>
              </w:rPr>
            </w:pPr>
            <w:r>
              <w:rPr>
                <w:rFonts w:hint="default" w:ascii="宋体" w:hAnsi="宋体" w:eastAsia="宋体" w:cs="宋体"/>
                <w:spacing w:val="-5"/>
                <w:sz w:val="24"/>
                <w:szCs w:val="24"/>
                <w:lang w:val="en-US"/>
              </w:rPr>
              <w:t>应急方案</w:t>
            </w:r>
            <w:r>
              <w:rPr>
                <w:rFonts w:hint="eastAsia" w:ascii="宋体" w:hAnsi="宋体" w:eastAsia="宋体" w:cs="宋体"/>
                <w:spacing w:val="-5"/>
                <w:sz w:val="24"/>
                <w:szCs w:val="24"/>
                <w:lang w:val="en-US" w:eastAsia="zh-CN"/>
              </w:rPr>
              <w:t>（5分）</w:t>
            </w:r>
          </w:p>
        </w:tc>
        <w:tc>
          <w:tcPr>
            <w:tcW w:w="3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投标产品选型合理，有合理的应急情况处理方案，货物储藏量充足且应急方案符合本次招标要求。应急方案的科学性、合理性、可操作性进行综合评价：</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（1）应急方案详细完善与项目匹配度高，得5分，</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（2）应急方案有缺项与项目匹配度低的得2分，</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0" w:firstLineChars="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（3）没有应急方案不得分。（满分5分）；</w:t>
            </w:r>
          </w:p>
        </w:tc>
      </w:tr>
    </w:tbl>
    <w:p>
      <w:pPr>
        <w:adjustRightInd/>
        <w:snapToGrid/>
        <w:spacing w:after="0" w:line="360" w:lineRule="auto"/>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5.3.3变更采购方式后采用的评标方法：略。</w:t>
      </w:r>
    </w:p>
    <w:p>
      <w:pPr>
        <w:outlineLvl w:val="9"/>
        <w:rPr>
          <w:rFonts w:ascii="宋体" w:hAnsi="宋体" w:eastAsia="宋体" w:cs="宋体"/>
          <w:b/>
          <w:bCs/>
          <w:sz w:val="24"/>
          <w:szCs w:val="24"/>
          <w:lang w:val="zh-CN"/>
        </w:rPr>
      </w:pPr>
      <w:bookmarkStart w:id="88" w:name="_Toc3381"/>
      <w:bookmarkStart w:id="89" w:name="_Toc3732"/>
      <w:bookmarkStart w:id="90" w:name="_Toc30704"/>
      <w:bookmarkStart w:id="91" w:name="_Toc16913"/>
      <w:bookmarkStart w:id="92" w:name="_Toc4373"/>
      <w:r>
        <w:rPr>
          <w:rFonts w:hint="eastAsia" w:ascii="宋体" w:hAnsi="宋体" w:eastAsia="宋体" w:cs="宋体"/>
          <w:b/>
          <w:bCs/>
          <w:sz w:val="24"/>
          <w:szCs w:val="24"/>
          <w:lang w:val="zh-CN"/>
        </w:rPr>
        <w:t>5.4 采购人或者采购代理机构负责组织评标工作，并履行下列职责：</w:t>
      </w:r>
      <w:bookmarkEnd w:id="88"/>
      <w:bookmarkEnd w:id="89"/>
      <w:bookmarkEnd w:id="90"/>
      <w:bookmarkEnd w:id="91"/>
      <w:bookmarkEnd w:id="92"/>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1）核对评审专家身份和采购人代表授权函，对评审专家在政府采购活动中的职责履行情况予以记录，并及时将有关违法违规行为向财政部门报告；</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2）宣布评标纪律；</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3）公布投标人名单，告知评审专家应当回避的情形；</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4) 组织评标委员会推选评标组长，采购人代表不得担任组长；</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5）在评标期间采取必要的通讯管理措施，保证评标活动不受外界干扰；</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6）根据评标委员会的要求介绍政府采购相关政策法规、招标文件；</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7）维护评标秩序，监督评标委员会依照招标文件规定的评标程序、方法和标准进行独立评审，及时制止和纠正采购人代表、评审专家的倾向性言论或者违法违规行为；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8）核对评标结果，有本章节5.6规定情形的，要求评标委员会复核或者书面说明理由，评标委员会拒绝的，应予记录并向本级财政部门报告；</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9）评审工作完成后，按照规定向评审专家支付劳务报酬和异地评审差旅费，不得向评审专家以外的其他人员支付评审劳务报酬；</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10）处理与评标有关的其他事项。</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lang w:val="zh-CN"/>
        </w:rPr>
      </w:pPr>
      <w:r>
        <w:rPr>
          <w:rFonts w:hint="eastAsia" w:ascii="宋体" w:hAnsi="宋体" w:eastAsia="宋体" w:cs="宋体"/>
          <w:kern w:val="2"/>
          <w:sz w:val="24"/>
          <w:szCs w:val="24"/>
          <w:lang w:val="zh-CN"/>
        </w:rPr>
        <w:t>采购人可以在评标前说明项目背景和采购需求，说明内容不得含有歧视性、倾向性意见，不得超出招标文件所属范围。说明应提交书面材料，并随采购文件一并存档。</w:t>
      </w:r>
    </w:p>
    <w:p>
      <w:pPr>
        <w:outlineLvl w:val="9"/>
        <w:rPr>
          <w:rFonts w:ascii="宋体" w:hAnsi="宋体" w:eastAsia="宋体" w:cs="宋体"/>
          <w:b/>
          <w:bCs/>
          <w:sz w:val="24"/>
          <w:szCs w:val="24"/>
          <w:lang w:val="zh-CN"/>
        </w:rPr>
      </w:pPr>
      <w:bookmarkStart w:id="93" w:name="_Toc27005"/>
      <w:bookmarkStart w:id="94" w:name="_Toc15791"/>
      <w:bookmarkStart w:id="95" w:name="_Toc24756"/>
      <w:bookmarkStart w:id="96" w:name="_Toc15750"/>
      <w:bookmarkStart w:id="97" w:name="_Toc23918"/>
      <w:r>
        <w:rPr>
          <w:rFonts w:hint="eastAsia" w:ascii="宋体" w:hAnsi="宋体" w:eastAsia="宋体" w:cs="宋体"/>
          <w:b/>
          <w:bCs/>
          <w:sz w:val="24"/>
          <w:szCs w:val="24"/>
          <w:lang w:val="zh-CN"/>
        </w:rPr>
        <w:t>5.5 评标委员会的职责及中标供应商的确定</w:t>
      </w:r>
      <w:bookmarkEnd w:id="93"/>
      <w:bookmarkEnd w:id="94"/>
      <w:bookmarkEnd w:id="95"/>
      <w:bookmarkEnd w:id="96"/>
      <w:bookmarkEnd w:id="97"/>
    </w:p>
    <w:p>
      <w:pPr>
        <w:adjustRightInd/>
        <w:snapToGrid/>
        <w:spacing w:after="0" w:line="360" w:lineRule="auto"/>
        <w:ind w:firstLine="236" w:firstLineChars="98"/>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5.5.1 评标委员会的职责</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1）审查、评价投标文件是否符合招标文件的商务、技术等实质性要求；</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2）要求投标人对投标文件有关事项做出澄清或者说明；</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3）对投标文件进行比较和评价；</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4）确定中标候选人名单，以及根据采购人委托直接确定中标人；</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5）向采购人、采购代理机构或者有关部门报告评标中发现的违法行为。</w:t>
      </w:r>
    </w:p>
    <w:p>
      <w:pPr>
        <w:adjustRightInd/>
        <w:snapToGrid/>
        <w:spacing w:after="0" w:line="360" w:lineRule="auto"/>
        <w:ind w:firstLine="236" w:firstLineChars="98"/>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5.5.2 中标供应商的确定</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根据《中华人民共和国财政部令》第87号第六十八条之规定，招标人依法享有经授权的中标供应商确定权。</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拟中标供应商确定后，在公告中标结果的同时，招标人向中标供应商发出中标通知书；对未通过资格审查的投标人，应当告知其未通过的原因；采用综合评分法评审的，还应告知未中标人本人的评审得分与排序。</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中标通知书发出后，采购人不得违法改变中标结果，中标人无正当理由不得放弃中标。</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采购人应当自中标通知书发出之日起</w:t>
      </w:r>
      <w:r>
        <w:rPr>
          <w:rFonts w:hint="eastAsia" w:ascii="宋体" w:hAnsi="宋体" w:eastAsia="宋体" w:cs="宋体"/>
          <w:kern w:val="2"/>
          <w:sz w:val="24"/>
          <w:szCs w:val="24"/>
          <w:lang w:val="en-US" w:eastAsia="zh-CN"/>
        </w:rPr>
        <w:t>3</w:t>
      </w:r>
      <w:r>
        <w:rPr>
          <w:rFonts w:hint="eastAsia" w:ascii="宋体" w:hAnsi="宋体" w:eastAsia="宋体" w:cs="宋体"/>
          <w:kern w:val="2"/>
          <w:sz w:val="24"/>
          <w:szCs w:val="24"/>
        </w:rPr>
        <w:t>0日内，按照招标文件和中标人投标文件的规定，与中标人签订书面合同。所签订的合同不得对招标文件确定的事项和中标人投标文件作实质性修改。</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评标委员会完成评标后，提出书面评标报告。评标报告是评标委员会根据全体评标成员签字的原始评标记录和评标结果编写的报告，主要内容包括：</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1）招标公告刊登的媒体名称、开标日期和地点；</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2）投标人名单和评标委员会成员名单；</w:t>
      </w:r>
    </w:p>
    <w:p>
      <w:pPr>
        <w:tabs>
          <w:tab w:val="left" w:pos="6885"/>
        </w:tabs>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3）评标方法和标准；</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4）开标记录和评标情况及说明，包括投标无效投标人名单及原因；</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5）评标结果，确定的中标候选人名单或者经采购人委托直接确定的中标人；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6）其他需要说明的情况，包括评标过程中投标人根据评标委员会要求进行的澄清、说明或者补正，评标委员会成员的更换等。</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记录在案。</w:t>
      </w:r>
    </w:p>
    <w:p>
      <w:pPr>
        <w:outlineLvl w:val="9"/>
        <w:rPr>
          <w:rFonts w:ascii="宋体" w:hAnsi="宋体" w:eastAsia="宋体" w:cs="宋体"/>
          <w:b/>
          <w:bCs/>
          <w:sz w:val="24"/>
          <w:szCs w:val="24"/>
          <w:lang w:val="zh-CN"/>
        </w:rPr>
      </w:pPr>
      <w:bookmarkStart w:id="98" w:name="_Toc10124"/>
      <w:bookmarkStart w:id="99" w:name="_Toc26091"/>
      <w:bookmarkStart w:id="100" w:name="_Toc13958"/>
      <w:bookmarkStart w:id="101" w:name="_Toc4895"/>
      <w:bookmarkStart w:id="102" w:name="_Toc14291"/>
      <w:r>
        <w:rPr>
          <w:rFonts w:hint="eastAsia" w:ascii="宋体" w:hAnsi="宋体" w:eastAsia="宋体" w:cs="宋体"/>
          <w:b/>
          <w:bCs/>
          <w:sz w:val="24"/>
          <w:szCs w:val="24"/>
          <w:lang w:val="zh-CN"/>
        </w:rPr>
        <w:t>5.6 评标结果汇总完成后，除下列情形外，任何人不得修改评标结果：</w:t>
      </w:r>
      <w:bookmarkEnd w:id="98"/>
      <w:bookmarkEnd w:id="99"/>
      <w:bookmarkEnd w:id="100"/>
      <w:bookmarkEnd w:id="101"/>
      <w:bookmarkEnd w:id="102"/>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1）分值汇总计算错误的；</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2）分项评分超出评分标准范围的；</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3）评标委员会成员对客观评审因素评分不一致的；</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4）经评标委员会认定评分畸高、畸低的。</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snapToGrid/>
        <w:spacing w:after="0" w:line="360" w:lineRule="auto"/>
        <w:ind w:firstLine="46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投标人对本条1） 情形提出质疑的，采购人或者采购代理机构可以组织原评标委员会进行重新评审，重新评审改变评标结果的，应当书面报告本级财政部门。</w:t>
      </w:r>
    </w:p>
    <w:p>
      <w:pPr>
        <w:outlineLvl w:val="9"/>
        <w:rPr>
          <w:rFonts w:ascii="宋体" w:hAnsi="宋体" w:eastAsia="宋体" w:cs="宋体"/>
          <w:b/>
          <w:bCs/>
          <w:sz w:val="24"/>
          <w:szCs w:val="24"/>
          <w:lang w:val="zh-CN"/>
        </w:rPr>
      </w:pPr>
      <w:bookmarkStart w:id="103" w:name="_Toc8757"/>
      <w:bookmarkStart w:id="104" w:name="_Toc28599"/>
      <w:bookmarkStart w:id="105" w:name="_Toc6191"/>
      <w:bookmarkStart w:id="106" w:name="_Toc14166"/>
      <w:bookmarkStart w:id="107" w:name="_Toc20973"/>
      <w:r>
        <w:rPr>
          <w:rFonts w:hint="eastAsia" w:ascii="宋体" w:hAnsi="宋体" w:eastAsia="宋体" w:cs="宋体"/>
          <w:b/>
          <w:bCs/>
          <w:sz w:val="24"/>
          <w:szCs w:val="24"/>
          <w:lang w:val="zh-CN"/>
        </w:rPr>
        <w:t>5.7 评标委员会及其成员不得有下列行为</w:t>
      </w:r>
      <w:bookmarkEnd w:id="103"/>
      <w:bookmarkEnd w:id="104"/>
      <w:bookmarkEnd w:id="105"/>
      <w:bookmarkEnd w:id="106"/>
      <w:bookmarkEnd w:id="107"/>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1）确定参与评标至评标结束前私自接触投标人；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2）接受投标人提出的与投标文件不一致的澄清或者说明，《中华人民共和国财政部令》第87号第五十一条规定的情形除外；</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3）违反评标纪律发表倾向性意见或者征询采购人的倾向性意见；</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4）对需要专业判断的主观评审因素协商评分；</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5)在评标过程中擅离职守，影响评标程序正常进行的；</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6）记录、复制或者带走任何评标资料；</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7）其他不遵守评标纪律的行为。</w:t>
      </w:r>
    </w:p>
    <w:p>
      <w:pPr>
        <w:outlineLvl w:val="9"/>
        <w:rPr>
          <w:rFonts w:ascii="宋体" w:hAnsi="宋体" w:eastAsia="宋体" w:cs="宋体"/>
          <w:b/>
          <w:bCs/>
          <w:sz w:val="24"/>
          <w:szCs w:val="24"/>
          <w:lang w:val="zh-CN"/>
        </w:rPr>
      </w:pPr>
      <w:bookmarkStart w:id="108" w:name="_Toc18185"/>
      <w:bookmarkStart w:id="109" w:name="_Toc20325"/>
      <w:bookmarkStart w:id="110" w:name="_Toc2280"/>
      <w:bookmarkStart w:id="111" w:name="_Toc8885"/>
      <w:bookmarkStart w:id="112" w:name="_Toc27306"/>
      <w:r>
        <w:rPr>
          <w:rFonts w:hint="eastAsia" w:ascii="宋体" w:hAnsi="宋体" w:eastAsia="宋体" w:cs="宋体"/>
          <w:b/>
          <w:bCs/>
          <w:sz w:val="24"/>
          <w:szCs w:val="24"/>
          <w:lang w:val="zh-CN"/>
        </w:rPr>
        <w:t>5.8 投标人的严重违法行为</w:t>
      </w:r>
      <w:bookmarkEnd w:id="108"/>
      <w:bookmarkEnd w:id="109"/>
      <w:bookmarkEnd w:id="110"/>
      <w:bookmarkEnd w:id="111"/>
      <w:bookmarkEnd w:id="112"/>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1）提供回扣或其他商业贿赂，进行非法促销活动；</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2）以低于成本的价格投标报价，扰乱市场秩序；</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3）相互串通投标，排斥其他投标人的公平竞争，损害采购人或者其他投标人的合法利益；</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4）以向采购人、招标代理机构或者评标专家行贿的手段牟取中标；</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5）提供虚假证明文件，或者以其他方式弄虚作假，骗取中标；</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6）在投标有效期内撤回其投标，中标人在规定期限内不签订合同或者不履行合同义务、不按时缴纳中标服务费；</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7）对招标采购造成严重不良影响的恶意报价行为或者其他行为；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8）其他违反法律法规的行为。</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5.8.1采购人确认中标人在本招标活动中有严重违法行为，有权宣布其中标无效。</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5.8.2采购人在中标后和履行合同的任何时候确认投标人在投标和履约过程中有严重违法行为，有权宣布其中标无效并提请有关监督管理部门查处，并对情节严重者在两年内拒绝接受其投标。</w:t>
      </w:r>
    </w:p>
    <w:p>
      <w:pPr>
        <w:outlineLvl w:val="9"/>
        <w:rPr>
          <w:rFonts w:ascii="宋体" w:hAnsi="宋体" w:eastAsia="宋体" w:cs="宋体"/>
          <w:b/>
          <w:bCs/>
          <w:sz w:val="24"/>
          <w:szCs w:val="24"/>
          <w:lang w:val="zh-CN"/>
        </w:rPr>
      </w:pPr>
      <w:bookmarkStart w:id="113" w:name="_Toc9519"/>
      <w:bookmarkStart w:id="114" w:name="_Toc3749"/>
      <w:bookmarkStart w:id="115" w:name="_Toc618"/>
      <w:bookmarkStart w:id="116" w:name="_Toc493"/>
      <w:bookmarkStart w:id="117" w:name="_Toc666"/>
      <w:r>
        <w:rPr>
          <w:rFonts w:hint="eastAsia" w:ascii="宋体" w:hAnsi="宋体" w:eastAsia="宋体" w:cs="宋体"/>
          <w:b/>
          <w:bCs/>
          <w:sz w:val="24"/>
          <w:szCs w:val="24"/>
          <w:lang w:val="zh-CN"/>
        </w:rPr>
        <w:t>5.9 废标</w:t>
      </w:r>
      <w:bookmarkEnd w:id="113"/>
      <w:bookmarkEnd w:id="114"/>
      <w:bookmarkEnd w:id="115"/>
      <w:bookmarkEnd w:id="116"/>
      <w:bookmarkEnd w:id="117"/>
    </w:p>
    <w:p>
      <w:pPr>
        <w:adjustRightInd/>
        <w:snapToGrid/>
        <w:spacing w:after="0" w:line="360" w:lineRule="auto"/>
        <w:ind w:left="376" w:leftChars="171" w:firstLine="120" w:firstLineChars="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在招标采购中，出现下列情形之一的，应予废标：</w:t>
      </w:r>
    </w:p>
    <w:p>
      <w:pPr>
        <w:adjustRightInd/>
        <w:snapToGrid/>
        <w:spacing w:after="0" w:line="360" w:lineRule="auto"/>
        <w:ind w:firstLine="568" w:firstLineChars="237"/>
        <w:jc w:val="both"/>
        <w:textAlignment w:val="baseline"/>
        <w:outlineLvl w:val="9"/>
        <w:rPr>
          <w:rFonts w:ascii="宋体" w:hAnsi="宋体" w:eastAsia="宋体" w:cs="宋体"/>
          <w:kern w:val="2"/>
          <w:sz w:val="24"/>
          <w:szCs w:val="24"/>
          <w:u w:val="double"/>
        </w:rPr>
      </w:pPr>
      <w:r>
        <w:rPr>
          <w:rFonts w:hint="eastAsia" w:ascii="宋体" w:hAnsi="宋体" w:eastAsia="宋体" w:cs="宋体"/>
          <w:kern w:val="2"/>
          <w:sz w:val="24"/>
          <w:szCs w:val="24"/>
        </w:rPr>
        <w:t>1）符合专业条件的供应商或者对招标文件作实质响应的供应商不足三家的（经同级政府采购监管部门审核批准的除外）；</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2）出现影响采购公正的违法、违规行为的；</w:t>
      </w:r>
    </w:p>
    <w:p>
      <w:pPr>
        <w:adjustRightInd/>
        <w:snapToGrid/>
        <w:spacing w:after="0" w:line="360" w:lineRule="auto"/>
        <w:ind w:left="502" w:leftChars="22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3）投标人的报价均超过了采购预算，采购人不能支付的；</w:t>
      </w:r>
    </w:p>
    <w:p>
      <w:pPr>
        <w:adjustRightInd/>
        <w:snapToGrid/>
        <w:spacing w:after="0" w:line="360" w:lineRule="auto"/>
        <w:ind w:left="502" w:leftChars="228"/>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4）因重大变故，采购任务取消的。</w:t>
      </w:r>
    </w:p>
    <w:p>
      <w:pPr>
        <w:outlineLvl w:val="9"/>
        <w:rPr>
          <w:rFonts w:ascii="宋体" w:hAnsi="宋体" w:eastAsia="宋体" w:cs="宋体"/>
          <w:b/>
          <w:bCs/>
          <w:sz w:val="24"/>
          <w:szCs w:val="24"/>
          <w:lang w:val="zh-CN"/>
        </w:rPr>
      </w:pPr>
      <w:bookmarkStart w:id="118" w:name="_Toc30192"/>
      <w:bookmarkStart w:id="119" w:name="_Toc11233"/>
      <w:bookmarkStart w:id="120" w:name="_Toc7977"/>
      <w:bookmarkStart w:id="121" w:name="_Toc17325"/>
      <w:bookmarkStart w:id="122" w:name="_Toc27399"/>
      <w:r>
        <w:rPr>
          <w:rFonts w:hint="eastAsia" w:ascii="宋体" w:hAnsi="宋体" w:eastAsia="宋体" w:cs="宋体"/>
          <w:b/>
          <w:bCs/>
          <w:sz w:val="24"/>
          <w:szCs w:val="24"/>
          <w:lang w:val="zh-CN"/>
        </w:rPr>
        <w:t>5.10 无效投标</w:t>
      </w:r>
      <w:bookmarkEnd w:id="118"/>
      <w:bookmarkEnd w:id="119"/>
      <w:bookmarkEnd w:id="120"/>
      <w:bookmarkEnd w:id="121"/>
      <w:bookmarkEnd w:id="122"/>
    </w:p>
    <w:p>
      <w:pPr>
        <w:tabs>
          <w:tab w:val="left" w:pos="-540"/>
        </w:tabs>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投标文件属下列情况之一的, 应在资格审查、符合性审查时按照无效投标处理:</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1）投标人法定代表人或授权代理人未参加开标会议的；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2）投标人未按要求交纳投标保证金或金额不足的、未按要求提交本项目投标保证金收据复印件证明文件的；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3) 投标文件未按规定编制、标注； </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 超出投标商经营范围投标的；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5）投标文件无投标人公章和法人或者法人授权代理人的印章或签字的；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6）投标函、法人授权函、投标报价表及投标货物偏离表未按规定格式填报的；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7）投标人未能提供法人授权函等证明文件和资料的，或提供的证件不全或无效；</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8) 投标文件未按照招标文件规定的格式填写、填写的内容不全、字迹模糊辨认不清产生歧义、涂改处未加盖投标人公章及法人或法人授权的代理人的印章或签字的；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9） 投标文件中每包以两个及两个以上的方案进行投标的（招标文件另有规定的除外）；</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10）投标文件未能对招标文件提出的要求和条件做出实质性响应的；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11）投标文件未能反映所投产品生产厂家、品牌、型号、规格；</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12）投标人资格条件不符合国家有关规定和招标文件要求的，或者拒不按照要求对投标文件进行澄清、说明或者补正的；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13）投标文件含有采购人不能接受的附加条件的；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15）投标有效期不足60天的；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16）在评标过程中，如果投标人试图在投标审查、澄清、比较及授予合同方面向招标人施加任何影响的；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17）投标人以他人名义投标、串通投标、以行贿手段谋取中标或者以弄虚作假等方式投标的；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18）报价超过招标文件中规定的预算金额或者最高限价的；</w:t>
      </w:r>
    </w:p>
    <w:p>
      <w:pPr>
        <w:tabs>
          <w:tab w:val="left" w:pos="-540"/>
        </w:tabs>
        <w:adjustRightInd/>
        <w:snapToGrid/>
        <w:spacing w:after="0" w:line="360" w:lineRule="auto"/>
        <w:ind w:firstLine="360" w:firstLineChars="150"/>
        <w:jc w:val="both"/>
        <w:textAlignment w:val="baseline"/>
        <w:outlineLvl w:val="9"/>
        <w:rPr>
          <w:rFonts w:ascii="宋体" w:hAnsi="宋体" w:eastAsia="宋体" w:cs="宋体"/>
          <w:sz w:val="24"/>
          <w:szCs w:val="24"/>
        </w:rPr>
        <w:sectPr>
          <w:footerReference r:id="rId9" w:type="default"/>
          <w:pgSz w:w="11906" w:h="16838"/>
          <w:pgMar w:top="1440" w:right="1800" w:bottom="1440" w:left="1800" w:header="850" w:footer="850" w:gutter="0"/>
          <w:pgNumType w:fmt="decimal"/>
          <w:cols w:space="720" w:num="1"/>
          <w:docGrid w:type="lines" w:linePitch="312" w:charSpace="0"/>
        </w:sectPr>
      </w:pPr>
      <w:r>
        <w:rPr>
          <w:rFonts w:hint="eastAsia" w:ascii="宋体" w:hAnsi="宋体" w:eastAsia="宋体" w:cs="宋体"/>
          <w:kern w:val="2"/>
          <w:sz w:val="24"/>
          <w:szCs w:val="24"/>
        </w:rPr>
        <w:t>19）法律、法规和招标文件规定的其他无效情形。</w:t>
      </w:r>
    </w:p>
    <w:p>
      <w:pPr>
        <w:jc w:val="center"/>
        <w:outlineLvl w:val="0"/>
        <w:rPr>
          <w:rFonts w:hint="eastAsia" w:ascii="宋体" w:hAnsi="宋体" w:eastAsia="宋体" w:cs="Times New Roman"/>
          <w:b/>
          <w:bCs/>
          <w:kern w:val="44"/>
          <w:sz w:val="30"/>
          <w:lang w:eastAsia="zh-CN"/>
        </w:rPr>
      </w:pPr>
      <w:bookmarkStart w:id="123" w:name="_Toc30449"/>
      <w:bookmarkStart w:id="124" w:name="_Toc5594"/>
      <w:bookmarkStart w:id="125" w:name="_Toc24154"/>
      <w:r>
        <w:rPr>
          <w:rFonts w:hint="eastAsia" w:ascii="宋体" w:hAnsi="宋体" w:eastAsia="宋体" w:cs="Times New Roman"/>
          <w:b/>
          <w:bCs/>
          <w:kern w:val="44"/>
          <w:sz w:val="30"/>
        </w:rPr>
        <w:t>第六章</w:t>
      </w:r>
      <w:bookmarkEnd w:id="123"/>
      <w:r>
        <w:rPr>
          <w:rFonts w:hint="eastAsia" w:ascii="宋体" w:hAnsi="宋体" w:eastAsia="宋体" w:cs="Times New Roman"/>
          <w:b/>
          <w:bCs/>
          <w:kern w:val="44"/>
          <w:sz w:val="30"/>
        </w:rPr>
        <w:t>、</w:t>
      </w:r>
      <w:bookmarkStart w:id="126" w:name="_Toc25386"/>
      <w:r>
        <w:rPr>
          <w:rFonts w:hint="eastAsia" w:ascii="宋体" w:hAnsi="宋体" w:eastAsia="宋体" w:cs="Times New Roman"/>
          <w:b/>
          <w:bCs/>
          <w:kern w:val="44"/>
          <w:sz w:val="30"/>
        </w:rPr>
        <w:t>合同条款及格式</w:t>
      </w:r>
      <w:bookmarkEnd w:id="124"/>
      <w:bookmarkEnd w:id="125"/>
      <w:bookmarkEnd w:id="126"/>
      <w:r>
        <w:rPr>
          <w:rFonts w:hint="eastAsia" w:ascii="宋体" w:hAnsi="宋体" w:eastAsia="宋体" w:cs="Times New Roman"/>
          <w:b/>
          <w:bCs/>
          <w:kern w:val="44"/>
          <w:sz w:val="30"/>
          <w:lang w:eastAsia="zh-CN"/>
        </w:rPr>
        <w:t>（参考）</w:t>
      </w:r>
    </w:p>
    <w:p>
      <w:pPr>
        <w:pStyle w:val="13"/>
        <w:outlineLvl w:val="9"/>
        <w:rPr>
          <w:rStyle w:val="34"/>
          <w:rFonts w:ascii="宋体" w:hAnsi="宋体"/>
          <w:b/>
          <w:sz w:val="32"/>
          <w:szCs w:val="32"/>
        </w:rPr>
      </w:pPr>
    </w:p>
    <w:p>
      <w:pPr>
        <w:framePr w:wrap="around" w:vAnchor="margin" w:hAnchor="text" w:y="1"/>
        <w:spacing w:before="312" w:after="312"/>
        <w:outlineLvl w:val="9"/>
        <w:rPr>
          <w:rStyle w:val="34"/>
          <w:rFonts w:ascii="宋体" w:hAnsi="宋体" w:eastAsia="宋体"/>
        </w:rPr>
      </w:pPr>
    </w:p>
    <w:p>
      <w:pPr>
        <w:spacing w:line="252" w:lineRule="auto"/>
        <w:jc w:val="center"/>
        <w:outlineLvl w:val="9"/>
        <w:rPr>
          <w:rFonts w:ascii="宋体" w:hAnsi="宋体" w:eastAsia="宋体"/>
        </w:rPr>
      </w:pPr>
      <w:r>
        <w:rPr>
          <w:rFonts w:hint="eastAsia" w:ascii="宋体" w:hAnsi="宋体" w:eastAsia="宋体" w:cs="宋体"/>
          <w:sz w:val="36"/>
          <w:szCs w:val="36"/>
          <w:lang w:eastAsia="zh-CN"/>
        </w:rPr>
        <w:t>陇南市武都区2024年核桃示范园建设项目</w:t>
      </w:r>
    </w:p>
    <w:p>
      <w:pPr>
        <w:spacing w:line="252" w:lineRule="auto"/>
        <w:outlineLvl w:val="9"/>
        <w:rPr>
          <w:rFonts w:ascii="宋体" w:hAnsi="宋体" w:eastAsia="宋体"/>
        </w:rPr>
      </w:pPr>
    </w:p>
    <w:p>
      <w:pPr>
        <w:spacing w:line="252" w:lineRule="auto"/>
        <w:outlineLvl w:val="9"/>
        <w:rPr>
          <w:rFonts w:ascii="宋体" w:hAnsi="宋体" w:eastAsia="宋体"/>
        </w:rPr>
      </w:pPr>
    </w:p>
    <w:p>
      <w:pPr>
        <w:spacing w:line="252" w:lineRule="auto"/>
        <w:outlineLvl w:val="9"/>
        <w:rPr>
          <w:rFonts w:ascii="宋体" w:hAnsi="宋体" w:eastAsia="宋体"/>
        </w:rPr>
      </w:pPr>
    </w:p>
    <w:p>
      <w:pPr>
        <w:spacing w:line="253" w:lineRule="auto"/>
        <w:outlineLvl w:val="9"/>
        <w:rPr>
          <w:rFonts w:ascii="宋体" w:hAnsi="宋体" w:eastAsia="宋体"/>
        </w:rPr>
      </w:pPr>
    </w:p>
    <w:p>
      <w:pPr>
        <w:jc w:val="center"/>
        <w:outlineLvl w:val="9"/>
        <w:rPr>
          <w:rFonts w:ascii="宋体" w:hAnsi="宋体" w:eastAsia="宋体" w:cs="宋体"/>
          <w:sz w:val="48"/>
          <w:szCs w:val="48"/>
        </w:rPr>
      </w:pPr>
      <w:r>
        <w:rPr>
          <w:rFonts w:hint="eastAsia" w:ascii="宋体" w:hAnsi="宋体" w:eastAsia="宋体" w:cs="宋体"/>
          <w:sz w:val="48"/>
          <w:szCs w:val="48"/>
        </w:rPr>
        <w:t>政府采购合同</w:t>
      </w:r>
    </w:p>
    <w:p>
      <w:pPr>
        <w:spacing w:line="254" w:lineRule="auto"/>
        <w:outlineLvl w:val="9"/>
        <w:rPr>
          <w:rFonts w:ascii="宋体" w:hAnsi="宋体" w:eastAsia="宋体"/>
        </w:rPr>
      </w:pPr>
    </w:p>
    <w:p>
      <w:pPr>
        <w:spacing w:line="254" w:lineRule="auto"/>
        <w:outlineLvl w:val="9"/>
        <w:rPr>
          <w:rFonts w:ascii="宋体" w:hAnsi="宋体" w:eastAsia="宋体"/>
        </w:rPr>
      </w:pPr>
    </w:p>
    <w:p>
      <w:pPr>
        <w:spacing w:line="254" w:lineRule="auto"/>
        <w:outlineLvl w:val="9"/>
        <w:rPr>
          <w:rFonts w:ascii="宋体" w:hAnsi="宋体" w:eastAsia="宋体"/>
        </w:rPr>
      </w:pPr>
    </w:p>
    <w:p>
      <w:pPr>
        <w:spacing w:line="254" w:lineRule="auto"/>
        <w:outlineLvl w:val="9"/>
        <w:rPr>
          <w:rFonts w:ascii="宋体" w:hAnsi="宋体" w:eastAsia="宋体"/>
        </w:rPr>
      </w:pPr>
    </w:p>
    <w:p>
      <w:pPr>
        <w:spacing w:line="254" w:lineRule="auto"/>
        <w:outlineLvl w:val="9"/>
        <w:rPr>
          <w:rFonts w:ascii="宋体" w:hAnsi="宋体" w:eastAsia="宋体"/>
        </w:rPr>
      </w:pPr>
    </w:p>
    <w:p>
      <w:pPr>
        <w:spacing w:line="254" w:lineRule="auto"/>
        <w:outlineLvl w:val="9"/>
        <w:rPr>
          <w:rFonts w:ascii="宋体" w:hAnsi="宋体" w:eastAsia="宋体"/>
        </w:rPr>
      </w:pPr>
    </w:p>
    <w:p>
      <w:pPr>
        <w:spacing w:line="255" w:lineRule="auto"/>
        <w:outlineLvl w:val="9"/>
        <w:rPr>
          <w:rFonts w:ascii="宋体" w:hAnsi="宋体" w:eastAsia="宋体"/>
        </w:rPr>
      </w:pPr>
    </w:p>
    <w:p>
      <w:pPr>
        <w:spacing w:line="255" w:lineRule="auto"/>
        <w:outlineLvl w:val="9"/>
        <w:rPr>
          <w:rFonts w:ascii="宋体" w:hAnsi="宋体" w:eastAsia="宋体"/>
        </w:rPr>
      </w:pPr>
    </w:p>
    <w:p>
      <w:pPr>
        <w:ind w:firstLine="560" w:firstLineChars="200"/>
        <w:outlineLvl w:val="9"/>
        <w:rPr>
          <w:rFonts w:ascii="宋体" w:hAnsi="宋体" w:eastAsia="宋体" w:cs="宋体"/>
          <w:sz w:val="28"/>
          <w:szCs w:val="28"/>
        </w:rPr>
      </w:pPr>
      <w:r>
        <w:rPr>
          <w:rFonts w:hint="eastAsia" w:ascii="宋体" w:hAnsi="宋体" w:eastAsia="宋体" w:cs="宋体"/>
          <w:sz w:val="28"/>
          <w:szCs w:val="28"/>
          <w:lang w:val="en-US" w:eastAsia="zh-CN"/>
        </w:rPr>
        <w:t>项目</w:t>
      </w:r>
      <w:r>
        <w:rPr>
          <w:rFonts w:hint="eastAsia" w:ascii="宋体" w:hAnsi="宋体" w:eastAsia="宋体" w:cs="宋体"/>
          <w:sz w:val="28"/>
          <w:szCs w:val="28"/>
        </w:rPr>
        <w:t>编号：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ind w:firstLine="560" w:firstLineChars="200"/>
        <w:outlineLvl w:val="9"/>
        <w:rPr>
          <w:rFonts w:ascii="宋体" w:hAnsi="宋体" w:eastAsia="宋体" w:cs="宋体"/>
          <w:sz w:val="28"/>
          <w:szCs w:val="28"/>
        </w:rPr>
      </w:pPr>
      <w:r>
        <w:rPr>
          <w:rFonts w:hint="eastAsia" w:ascii="宋体" w:hAnsi="宋体" w:eastAsia="宋体" w:cs="宋体"/>
          <w:sz w:val="28"/>
          <w:szCs w:val="28"/>
        </w:rPr>
        <w:t xml:space="preserve">合同编号：                                         </w:t>
      </w:r>
    </w:p>
    <w:p>
      <w:pPr>
        <w:ind w:firstLine="560" w:firstLineChars="200"/>
        <w:outlineLvl w:val="9"/>
        <w:rPr>
          <w:rFonts w:hint="eastAsia" w:ascii="宋体" w:hAnsi="宋体" w:eastAsia="宋体" w:cs="宋体"/>
          <w:sz w:val="28"/>
          <w:szCs w:val="28"/>
          <w:u w:val="single"/>
          <w:lang w:eastAsia="zh-CN"/>
        </w:rPr>
      </w:pPr>
      <w:r>
        <w:rPr>
          <w:rFonts w:hint="eastAsia" w:ascii="宋体" w:hAnsi="宋体" w:eastAsia="宋体" w:cs="宋体"/>
          <w:sz w:val="28"/>
          <w:szCs w:val="28"/>
        </w:rPr>
        <w:t xml:space="preserve">采购单位： </w:t>
      </w:r>
      <w:r>
        <w:rPr>
          <w:rFonts w:hint="eastAsia" w:ascii="宋体" w:hAnsi="宋体" w:eastAsia="宋体" w:cs="宋体"/>
          <w:sz w:val="28"/>
          <w:szCs w:val="28"/>
          <w:u w:val="single"/>
          <w:lang w:eastAsia="zh-CN"/>
        </w:rPr>
        <w:t>陇南市武都区核桃产业开发中心</w:t>
      </w:r>
    </w:p>
    <w:p>
      <w:pPr>
        <w:ind w:firstLine="560" w:firstLineChars="200"/>
        <w:outlineLvl w:val="9"/>
        <w:rPr>
          <w:rFonts w:ascii="宋体" w:hAnsi="宋体" w:eastAsia="宋体" w:cs="宋体"/>
          <w:sz w:val="28"/>
          <w:szCs w:val="28"/>
        </w:rPr>
      </w:pPr>
      <w:r>
        <w:rPr>
          <w:rFonts w:hint="eastAsia" w:ascii="宋体" w:hAnsi="宋体" w:eastAsia="宋体" w:cs="宋体"/>
          <w:sz w:val="28"/>
          <w:szCs w:val="28"/>
        </w:rPr>
        <w:t xml:space="preserve">供 应 商：                                         </w:t>
      </w:r>
    </w:p>
    <w:p>
      <w:pPr>
        <w:spacing w:line="520" w:lineRule="exact"/>
        <w:ind w:firstLine="480" w:firstLineChars="200"/>
        <w:outlineLvl w:val="9"/>
        <w:rPr>
          <w:rFonts w:ascii="宋体" w:hAnsi="宋体" w:eastAsia="宋体" w:cs="宋体"/>
          <w:sz w:val="24"/>
          <w:szCs w:val="24"/>
        </w:rPr>
      </w:pPr>
    </w:p>
    <w:p>
      <w:pPr>
        <w:spacing w:line="520" w:lineRule="exact"/>
        <w:ind w:firstLine="480" w:firstLineChars="200"/>
        <w:outlineLvl w:val="9"/>
        <w:rPr>
          <w:rFonts w:ascii="宋体" w:hAnsi="宋体" w:eastAsia="宋体" w:cs="宋体"/>
          <w:sz w:val="24"/>
          <w:szCs w:val="24"/>
        </w:rPr>
      </w:pPr>
    </w:p>
    <w:p>
      <w:pPr>
        <w:spacing w:line="52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br w:type="column"/>
      </w:r>
      <w:r>
        <w:rPr>
          <w:rFonts w:hint="eastAsia" w:ascii="宋体" w:hAnsi="宋体" w:eastAsia="宋体" w:cs="宋体"/>
          <w:sz w:val="24"/>
          <w:szCs w:val="24"/>
        </w:rPr>
        <w:t>甲方（采购人） ：</w:t>
      </w:r>
    </w:p>
    <w:p>
      <w:pPr>
        <w:spacing w:line="520" w:lineRule="exact"/>
        <w:ind w:firstLine="511" w:firstLineChars="213"/>
        <w:outlineLvl w:val="9"/>
        <w:rPr>
          <w:rFonts w:ascii="宋体" w:hAnsi="宋体" w:eastAsia="宋体" w:cs="宋体"/>
          <w:sz w:val="24"/>
          <w:szCs w:val="24"/>
        </w:rPr>
      </w:pPr>
      <w:r>
        <w:rPr>
          <w:rFonts w:hint="eastAsia" w:ascii="宋体" w:hAnsi="宋体" w:eastAsia="宋体" w:cs="宋体"/>
          <w:sz w:val="24"/>
          <w:szCs w:val="24"/>
        </w:rPr>
        <w:t>乙方（中标供应商） ：</w:t>
      </w:r>
    </w:p>
    <w:p>
      <w:pPr>
        <w:spacing w:line="520" w:lineRule="exact"/>
        <w:ind w:firstLine="501" w:firstLineChars="209"/>
        <w:outlineLvl w:val="9"/>
        <w:rPr>
          <w:rFonts w:ascii="宋体" w:hAnsi="宋体" w:eastAsia="宋体" w:cs="宋体"/>
          <w:sz w:val="24"/>
          <w:szCs w:val="24"/>
        </w:rPr>
      </w:pPr>
      <w:r>
        <w:rPr>
          <w:rFonts w:hint="eastAsia" w:ascii="宋体" w:hAnsi="宋体" w:eastAsia="宋体" w:cs="宋体"/>
          <w:sz w:val="24"/>
          <w:szCs w:val="24"/>
        </w:rPr>
        <w:t xml:space="preserve">根据 </w:t>
      </w:r>
      <w:r>
        <w:rPr>
          <w:rFonts w:hint="eastAsia" w:ascii="宋体" w:hAnsi="宋体" w:eastAsia="宋体" w:cs="宋体"/>
          <w:sz w:val="24"/>
          <w:szCs w:val="24"/>
          <w:u w:val="single"/>
          <w:lang w:eastAsia="zh-CN"/>
        </w:rPr>
        <w:t>陇南市武都区2024年核桃示范园建设项目</w:t>
      </w:r>
      <w:r>
        <w:rPr>
          <w:rFonts w:hint="eastAsia" w:ascii="宋体" w:hAnsi="宋体" w:eastAsia="宋体" w:cs="宋体"/>
          <w:sz w:val="24"/>
          <w:szCs w:val="24"/>
        </w:rPr>
        <w:t>的采购结果，</w:t>
      </w:r>
      <w:r>
        <w:rPr>
          <w:rFonts w:hint="eastAsia" w:ascii="宋体" w:hAnsi="宋体" w:eastAsia="宋体" w:cs="宋体"/>
          <w:spacing w:val="-3"/>
          <w:sz w:val="24"/>
          <w:szCs w:val="24"/>
        </w:rPr>
        <w:t>按照《中华人民共和</w:t>
      </w:r>
      <w:r>
        <w:rPr>
          <w:rFonts w:hint="eastAsia" w:ascii="宋体" w:hAnsi="宋体" w:eastAsia="宋体" w:cs="宋体"/>
          <w:spacing w:val="-16"/>
          <w:sz w:val="24"/>
          <w:szCs w:val="24"/>
        </w:rPr>
        <w:t>国政府采购法》、《中华人民共和国民法典》的规定，经双方协商，</w:t>
      </w:r>
      <w:r>
        <w:rPr>
          <w:rFonts w:hint="eastAsia" w:ascii="宋体" w:hAnsi="宋体" w:eastAsia="宋体" w:cs="宋体"/>
          <w:spacing w:val="-2"/>
          <w:sz w:val="24"/>
          <w:szCs w:val="24"/>
        </w:rPr>
        <w:t>本着平等互利和诚实</w:t>
      </w:r>
      <w:r>
        <w:rPr>
          <w:rFonts w:hint="eastAsia" w:ascii="宋体" w:hAnsi="宋体" w:eastAsia="宋体" w:cs="宋体"/>
          <w:spacing w:val="-4"/>
          <w:sz w:val="24"/>
          <w:szCs w:val="24"/>
        </w:rPr>
        <w:t>信用的原则，一致同意签订本合同如下：</w:t>
      </w:r>
    </w:p>
    <w:p>
      <w:pPr>
        <w:spacing w:line="520" w:lineRule="exact"/>
        <w:ind w:firstLine="523" w:firstLineChars="222"/>
        <w:outlineLvl w:val="9"/>
        <w:rPr>
          <w:rFonts w:ascii="宋体" w:hAnsi="宋体" w:eastAsia="宋体" w:cs="宋体"/>
          <w:sz w:val="24"/>
          <w:szCs w:val="24"/>
        </w:rPr>
      </w:pPr>
      <w:r>
        <w:rPr>
          <w:rFonts w:hint="eastAsia" w:ascii="宋体" w:hAnsi="宋体" w:eastAsia="宋体" w:cs="宋体"/>
          <w:spacing w:val="-2"/>
          <w:sz w:val="24"/>
          <w:szCs w:val="24"/>
        </w:rPr>
        <w:t>一、服务内容</w:t>
      </w:r>
    </w:p>
    <w:p>
      <w:pPr>
        <w:spacing w:line="520" w:lineRule="exact"/>
        <w:ind w:firstLine="440" w:firstLineChars="200"/>
        <w:outlineLvl w:val="9"/>
        <w:rPr>
          <w:rFonts w:ascii="宋体" w:hAnsi="宋体" w:eastAsia="宋体" w:cs="宋体"/>
          <w:spacing w:val="-10"/>
          <w:sz w:val="24"/>
          <w:szCs w:val="24"/>
        </w:rPr>
      </w:pPr>
      <w:r>
        <w:rPr>
          <w:rFonts w:hint="eastAsia" w:ascii="宋体" w:hAnsi="宋体" w:eastAsia="宋体" w:cs="宋体"/>
          <w:spacing w:val="-10"/>
          <w:sz w:val="24"/>
          <w:szCs w:val="24"/>
        </w:rPr>
        <w:t>合同总额包括完成采购范围内全部货物采购及相关伴随服务等全过程的费用等。</w:t>
      </w:r>
    </w:p>
    <w:p>
      <w:pPr>
        <w:spacing w:line="520" w:lineRule="exact"/>
        <w:ind w:firstLine="404" w:firstLineChars="200"/>
        <w:outlineLvl w:val="9"/>
        <w:rPr>
          <w:rFonts w:ascii="宋体" w:hAnsi="宋体" w:eastAsia="宋体" w:cs="宋体"/>
          <w:sz w:val="24"/>
          <w:szCs w:val="24"/>
        </w:rPr>
      </w:pPr>
      <w:r>
        <w:rPr>
          <w:rFonts w:hint="eastAsia" w:ascii="宋体" w:hAnsi="宋体" w:eastAsia="宋体" w:cs="宋体"/>
          <w:spacing w:val="-19"/>
          <w:sz w:val="24"/>
          <w:szCs w:val="24"/>
        </w:rPr>
        <w:t>注：内容必须与《招标文件》中内容一致。</w:t>
      </w:r>
    </w:p>
    <w:p>
      <w:pPr>
        <w:spacing w:line="520" w:lineRule="exact"/>
        <w:ind w:firstLine="481" w:firstLineChars="204"/>
        <w:outlineLvl w:val="9"/>
        <w:rPr>
          <w:rFonts w:ascii="宋体" w:hAnsi="宋体" w:eastAsia="宋体" w:cs="宋体"/>
          <w:sz w:val="24"/>
          <w:szCs w:val="24"/>
        </w:rPr>
      </w:pPr>
      <w:r>
        <w:rPr>
          <w:rFonts w:hint="eastAsia" w:ascii="宋体" w:hAnsi="宋体" w:eastAsia="宋体" w:cs="宋体"/>
          <w:spacing w:val="-2"/>
          <w:sz w:val="24"/>
          <w:szCs w:val="24"/>
        </w:rPr>
        <w:t>二、服务期限</w:t>
      </w:r>
    </w:p>
    <w:p>
      <w:pPr>
        <w:spacing w:line="520" w:lineRule="exact"/>
        <w:ind w:firstLine="506"/>
        <w:outlineLvl w:val="9"/>
        <w:rPr>
          <w:rFonts w:ascii="宋体" w:hAnsi="宋体" w:eastAsia="宋体" w:cs="宋体"/>
          <w:sz w:val="24"/>
          <w:szCs w:val="24"/>
        </w:rPr>
      </w:pPr>
      <w:r>
        <w:rPr>
          <w:rFonts w:hint="eastAsia" w:ascii="宋体" w:hAnsi="宋体" w:eastAsia="宋体" w:cs="宋体"/>
          <w:spacing w:val="-8"/>
          <w:sz w:val="24"/>
          <w:szCs w:val="24"/>
        </w:rPr>
        <w:t>1.本服务合同总周期为日历天（从开工之日算起）。</w:t>
      </w:r>
    </w:p>
    <w:p>
      <w:pPr>
        <w:spacing w:line="520" w:lineRule="exact"/>
        <w:ind w:firstLine="491"/>
        <w:outlineLvl w:val="9"/>
        <w:rPr>
          <w:rFonts w:ascii="宋体" w:hAnsi="宋体" w:eastAsia="宋体" w:cs="宋体"/>
          <w:sz w:val="24"/>
          <w:szCs w:val="24"/>
        </w:rPr>
      </w:pPr>
      <w:r>
        <w:rPr>
          <w:rFonts w:hint="eastAsia" w:ascii="宋体" w:hAnsi="宋体" w:eastAsia="宋体" w:cs="宋体"/>
          <w:spacing w:val="-8"/>
          <w:sz w:val="24"/>
          <w:szCs w:val="24"/>
        </w:rPr>
        <w:t>2.本项目服务期自年月日至年月日</w:t>
      </w:r>
    </w:p>
    <w:p>
      <w:pPr>
        <w:spacing w:line="520" w:lineRule="exact"/>
        <w:ind w:firstLine="493"/>
        <w:outlineLvl w:val="9"/>
        <w:rPr>
          <w:rFonts w:ascii="宋体" w:hAnsi="宋体" w:eastAsia="宋体" w:cs="宋体"/>
          <w:sz w:val="24"/>
          <w:szCs w:val="24"/>
        </w:rPr>
      </w:pPr>
      <w:r>
        <w:rPr>
          <w:rFonts w:hint="eastAsia" w:ascii="宋体" w:hAnsi="宋体" w:eastAsia="宋体" w:cs="宋体"/>
          <w:spacing w:val="-1"/>
          <w:sz w:val="24"/>
          <w:szCs w:val="24"/>
        </w:rPr>
        <w:t>3.本项目合同总价为（大写</w:t>
      </w:r>
      <w:r>
        <w:rPr>
          <w:rFonts w:hint="eastAsia" w:ascii="宋体" w:hAnsi="宋体" w:eastAsia="宋体" w:cs="宋体"/>
          <w:spacing w:val="-51"/>
          <w:sz w:val="24"/>
          <w:szCs w:val="24"/>
        </w:rPr>
        <w:t>）：（</w:t>
      </w:r>
      <w:r>
        <w:rPr>
          <w:rFonts w:hint="eastAsia" w:ascii="宋体" w:hAnsi="宋体" w:eastAsia="宋体" w:cs="宋体"/>
          <w:spacing w:val="-1"/>
          <w:sz w:val="24"/>
          <w:szCs w:val="24"/>
        </w:rPr>
        <w:t>¥</w:t>
      </w:r>
      <w:r>
        <w:rPr>
          <w:rFonts w:hint="eastAsia" w:ascii="宋体" w:hAnsi="宋体" w:eastAsia="宋体" w:cs="宋体"/>
          <w:spacing w:val="-51"/>
          <w:sz w:val="24"/>
          <w:szCs w:val="24"/>
        </w:rPr>
        <w:t>），</w:t>
      </w:r>
      <w:r>
        <w:rPr>
          <w:rFonts w:hint="eastAsia" w:ascii="宋体" w:hAnsi="宋体" w:eastAsia="宋体" w:cs="宋体"/>
          <w:spacing w:val="-1"/>
          <w:sz w:val="24"/>
          <w:szCs w:val="24"/>
        </w:rPr>
        <w:t>项目总价包含人</w:t>
      </w:r>
      <w:r>
        <w:rPr>
          <w:rFonts w:hint="eastAsia" w:ascii="宋体" w:hAnsi="宋体" w:eastAsia="宋体" w:cs="宋体"/>
          <w:spacing w:val="-4"/>
          <w:sz w:val="24"/>
          <w:szCs w:val="24"/>
        </w:rPr>
        <w:t>工费、交通费、材料费等所有相关的费用，乙方不得要求甲方支付非经甲方认可的其他费</w:t>
      </w:r>
      <w:r>
        <w:rPr>
          <w:rFonts w:hint="eastAsia" w:ascii="宋体" w:hAnsi="宋体" w:eastAsia="宋体" w:cs="宋体"/>
          <w:sz w:val="24"/>
          <w:szCs w:val="24"/>
        </w:rPr>
        <w:t>。</w:t>
      </w:r>
    </w:p>
    <w:p>
      <w:pPr>
        <w:spacing w:line="520" w:lineRule="exact"/>
        <w:ind w:firstLine="480" w:firstLineChars="202"/>
        <w:outlineLvl w:val="9"/>
        <w:rPr>
          <w:rFonts w:ascii="宋体" w:hAnsi="宋体" w:eastAsia="宋体" w:cs="宋体"/>
        </w:rPr>
      </w:pPr>
      <w:r>
        <w:rPr>
          <w:rFonts w:hint="eastAsia" w:ascii="宋体" w:hAnsi="宋体" w:eastAsia="宋体" w:cs="宋体"/>
          <w:spacing w:val="-1"/>
          <w:sz w:val="24"/>
          <w:szCs w:val="24"/>
        </w:rPr>
        <w:t>三、服务要求：</w:t>
      </w:r>
    </w:p>
    <w:p>
      <w:pPr>
        <w:spacing w:line="520" w:lineRule="exact"/>
        <w:ind w:firstLine="494" w:firstLineChars="213"/>
        <w:outlineLvl w:val="9"/>
        <w:rPr>
          <w:rFonts w:ascii="宋体" w:hAnsi="宋体" w:eastAsia="宋体" w:cs="宋体"/>
          <w:sz w:val="24"/>
          <w:szCs w:val="24"/>
        </w:rPr>
      </w:pPr>
      <w:r>
        <w:rPr>
          <w:rFonts w:hint="eastAsia" w:ascii="宋体" w:hAnsi="宋体" w:eastAsia="宋体" w:cs="宋体"/>
          <w:spacing w:val="-4"/>
          <w:sz w:val="24"/>
          <w:szCs w:val="24"/>
        </w:rPr>
        <w:t>四、时间、地点</w:t>
      </w:r>
    </w:p>
    <w:p>
      <w:pPr>
        <w:spacing w:line="520" w:lineRule="exact"/>
        <w:ind w:firstLine="493"/>
        <w:outlineLvl w:val="9"/>
        <w:rPr>
          <w:rFonts w:ascii="宋体" w:hAnsi="宋体" w:eastAsia="宋体" w:cs="宋体"/>
          <w:spacing w:val="-4"/>
          <w:sz w:val="24"/>
          <w:szCs w:val="24"/>
        </w:rPr>
      </w:pPr>
      <w:r>
        <w:rPr>
          <w:rFonts w:hint="eastAsia" w:ascii="宋体" w:hAnsi="宋体" w:eastAsia="宋体" w:cs="宋体"/>
          <w:spacing w:val="-4"/>
          <w:sz w:val="24"/>
          <w:szCs w:val="24"/>
        </w:rPr>
        <w:t>时间：</w:t>
      </w:r>
    </w:p>
    <w:p>
      <w:pPr>
        <w:spacing w:line="520" w:lineRule="exact"/>
        <w:ind w:firstLine="493"/>
        <w:outlineLvl w:val="9"/>
        <w:rPr>
          <w:rFonts w:ascii="宋体" w:hAnsi="宋体" w:eastAsia="宋体" w:cs="宋体"/>
          <w:sz w:val="24"/>
          <w:szCs w:val="24"/>
        </w:rPr>
      </w:pPr>
      <w:r>
        <w:rPr>
          <w:rFonts w:hint="eastAsia" w:ascii="宋体" w:hAnsi="宋体" w:eastAsia="宋体" w:cs="宋体"/>
          <w:spacing w:val="-4"/>
          <w:sz w:val="24"/>
          <w:szCs w:val="24"/>
        </w:rPr>
        <w:t>地点：</w:t>
      </w:r>
    </w:p>
    <w:p>
      <w:pPr>
        <w:spacing w:line="520" w:lineRule="exact"/>
        <w:ind w:firstLine="481" w:firstLineChars="204"/>
        <w:outlineLvl w:val="9"/>
        <w:rPr>
          <w:rFonts w:ascii="宋体" w:hAnsi="宋体" w:eastAsia="宋体" w:cs="宋体"/>
          <w:spacing w:val="-2"/>
          <w:sz w:val="24"/>
          <w:szCs w:val="24"/>
        </w:rPr>
      </w:pPr>
      <w:r>
        <w:rPr>
          <w:rFonts w:hint="eastAsia" w:ascii="宋体" w:hAnsi="宋体" w:eastAsia="宋体" w:cs="宋体"/>
          <w:spacing w:val="-2"/>
          <w:sz w:val="24"/>
          <w:szCs w:val="24"/>
        </w:rPr>
        <w:t>五、付款方式</w:t>
      </w:r>
    </w:p>
    <w:p>
      <w:pPr>
        <w:spacing w:line="520" w:lineRule="exact"/>
        <w:ind w:firstLine="491"/>
        <w:outlineLvl w:val="9"/>
        <w:rPr>
          <w:rFonts w:ascii="宋体" w:hAnsi="宋体" w:eastAsia="宋体" w:cs="宋体"/>
          <w:spacing w:val="-1"/>
          <w:sz w:val="24"/>
          <w:szCs w:val="24"/>
        </w:rPr>
      </w:pPr>
      <w:r>
        <w:rPr>
          <w:rFonts w:hint="eastAsia" w:ascii="宋体" w:hAnsi="宋体" w:eastAsia="宋体" w:cs="宋体"/>
          <w:spacing w:val="-1"/>
          <w:sz w:val="24"/>
          <w:szCs w:val="24"/>
        </w:rPr>
        <w:t>1.合同签订后，采购人先预拨</w:t>
      </w:r>
      <w:r>
        <w:rPr>
          <w:rFonts w:hint="eastAsia" w:ascii="宋体" w:hAnsi="宋体" w:eastAsia="宋体" w:cs="宋体"/>
          <w:spacing w:val="-1"/>
          <w:sz w:val="24"/>
          <w:szCs w:val="24"/>
          <w:u w:val="single"/>
        </w:rPr>
        <w:t xml:space="preserve">  </w:t>
      </w:r>
      <w:r>
        <w:rPr>
          <w:rFonts w:hint="eastAsia" w:ascii="宋体" w:hAnsi="宋体" w:eastAsia="宋体" w:cs="宋体"/>
          <w:spacing w:val="-1"/>
          <w:sz w:val="24"/>
          <w:szCs w:val="24"/>
        </w:rPr>
        <w:t>%项目资金，剩余资金按项目进度支付。</w:t>
      </w:r>
    </w:p>
    <w:p>
      <w:pPr>
        <w:spacing w:line="520" w:lineRule="exact"/>
        <w:ind w:firstLine="491"/>
        <w:outlineLvl w:val="9"/>
        <w:rPr>
          <w:rFonts w:ascii="宋体" w:hAnsi="宋体" w:eastAsia="宋体" w:cs="宋体"/>
          <w:sz w:val="24"/>
          <w:szCs w:val="24"/>
        </w:rPr>
      </w:pPr>
      <w:r>
        <w:rPr>
          <w:rFonts w:hint="eastAsia" w:ascii="宋体" w:hAnsi="宋体" w:eastAsia="宋体" w:cs="宋体"/>
          <w:spacing w:val="-1"/>
          <w:sz w:val="24"/>
          <w:szCs w:val="24"/>
        </w:rPr>
        <w:t>2.乙方向甲方开具的正式发票，并提供发票复印件，方可办理相关申报支付手续。</w:t>
      </w:r>
    </w:p>
    <w:p>
      <w:pPr>
        <w:spacing w:line="520" w:lineRule="exact"/>
        <w:ind w:firstLine="483" w:firstLineChars="203"/>
        <w:outlineLvl w:val="9"/>
        <w:rPr>
          <w:rFonts w:ascii="宋体" w:hAnsi="宋体" w:eastAsia="宋体" w:cs="宋体"/>
          <w:sz w:val="24"/>
          <w:szCs w:val="24"/>
        </w:rPr>
      </w:pPr>
      <w:r>
        <w:rPr>
          <w:rFonts w:hint="eastAsia" w:ascii="宋体" w:hAnsi="宋体" w:eastAsia="宋体" w:cs="宋体"/>
          <w:spacing w:val="-1"/>
          <w:sz w:val="24"/>
          <w:szCs w:val="24"/>
        </w:rPr>
        <w:t>六、违约责任与赔偿损失</w:t>
      </w:r>
    </w:p>
    <w:p>
      <w:pPr>
        <w:spacing w:line="520" w:lineRule="exact"/>
        <w:ind w:firstLine="493"/>
        <w:outlineLvl w:val="9"/>
        <w:rPr>
          <w:rFonts w:ascii="宋体" w:hAnsi="宋体" w:eastAsia="宋体" w:cs="宋体"/>
          <w:sz w:val="24"/>
          <w:szCs w:val="24"/>
        </w:rPr>
      </w:pPr>
      <w:r>
        <w:rPr>
          <w:rFonts w:hint="eastAsia" w:ascii="宋体" w:hAnsi="宋体" w:eastAsia="宋体" w:cs="宋体"/>
          <w:spacing w:val="-14"/>
          <w:sz w:val="24"/>
          <w:szCs w:val="24"/>
        </w:rPr>
        <w:t>乙方进行的服务不符合《招标文件》、《投标文件》或本合同规定的，甲方有权拒收，</w:t>
      </w:r>
      <w:r>
        <w:rPr>
          <w:rFonts w:hint="eastAsia" w:ascii="宋体" w:hAnsi="宋体" w:eastAsia="宋体" w:cs="宋体"/>
          <w:spacing w:val="-1"/>
          <w:sz w:val="24"/>
          <w:szCs w:val="24"/>
        </w:rPr>
        <w:t>并且乙方须向甲方支付本合同总价%的违约金。</w:t>
      </w:r>
    </w:p>
    <w:p>
      <w:pPr>
        <w:spacing w:line="520" w:lineRule="exact"/>
        <w:ind w:firstLine="497"/>
        <w:outlineLvl w:val="9"/>
        <w:rPr>
          <w:rFonts w:ascii="宋体" w:hAnsi="宋体" w:eastAsia="宋体" w:cs="宋体"/>
          <w:sz w:val="24"/>
          <w:szCs w:val="24"/>
        </w:rPr>
      </w:pPr>
      <w:r>
        <w:rPr>
          <w:rFonts w:hint="eastAsia" w:ascii="宋体" w:hAnsi="宋体" w:eastAsia="宋体" w:cs="宋体"/>
          <w:spacing w:val="-5"/>
          <w:sz w:val="24"/>
          <w:szCs w:val="24"/>
        </w:rPr>
        <w:t>乙方未能按本合同规定的服务时间提供服务的，甲方有权终止合同，由此造成的甲方</w:t>
      </w:r>
      <w:r>
        <w:rPr>
          <w:rFonts w:hint="eastAsia" w:ascii="宋体" w:hAnsi="宋体" w:eastAsia="宋体" w:cs="宋体"/>
          <w:spacing w:val="-2"/>
          <w:sz w:val="24"/>
          <w:szCs w:val="24"/>
        </w:rPr>
        <w:t>经济损失由乙方承担。</w:t>
      </w:r>
    </w:p>
    <w:p>
      <w:pPr>
        <w:spacing w:line="520" w:lineRule="exact"/>
        <w:ind w:firstLine="509"/>
        <w:outlineLvl w:val="9"/>
        <w:rPr>
          <w:rFonts w:ascii="宋体" w:hAnsi="宋体" w:eastAsia="宋体" w:cs="宋体"/>
          <w:sz w:val="24"/>
          <w:szCs w:val="24"/>
        </w:rPr>
      </w:pPr>
      <w:r>
        <w:rPr>
          <w:rFonts w:hint="eastAsia" w:ascii="宋体" w:hAnsi="宋体" w:eastAsia="宋体" w:cs="宋体"/>
          <w:spacing w:val="-5"/>
          <w:sz w:val="24"/>
          <w:szCs w:val="24"/>
        </w:rPr>
        <w:t>甲方无正当理由拒收服务，到期服务款项的，甲方向乙方偿付本合同总价</w:t>
      </w:r>
      <w:r>
        <w:rPr>
          <w:rFonts w:hint="eastAsia" w:ascii="宋体" w:hAnsi="宋体" w:eastAsia="宋体" w:cs="宋体"/>
          <w:spacing w:val="-5"/>
          <w:sz w:val="24"/>
          <w:szCs w:val="24"/>
          <w:u w:val="single"/>
        </w:rPr>
        <w:t xml:space="preserve"> </w:t>
      </w:r>
      <w:r>
        <w:rPr>
          <w:rFonts w:hint="eastAsia" w:ascii="宋体" w:hAnsi="宋体" w:eastAsia="宋体" w:cs="宋体"/>
          <w:spacing w:val="-5"/>
          <w:sz w:val="24"/>
          <w:szCs w:val="24"/>
        </w:rPr>
        <w:t>%的违约</w:t>
      </w:r>
      <w:r>
        <w:rPr>
          <w:rFonts w:hint="eastAsia" w:ascii="宋体" w:hAnsi="宋体" w:eastAsia="宋体" w:cs="宋体"/>
          <w:spacing w:val="-1"/>
          <w:sz w:val="24"/>
          <w:szCs w:val="24"/>
        </w:rPr>
        <w:t>金。甲方如逾期付款，则每日按本合同总价的‰向乙方偿付违约金。</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其它违约责任按《中华人民共和国合同法》处理。</w:t>
      </w:r>
    </w:p>
    <w:p>
      <w:pPr>
        <w:spacing w:line="520" w:lineRule="exact"/>
        <w:ind w:firstLine="483" w:firstLineChars="203"/>
        <w:outlineLvl w:val="9"/>
        <w:rPr>
          <w:rFonts w:ascii="宋体" w:hAnsi="宋体" w:eastAsia="宋体" w:cs="宋体"/>
          <w:spacing w:val="-1"/>
          <w:sz w:val="24"/>
          <w:szCs w:val="24"/>
        </w:rPr>
      </w:pPr>
      <w:r>
        <w:rPr>
          <w:rFonts w:hint="eastAsia" w:ascii="宋体" w:hAnsi="宋体" w:eastAsia="宋体" w:cs="宋体"/>
          <w:spacing w:val="-1"/>
          <w:sz w:val="24"/>
          <w:szCs w:val="24"/>
        </w:rPr>
        <w:t>七、争议的解决</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合同执行过程中发生的任何争议，如双方不能通过友好协商解决，按相关法律法规处理。</w:t>
      </w:r>
    </w:p>
    <w:p>
      <w:pPr>
        <w:spacing w:line="520" w:lineRule="exact"/>
        <w:ind w:firstLine="483" w:firstLineChars="203"/>
        <w:outlineLvl w:val="9"/>
        <w:rPr>
          <w:rFonts w:ascii="宋体" w:hAnsi="宋体" w:eastAsia="宋体" w:cs="宋体"/>
          <w:spacing w:val="-1"/>
          <w:sz w:val="24"/>
          <w:szCs w:val="24"/>
        </w:rPr>
      </w:pPr>
      <w:r>
        <w:rPr>
          <w:rFonts w:hint="eastAsia" w:ascii="宋体" w:hAnsi="宋体" w:eastAsia="宋体" w:cs="宋体"/>
          <w:spacing w:val="-1"/>
          <w:sz w:val="24"/>
          <w:szCs w:val="24"/>
        </w:rPr>
        <w:t>八、不可抗力</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因合同一方迟延履行合同后发生不可抗力的，不能免除迟延履行方的相应责任。</w:t>
      </w:r>
    </w:p>
    <w:p>
      <w:pPr>
        <w:spacing w:line="520" w:lineRule="exact"/>
        <w:ind w:firstLine="483" w:firstLineChars="203"/>
        <w:outlineLvl w:val="9"/>
        <w:rPr>
          <w:rFonts w:ascii="宋体" w:hAnsi="宋体" w:eastAsia="宋体" w:cs="宋体"/>
          <w:spacing w:val="-1"/>
          <w:sz w:val="24"/>
          <w:szCs w:val="24"/>
        </w:rPr>
      </w:pPr>
      <w:r>
        <w:rPr>
          <w:rFonts w:hint="eastAsia" w:ascii="宋体" w:hAnsi="宋体" w:eastAsia="宋体" w:cs="宋体"/>
          <w:spacing w:val="-1"/>
          <w:sz w:val="24"/>
          <w:szCs w:val="24"/>
        </w:rPr>
        <w:t>九、税费</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在中国境内、外发生的与本合同执行有关的一切税费均由乙方负担。</w:t>
      </w:r>
    </w:p>
    <w:p>
      <w:pPr>
        <w:spacing w:line="520" w:lineRule="exact"/>
        <w:ind w:firstLine="483" w:firstLineChars="203"/>
        <w:outlineLvl w:val="9"/>
        <w:rPr>
          <w:rFonts w:ascii="宋体" w:hAnsi="宋体" w:eastAsia="宋体" w:cs="宋体"/>
          <w:spacing w:val="-1"/>
          <w:sz w:val="24"/>
          <w:szCs w:val="24"/>
        </w:rPr>
      </w:pPr>
      <w:r>
        <w:rPr>
          <w:rFonts w:hint="eastAsia" w:ascii="宋体" w:hAnsi="宋体" w:eastAsia="宋体" w:cs="宋体"/>
          <w:spacing w:val="-1"/>
          <w:sz w:val="24"/>
          <w:szCs w:val="24"/>
        </w:rPr>
        <w:t>十、其它</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本合同所有附件、《招标文件》（含补充通知、澄清、答疑会议纪要等）、投标文件（含澄清等）、《中标通知书》均为合同的有效组成部分，与本合同具有同等法律效力。</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在执行本合同的过程中，所有经双方签署确认的文件（包括会议纪要、补充协议、往来信函）即成为本合同的有效组成部分。</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如一方地址、电话、传真号码有变更，应在变更当日内书面通知对方，否则，应承担相应责任。</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除甲方事先书面同意外，乙方不得部分或全部转让其应履行的合同项下的任何责任和义务。</w:t>
      </w:r>
    </w:p>
    <w:p>
      <w:pPr>
        <w:spacing w:line="520" w:lineRule="exact"/>
        <w:ind w:firstLine="483" w:firstLineChars="203"/>
        <w:outlineLvl w:val="9"/>
        <w:rPr>
          <w:rFonts w:ascii="宋体" w:hAnsi="宋体" w:eastAsia="宋体" w:cs="宋体"/>
          <w:spacing w:val="-1"/>
          <w:sz w:val="24"/>
          <w:szCs w:val="24"/>
        </w:rPr>
      </w:pPr>
      <w:r>
        <w:rPr>
          <w:rFonts w:hint="eastAsia" w:ascii="宋体" w:hAnsi="宋体" w:eastAsia="宋体" w:cs="宋体"/>
          <w:spacing w:val="-1"/>
          <w:sz w:val="24"/>
          <w:szCs w:val="24"/>
        </w:rPr>
        <w:t>十一、合同生效及其他</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本合同在甲乙双方授权代表签字盖章后生效。</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如需修改合同内容，双方应签署书面修改或补充协议，该修改或补充协议作为本合同的一个组成部分。</w:t>
      </w:r>
    </w:p>
    <w:p>
      <w:pPr>
        <w:autoSpaceDE w:val="0"/>
        <w:autoSpaceDN w:val="0"/>
        <w:spacing w:line="520" w:lineRule="exact"/>
        <w:ind w:firstLine="456" w:firstLineChars="200"/>
        <w:outlineLvl w:val="9"/>
        <w:rPr>
          <w:rFonts w:ascii="宋体" w:hAnsi="宋体" w:eastAsia="宋体" w:cs="宋体"/>
          <w:spacing w:val="-6"/>
          <w:sz w:val="24"/>
          <w:szCs w:val="24"/>
        </w:rPr>
      </w:pPr>
      <w:r>
        <w:rPr>
          <w:rFonts w:hint="eastAsia" w:ascii="宋体" w:hAnsi="宋体" w:eastAsia="宋体" w:cs="宋体"/>
          <w:spacing w:val="-6"/>
          <w:sz w:val="24"/>
          <w:szCs w:val="24"/>
        </w:rPr>
        <w:t>本合同一式</w:t>
      </w:r>
      <w:r>
        <w:rPr>
          <w:rFonts w:hint="eastAsia" w:ascii="宋体" w:hAnsi="宋体" w:eastAsia="宋体" w:cs="宋体"/>
          <w:spacing w:val="-6"/>
          <w:sz w:val="24"/>
          <w:szCs w:val="24"/>
          <w:u w:val="single"/>
        </w:rPr>
        <w:t>陆</w:t>
      </w:r>
      <w:r>
        <w:rPr>
          <w:rFonts w:hint="eastAsia" w:ascii="宋体" w:hAnsi="宋体" w:eastAsia="宋体" w:cs="宋体"/>
          <w:spacing w:val="-6"/>
          <w:sz w:val="24"/>
          <w:szCs w:val="24"/>
        </w:rPr>
        <w:t>份，具有同等法律效力。甲、乙双方各执</w:t>
      </w:r>
      <w:r>
        <w:rPr>
          <w:rFonts w:hint="eastAsia" w:ascii="宋体" w:hAnsi="宋体" w:eastAsia="宋体" w:cs="宋体"/>
          <w:spacing w:val="-6"/>
          <w:sz w:val="24"/>
          <w:szCs w:val="24"/>
          <w:u w:val="single"/>
        </w:rPr>
        <w:t>贰</w:t>
      </w:r>
      <w:r>
        <w:rPr>
          <w:rFonts w:hint="eastAsia" w:ascii="宋体" w:hAnsi="宋体" w:eastAsia="宋体" w:cs="宋体"/>
          <w:spacing w:val="-6"/>
          <w:sz w:val="24"/>
          <w:szCs w:val="24"/>
        </w:rPr>
        <w:t>份，招标代理机构</w:t>
      </w:r>
      <w:r>
        <w:rPr>
          <w:rFonts w:hint="eastAsia" w:ascii="宋体" w:hAnsi="宋体" w:eastAsia="宋体" w:cs="宋体"/>
          <w:spacing w:val="-6"/>
          <w:sz w:val="24"/>
          <w:szCs w:val="24"/>
          <w:u w:val="single"/>
        </w:rPr>
        <w:t>贰</w:t>
      </w:r>
      <w:r>
        <w:rPr>
          <w:rFonts w:hint="eastAsia" w:ascii="宋体" w:hAnsi="宋体" w:eastAsia="宋体" w:cs="宋体"/>
          <w:spacing w:val="-6"/>
          <w:sz w:val="24"/>
          <w:szCs w:val="24"/>
        </w:rPr>
        <w:t>份。</w:t>
      </w:r>
    </w:p>
    <w:p>
      <w:pPr>
        <w:tabs>
          <w:tab w:val="left" w:pos="1204"/>
        </w:tabs>
        <w:autoSpaceDE w:val="0"/>
        <w:autoSpaceDN w:val="0"/>
        <w:spacing w:before="50" w:line="520" w:lineRule="exact"/>
        <w:ind w:right="106"/>
        <w:jc w:val="both"/>
        <w:outlineLvl w:val="9"/>
        <w:rPr>
          <w:rFonts w:ascii="宋体" w:hAnsi="宋体" w:eastAsia="宋体" w:cs="宋体"/>
          <w:b/>
          <w:spacing w:val="-10"/>
          <w:sz w:val="24"/>
          <w:szCs w:val="24"/>
          <w:lang w:val="zh-CN" w:bidi="zh-CN"/>
        </w:rPr>
        <w:sectPr>
          <w:pgSz w:w="11906" w:h="16838"/>
          <w:pgMar w:top="1440" w:right="1800" w:bottom="1440" w:left="1800" w:header="851" w:footer="992" w:gutter="0"/>
          <w:pgNumType w:fmt="decimal"/>
          <w:cols w:space="720" w:num="1"/>
          <w:docGrid w:type="lines" w:linePitch="312" w:charSpace="0"/>
        </w:sectPr>
      </w:pPr>
    </w:p>
    <w:tbl>
      <w:tblPr>
        <w:tblStyle w:val="28"/>
        <w:tblW w:w="90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5"/>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5" w:hRule="atLeast"/>
          <w:jc w:val="center"/>
        </w:trPr>
        <w:tc>
          <w:tcPr>
            <w:tcW w:w="4515" w:type="dxa"/>
          </w:tcPr>
          <w:p>
            <w:pPr>
              <w:pStyle w:val="107"/>
              <w:outlineLvl w:val="9"/>
              <w:rPr>
                <w:rFonts w:eastAsia="宋体"/>
                <w:sz w:val="24"/>
              </w:rPr>
            </w:pPr>
          </w:p>
          <w:p>
            <w:pPr>
              <w:pStyle w:val="107"/>
              <w:spacing w:before="1" w:line="583" w:lineRule="auto"/>
              <w:ind w:right="2836"/>
              <w:outlineLvl w:val="9"/>
              <w:rPr>
                <w:rFonts w:eastAsia="宋体"/>
                <w:b/>
                <w:spacing w:val="-10"/>
                <w:sz w:val="24"/>
              </w:rPr>
            </w:pPr>
            <w:r>
              <w:rPr>
                <w:rFonts w:hint="eastAsia" w:eastAsia="宋体"/>
                <w:b/>
                <w:spacing w:val="-10"/>
                <w:sz w:val="24"/>
              </w:rPr>
              <w:t>甲方（盖章）：</w:t>
            </w:r>
          </w:p>
          <w:p>
            <w:pPr>
              <w:pStyle w:val="107"/>
              <w:spacing w:before="1" w:line="583" w:lineRule="auto"/>
              <w:ind w:right="2836"/>
              <w:outlineLvl w:val="9"/>
              <w:rPr>
                <w:rFonts w:eastAsia="宋体"/>
                <w:b/>
                <w:sz w:val="28"/>
                <w:szCs w:val="28"/>
              </w:rPr>
            </w:pPr>
            <w:r>
              <w:rPr>
                <w:rFonts w:hint="eastAsia" w:eastAsia="宋体"/>
                <w:b/>
                <w:spacing w:val="-10"/>
                <w:sz w:val="24"/>
              </w:rPr>
              <w:t>地址：</w:t>
            </w:r>
          </w:p>
          <w:p>
            <w:pPr>
              <w:pStyle w:val="107"/>
              <w:spacing w:line="585" w:lineRule="auto"/>
              <w:ind w:right="3695"/>
              <w:outlineLvl w:val="9"/>
              <w:rPr>
                <w:rFonts w:eastAsia="宋体"/>
                <w:b/>
                <w:sz w:val="24"/>
              </w:rPr>
            </w:pPr>
            <w:r>
              <w:rPr>
                <w:rFonts w:hint="eastAsia" w:eastAsia="宋体"/>
                <w:b/>
                <w:spacing w:val="-13"/>
                <w:sz w:val="24"/>
              </w:rPr>
              <w:t xml:space="preserve">电话： </w:t>
            </w:r>
          </w:p>
        </w:tc>
        <w:tc>
          <w:tcPr>
            <w:tcW w:w="4582" w:type="dxa"/>
          </w:tcPr>
          <w:p>
            <w:pPr>
              <w:pStyle w:val="107"/>
              <w:outlineLvl w:val="9"/>
              <w:rPr>
                <w:rFonts w:eastAsia="宋体"/>
                <w:sz w:val="24"/>
              </w:rPr>
            </w:pPr>
          </w:p>
          <w:p>
            <w:pPr>
              <w:pStyle w:val="107"/>
              <w:spacing w:before="1" w:line="583" w:lineRule="auto"/>
              <w:ind w:right="2836"/>
              <w:outlineLvl w:val="9"/>
              <w:rPr>
                <w:rFonts w:eastAsia="宋体"/>
                <w:b/>
                <w:spacing w:val="-12"/>
                <w:sz w:val="24"/>
              </w:rPr>
            </w:pPr>
            <w:r>
              <w:rPr>
                <w:rFonts w:hint="eastAsia" w:eastAsia="宋体"/>
                <w:b/>
                <w:spacing w:val="-10"/>
                <w:sz w:val="24"/>
              </w:rPr>
              <w:t>乙方</w:t>
            </w:r>
            <w:r>
              <w:rPr>
                <w:rFonts w:hint="eastAsia" w:eastAsia="宋体"/>
                <w:b/>
                <w:spacing w:val="-8"/>
                <w:sz w:val="24"/>
              </w:rPr>
              <w:t>（</w:t>
            </w:r>
            <w:r>
              <w:rPr>
                <w:rFonts w:hint="eastAsia" w:eastAsia="宋体"/>
                <w:b/>
                <w:spacing w:val="-10"/>
                <w:sz w:val="24"/>
              </w:rPr>
              <w:t>盖章</w:t>
            </w:r>
            <w:r>
              <w:rPr>
                <w:rFonts w:hint="eastAsia" w:eastAsia="宋体"/>
                <w:b/>
                <w:spacing w:val="-12"/>
                <w:sz w:val="24"/>
              </w:rPr>
              <w:t xml:space="preserve">）： </w:t>
            </w:r>
          </w:p>
          <w:p>
            <w:pPr>
              <w:pStyle w:val="107"/>
              <w:spacing w:before="1" w:line="583" w:lineRule="auto"/>
              <w:ind w:left="108" w:right="2836"/>
              <w:outlineLvl w:val="9"/>
              <w:rPr>
                <w:rFonts w:eastAsia="宋体"/>
                <w:b/>
                <w:sz w:val="24"/>
              </w:rPr>
            </w:pPr>
            <w:r>
              <w:rPr>
                <w:rFonts w:hint="eastAsia" w:eastAsia="宋体"/>
                <w:b/>
                <w:spacing w:val="-7"/>
                <w:sz w:val="24"/>
              </w:rPr>
              <w:t>地址：</w:t>
            </w:r>
          </w:p>
          <w:p>
            <w:pPr>
              <w:pStyle w:val="107"/>
              <w:spacing w:line="585" w:lineRule="auto"/>
              <w:ind w:right="3760"/>
              <w:outlineLvl w:val="9"/>
              <w:rPr>
                <w:rFonts w:eastAsia="宋体"/>
                <w:b/>
                <w:sz w:val="24"/>
              </w:rPr>
            </w:pPr>
            <w:r>
              <w:rPr>
                <w:rFonts w:hint="eastAsia" w:eastAsia="宋体"/>
                <w:b/>
                <w:spacing w:val="-13"/>
                <w:sz w:val="24"/>
              </w:rPr>
              <w:t xml:space="preserve">电话：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jc w:val="center"/>
        </w:trPr>
        <w:tc>
          <w:tcPr>
            <w:tcW w:w="4515" w:type="dxa"/>
          </w:tcPr>
          <w:p>
            <w:pPr>
              <w:pStyle w:val="107"/>
              <w:outlineLvl w:val="9"/>
              <w:rPr>
                <w:rFonts w:eastAsia="宋体"/>
                <w:sz w:val="24"/>
              </w:rPr>
            </w:pPr>
          </w:p>
          <w:p>
            <w:pPr>
              <w:pStyle w:val="107"/>
              <w:spacing w:before="10"/>
              <w:outlineLvl w:val="9"/>
              <w:rPr>
                <w:rFonts w:eastAsia="宋体"/>
                <w:sz w:val="18"/>
              </w:rPr>
            </w:pPr>
          </w:p>
          <w:p>
            <w:pPr>
              <w:pStyle w:val="107"/>
              <w:tabs>
                <w:tab w:val="left" w:pos="778"/>
              </w:tabs>
              <w:spacing w:before="1" w:line="583" w:lineRule="auto"/>
              <w:ind w:left="106" w:right="3001"/>
              <w:outlineLvl w:val="9"/>
              <w:rPr>
                <w:rFonts w:eastAsia="宋体"/>
                <w:b/>
                <w:sz w:val="24"/>
              </w:rPr>
            </w:pPr>
            <w:r>
              <w:rPr>
                <w:rFonts w:hint="eastAsia" w:eastAsia="宋体"/>
                <w:b/>
                <w:spacing w:val="-10"/>
                <w:sz w:val="24"/>
              </w:rPr>
              <w:t>法定</w:t>
            </w:r>
            <w:r>
              <w:rPr>
                <w:rFonts w:hint="eastAsia" w:eastAsia="宋体"/>
                <w:b/>
                <w:spacing w:val="-8"/>
                <w:sz w:val="24"/>
              </w:rPr>
              <w:t>代</w:t>
            </w:r>
            <w:r>
              <w:rPr>
                <w:rFonts w:hint="eastAsia" w:eastAsia="宋体"/>
                <w:b/>
                <w:spacing w:val="-10"/>
                <w:sz w:val="24"/>
              </w:rPr>
              <w:t>表人</w:t>
            </w:r>
            <w:r>
              <w:rPr>
                <w:rFonts w:hint="eastAsia" w:eastAsia="宋体"/>
                <w:b/>
                <w:spacing w:val="-14"/>
                <w:sz w:val="24"/>
              </w:rPr>
              <w:t xml:space="preserve">： </w:t>
            </w:r>
            <w:r>
              <w:rPr>
                <w:rFonts w:hint="eastAsia" w:eastAsia="宋体"/>
                <w:b/>
                <w:sz w:val="24"/>
                <w:lang w:val="en-US"/>
              </w:rPr>
              <w:t>被授权人</w:t>
            </w:r>
            <w:r>
              <w:rPr>
                <w:rFonts w:hint="eastAsia" w:eastAsia="宋体"/>
                <w:b/>
                <w:sz w:val="24"/>
              </w:rPr>
              <w:t>： 日</w:t>
            </w:r>
            <w:r>
              <w:rPr>
                <w:rFonts w:hint="eastAsia" w:eastAsia="宋体"/>
                <w:b/>
                <w:sz w:val="24"/>
              </w:rPr>
              <w:tab/>
            </w:r>
            <w:r>
              <w:rPr>
                <w:rFonts w:hint="eastAsia" w:eastAsia="宋体"/>
                <w:b/>
                <w:spacing w:val="-10"/>
                <w:sz w:val="24"/>
              </w:rPr>
              <w:t>期</w:t>
            </w:r>
            <w:r>
              <w:rPr>
                <w:rFonts w:hint="eastAsia" w:eastAsia="宋体"/>
                <w:b/>
                <w:sz w:val="24"/>
              </w:rPr>
              <w:t>：</w:t>
            </w:r>
          </w:p>
        </w:tc>
        <w:tc>
          <w:tcPr>
            <w:tcW w:w="4582" w:type="dxa"/>
          </w:tcPr>
          <w:p>
            <w:pPr>
              <w:pStyle w:val="107"/>
              <w:outlineLvl w:val="9"/>
              <w:rPr>
                <w:rFonts w:eastAsia="宋体"/>
                <w:sz w:val="24"/>
              </w:rPr>
            </w:pPr>
          </w:p>
          <w:p>
            <w:pPr>
              <w:pStyle w:val="107"/>
              <w:spacing w:before="10"/>
              <w:outlineLvl w:val="9"/>
              <w:rPr>
                <w:rFonts w:eastAsia="宋体"/>
                <w:sz w:val="18"/>
              </w:rPr>
            </w:pPr>
          </w:p>
          <w:p>
            <w:pPr>
              <w:pStyle w:val="107"/>
              <w:tabs>
                <w:tab w:val="left" w:pos="780"/>
              </w:tabs>
              <w:spacing w:before="1" w:line="583" w:lineRule="auto"/>
              <w:ind w:left="108" w:right="3067"/>
              <w:outlineLvl w:val="9"/>
              <w:rPr>
                <w:rFonts w:eastAsia="宋体"/>
                <w:b/>
                <w:sz w:val="24"/>
              </w:rPr>
            </w:pPr>
            <w:r>
              <w:rPr>
                <w:rFonts w:hint="eastAsia" w:eastAsia="宋体"/>
                <w:b/>
                <w:spacing w:val="-10"/>
                <w:sz w:val="24"/>
              </w:rPr>
              <w:t>法定</w:t>
            </w:r>
            <w:r>
              <w:rPr>
                <w:rFonts w:hint="eastAsia" w:eastAsia="宋体"/>
                <w:b/>
                <w:spacing w:val="-8"/>
                <w:sz w:val="24"/>
              </w:rPr>
              <w:t>代</w:t>
            </w:r>
            <w:r>
              <w:rPr>
                <w:rFonts w:hint="eastAsia" w:eastAsia="宋体"/>
                <w:b/>
                <w:spacing w:val="-10"/>
                <w:sz w:val="24"/>
              </w:rPr>
              <w:t>表人</w:t>
            </w:r>
            <w:r>
              <w:rPr>
                <w:rFonts w:hint="eastAsia" w:eastAsia="宋体"/>
                <w:b/>
                <w:spacing w:val="-15"/>
                <w:sz w:val="24"/>
              </w:rPr>
              <w:t xml:space="preserve">： </w:t>
            </w:r>
            <w:r>
              <w:rPr>
                <w:rFonts w:hint="eastAsia" w:eastAsia="宋体"/>
                <w:b/>
                <w:sz w:val="24"/>
                <w:lang w:val="en-US"/>
              </w:rPr>
              <w:t>被授权人</w:t>
            </w:r>
            <w:r>
              <w:rPr>
                <w:rFonts w:hint="eastAsia" w:eastAsia="宋体"/>
                <w:b/>
                <w:sz w:val="24"/>
              </w:rPr>
              <w:t>： 日</w:t>
            </w:r>
            <w:r>
              <w:rPr>
                <w:rFonts w:hint="eastAsia" w:eastAsia="宋体"/>
                <w:b/>
                <w:sz w:val="24"/>
              </w:rPr>
              <w:tab/>
            </w:r>
            <w:r>
              <w:rPr>
                <w:rFonts w:hint="eastAsia" w:eastAsia="宋体"/>
                <w:b/>
                <w:spacing w:val="-10"/>
                <w:sz w:val="24"/>
              </w:rPr>
              <w:t>期</w:t>
            </w:r>
            <w:r>
              <w:rPr>
                <w:rFonts w:hint="eastAsia" w:eastAsia="宋体"/>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6" w:hRule="atLeast"/>
          <w:jc w:val="center"/>
        </w:trPr>
        <w:tc>
          <w:tcPr>
            <w:tcW w:w="4515" w:type="dxa"/>
          </w:tcPr>
          <w:p>
            <w:pPr>
              <w:pStyle w:val="107"/>
              <w:spacing w:before="5"/>
              <w:outlineLvl w:val="9"/>
              <w:rPr>
                <w:rFonts w:eastAsia="宋体"/>
                <w:sz w:val="27"/>
              </w:rPr>
            </w:pPr>
          </w:p>
          <w:p>
            <w:pPr>
              <w:pStyle w:val="107"/>
              <w:tabs>
                <w:tab w:val="left" w:pos="557"/>
              </w:tabs>
              <w:spacing w:line="583" w:lineRule="auto"/>
              <w:ind w:left="106" w:right="3462"/>
              <w:outlineLvl w:val="9"/>
              <w:rPr>
                <w:rFonts w:eastAsia="宋体"/>
                <w:b/>
                <w:sz w:val="24"/>
              </w:rPr>
            </w:pPr>
            <w:r>
              <w:rPr>
                <w:rFonts w:hint="eastAsia" w:eastAsia="宋体"/>
                <w:b/>
                <w:sz w:val="24"/>
              </w:rPr>
              <w:t>账</w:t>
            </w:r>
            <w:r>
              <w:rPr>
                <w:rFonts w:hint="eastAsia" w:eastAsia="宋体"/>
                <w:b/>
                <w:sz w:val="24"/>
              </w:rPr>
              <w:tab/>
            </w:r>
            <w:r>
              <w:rPr>
                <w:rFonts w:hint="eastAsia" w:eastAsia="宋体"/>
                <w:b/>
                <w:spacing w:val="-10"/>
                <w:sz w:val="24"/>
              </w:rPr>
              <w:t>号</w:t>
            </w:r>
            <w:r>
              <w:rPr>
                <w:rFonts w:hint="eastAsia" w:eastAsia="宋体"/>
                <w:b/>
                <w:sz w:val="24"/>
              </w:rPr>
              <w:t xml:space="preserve">： </w:t>
            </w:r>
            <w:r>
              <w:rPr>
                <w:rFonts w:hint="eastAsia" w:eastAsia="宋体"/>
                <w:b/>
                <w:spacing w:val="-10"/>
                <w:sz w:val="24"/>
              </w:rPr>
              <w:t>开户</w:t>
            </w:r>
            <w:r>
              <w:rPr>
                <w:rFonts w:hint="eastAsia" w:eastAsia="宋体"/>
                <w:b/>
                <w:spacing w:val="-8"/>
                <w:sz w:val="24"/>
              </w:rPr>
              <w:t>行</w:t>
            </w:r>
            <w:r>
              <w:rPr>
                <w:rFonts w:hint="eastAsia" w:eastAsia="宋体"/>
                <w:b/>
                <w:spacing w:val="-15"/>
                <w:sz w:val="24"/>
              </w:rPr>
              <w:t>：</w:t>
            </w:r>
          </w:p>
        </w:tc>
        <w:tc>
          <w:tcPr>
            <w:tcW w:w="4582" w:type="dxa"/>
          </w:tcPr>
          <w:p>
            <w:pPr>
              <w:pStyle w:val="107"/>
              <w:spacing w:before="5"/>
              <w:outlineLvl w:val="9"/>
              <w:rPr>
                <w:rFonts w:eastAsia="宋体"/>
                <w:sz w:val="27"/>
              </w:rPr>
            </w:pPr>
          </w:p>
          <w:p>
            <w:pPr>
              <w:pStyle w:val="107"/>
              <w:tabs>
                <w:tab w:val="left" w:pos="559"/>
              </w:tabs>
              <w:spacing w:line="583" w:lineRule="auto"/>
              <w:ind w:left="108" w:right="3527"/>
              <w:outlineLvl w:val="9"/>
              <w:rPr>
                <w:rFonts w:eastAsia="宋体"/>
                <w:b/>
                <w:sz w:val="24"/>
              </w:rPr>
            </w:pPr>
            <w:r>
              <w:rPr>
                <w:rFonts w:hint="eastAsia" w:eastAsia="宋体"/>
                <w:b/>
                <w:sz w:val="24"/>
              </w:rPr>
              <w:t>账</w:t>
            </w:r>
            <w:r>
              <w:rPr>
                <w:rFonts w:hint="eastAsia" w:eastAsia="宋体"/>
                <w:b/>
                <w:sz w:val="24"/>
              </w:rPr>
              <w:tab/>
            </w:r>
            <w:r>
              <w:rPr>
                <w:rFonts w:hint="eastAsia" w:eastAsia="宋体"/>
                <w:b/>
                <w:spacing w:val="-10"/>
                <w:sz w:val="24"/>
              </w:rPr>
              <w:t>号</w:t>
            </w:r>
            <w:r>
              <w:rPr>
                <w:rFonts w:hint="eastAsia" w:eastAsia="宋体"/>
                <w:b/>
                <w:sz w:val="24"/>
              </w:rPr>
              <w:t xml:space="preserve">： </w:t>
            </w:r>
            <w:r>
              <w:rPr>
                <w:rFonts w:hint="eastAsia" w:eastAsia="宋体"/>
                <w:b/>
                <w:spacing w:val="-10"/>
                <w:sz w:val="24"/>
              </w:rPr>
              <w:t>开户</w:t>
            </w:r>
            <w:r>
              <w:rPr>
                <w:rFonts w:hint="eastAsia" w:eastAsia="宋体"/>
                <w:b/>
                <w:spacing w:val="-8"/>
                <w:sz w:val="24"/>
              </w:rPr>
              <w:t>行</w:t>
            </w:r>
            <w:r>
              <w:rPr>
                <w:rFonts w:hint="eastAsia" w:eastAsia="宋体"/>
                <w:b/>
                <w:spacing w:val="-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9" w:hRule="atLeast"/>
          <w:jc w:val="center"/>
        </w:trPr>
        <w:tc>
          <w:tcPr>
            <w:tcW w:w="9097" w:type="dxa"/>
            <w:gridSpan w:val="2"/>
          </w:tcPr>
          <w:p>
            <w:pPr>
              <w:pStyle w:val="107"/>
              <w:spacing w:before="156"/>
              <w:outlineLvl w:val="9"/>
              <w:rPr>
                <w:rFonts w:eastAsia="宋体"/>
                <w:b/>
                <w:sz w:val="24"/>
              </w:rPr>
            </w:pPr>
            <w:r>
              <w:rPr>
                <w:rFonts w:hint="eastAsia" w:eastAsia="宋体"/>
                <w:b/>
                <w:sz w:val="24"/>
              </w:rPr>
              <w:t>代理机构（盖章）</w:t>
            </w:r>
          </w:p>
          <w:p>
            <w:pPr>
              <w:pStyle w:val="107"/>
              <w:spacing w:before="156"/>
              <w:outlineLvl w:val="9"/>
              <w:rPr>
                <w:rFonts w:eastAsia="宋体"/>
                <w:b/>
                <w:sz w:val="24"/>
              </w:rPr>
            </w:pPr>
          </w:p>
          <w:p>
            <w:pPr>
              <w:pStyle w:val="107"/>
              <w:spacing w:before="156"/>
              <w:ind w:left="106"/>
              <w:outlineLvl w:val="9"/>
              <w:rPr>
                <w:rFonts w:eastAsia="宋体"/>
                <w:b/>
                <w:spacing w:val="-8"/>
                <w:sz w:val="24"/>
              </w:rPr>
            </w:pPr>
            <w:r>
              <w:rPr>
                <w:rFonts w:hint="eastAsia" w:eastAsia="宋体"/>
                <w:b/>
                <w:sz w:val="24"/>
              </w:rPr>
              <w:t>地</w:t>
            </w:r>
            <w:r>
              <w:rPr>
                <w:rFonts w:hint="eastAsia" w:eastAsia="宋体"/>
                <w:b/>
                <w:sz w:val="24"/>
              </w:rPr>
              <w:tab/>
            </w:r>
            <w:r>
              <w:rPr>
                <w:rFonts w:hint="eastAsia" w:eastAsia="宋体"/>
                <w:b/>
                <w:spacing w:val="-8"/>
                <w:sz w:val="24"/>
              </w:rPr>
              <w:t>址：</w:t>
            </w:r>
          </w:p>
          <w:p>
            <w:pPr>
              <w:pStyle w:val="107"/>
              <w:spacing w:before="156"/>
              <w:ind w:left="106"/>
              <w:outlineLvl w:val="9"/>
              <w:rPr>
                <w:rFonts w:eastAsia="宋体"/>
                <w:b/>
                <w:spacing w:val="-8"/>
                <w:sz w:val="24"/>
                <w:lang w:val="en-US"/>
              </w:rPr>
            </w:pPr>
          </w:p>
          <w:p>
            <w:pPr>
              <w:pStyle w:val="107"/>
              <w:tabs>
                <w:tab w:val="left" w:pos="557"/>
              </w:tabs>
              <w:spacing w:line="583" w:lineRule="auto"/>
              <w:ind w:left="106" w:right="3803"/>
              <w:outlineLvl w:val="9"/>
              <w:rPr>
                <w:rFonts w:eastAsia="宋体"/>
                <w:sz w:val="24"/>
                <w:lang w:val="en-US"/>
              </w:rPr>
            </w:pPr>
            <w:r>
              <w:rPr>
                <w:rFonts w:hint="eastAsia" w:eastAsia="宋体"/>
                <w:b/>
                <w:sz w:val="24"/>
              </w:rPr>
              <w:t>电</w:t>
            </w:r>
            <w:r>
              <w:rPr>
                <w:rFonts w:hint="eastAsia" w:eastAsia="宋体"/>
                <w:b/>
                <w:sz w:val="24"/>
              </w:rPr>
              <w:tab/>
            </w:r>
            <w:r>
              <w:rPr>
                <w:rFonts w:hint="eastAsia" w:eastAsia="宋体"/>
                <w:b/>
                <w:spacing w:val="-8"/>
                <w:sz w:val="24"/>
              </w:rPr>
              <w:t>话</w:t>
            </w:r>
            <w:r>
              <w:rPr>
                <w:rFonts w:hint="eastAsia" w:eastAsia="宋体"/>
                <w:b/>
                <w:sz w:val="24"/>
              </w:rPr>
              <w:t>:</w:t>
            </w:r>
          </w:p>
        </w:tc>
      </w:tr>
    </w:tbl>
    <w:p>
      <w:pPr>
        <w:autoSpaceDE w:val="0"/>
        <w:autoSpaceDN w:val="0"/>
        <w:spacing w:line="516" w:lineRule="exact"/>
        <w:outlineLvl w:val="9"/>
        <w:rPr>
          <w:rStyle w:val="34"/>
          <w:rFonts w:ascii="宋体" w:hAnsi="宋体" w:eastAsia="宋体" w:cs="宋体"/>
          <w:sz w:val="24"/>
          <w:szCs w:val="24"/>
        </w:rPr>
      </w:pPr>
      <w:r>
        <w:rPr>
          <w:rFonts w:hint="eastAsia" w:ascii="宋体" w:hAnsi="宋体" w:eastAsia="宋体" w:cs="宋体"/>
          <w:b/>
          <w:bCs/>
          <w:spacing w:val="-6"/>
          <w:sz w:val="24"/>
          <w:szCs w:val="24"/>
        </w:rPr>
        <w:t>注：本合同中主要条款必须全部响应，但格式仅作为参考文本，合同签订双方可根据项目的具体要求进行修订。</w:t>
      </w:r>
    </w:p>
    <w:p>
      <w:pPr>
        <w:outlineLvl w:val="9"/>
        <w:rPr>
          <w:rFonts w:ascii="宋体" w:hAnsi="宋体" w:eastAsia="宋体" w:cs="仿宋"/>
          <w:sz w:val="28"/>
          <w:szCs w:val="28"/>
        </w:rPr>
        <w:sectPr>
          <w:headerReference r:id="rId10" w:type="default"/>
          <w:pgSz w:w="11906" w:h="16838"/>
          <w:pgMar w:top="1440" w:right="1080" w:bottom="1440" w:left="1080" w:header="851" w:footer="992" w:gutter="0"/>
          <w:pgNumType w:fmt="decimal"/>
          <w:cols w:space="720" w:num="1"/>
          <w:docGrid w:linePitch="312" w:charSpace="0"/>
        </w:sectPr>
      </w:pPr>
    </w:p>
    <w:p>
      <w:pPr>
        <w:adjustRightInd/>
        <w:snapToGrid/>
        <w:spacing w:after="0" w:line="360" w:lineRule="auto"/>
        <w:jc w:val="center"/>
        <w:textAlignment w:val="baseline"/>
        <w:outlineLvl w:val="9"/>
        <w:rPr>
          <w:rFonts w:ascii="宋体" w:hAnsi="宋体" w:eastAsia="宋体" w:cs="Times New Roman"/>
          <w:b/>
          <w:bCs/>
          <w:kern w:val="44"/>
          <w:sz w:val="30"/>
        </w:rPr>
      </w:pPr>
      <w:bookmarkStart w:id="127" w:name="_Toc32174"/>
      <w:bookmarkStart w:id="128" w:name="_Toc9709"/>
      <w:r>
        <w:rPr>
          <w:rFonts w:hint="eastAsia" w:ascii="宋体" w:hAnsi="宋体" w:eastAsia="宋体" w:cs="Times New Roman"/>
          <w:b/>
          <w:bCs/>
          <w:kern w:val="44"/>
          <w:sz w:val="30"/>
        </w:rPr>
        <w:t>第七章</w:t>
      </w:r>
      <w:bookmarkEnd w:id="127"/>
      <w:r>
        <w:rPr>
          <w:rFonts w:hint="eastAsia" w:ascii="宋体" w:hAnsi="宋体" w:eastAsia="宋体" w:cs="Times New Roman"/>
          <w:b/>
          <w:bCs/>
          <w:kern w:val="44"/>
          <w:sz w:val="30"/>
        </w:rPr>
        <w:t>、</w:t>
      </w:r>
      <w:bookmarkStart w:id="129" w:name="_Toc31301"/>
      <w:r>
        <w:rPr>
          <w:rFonts w:hint="eastAsia" w:ascii="宋体" w:hAnsi="宋体" w:eastAsia="宋体" w:cs="Times New Roman"/>
          <w:b/>
          <w:bCs/>
          <w:kern w:val="44"/>
          <w:sz w:val="30"/>
        </w:rPr>
        <w:t>投标文件格式及附件</w:t>
      </w:r>
      <w:bookmarkEnd w:id="128"/>
      <w:bookmarkEnd w:id="129"/>
    </w:p>
    <w:p>
      <w:pPr>
        <w:outlineLvl w:val="9"/>
        <w:rPr>
          <w:rFonts w:ascii="宋体" w:hAnsi="宋体" w:eastAsia="宋体" w:cs="宋体"/>
          <w:sz w:val="24"/>
          <w:szCs w:val="24"/>
        </w:rPr>
      </w:pPr>
      <w:bookmarkStart w:id="130" w:name="_Toc25475"/>
      <w:bookmarkStart w:id="131" w:name="_Toc4544"/>
      <w:bookmarkStart w:id="132" w:name="_Toc8478"/>
      <w:r>
        <w:rPr>
          <w:rFonts w:hint="eastAsia" w:ascii="宋体" w:hAnsi="宋体" w:eastAsia="宋体" w:cs="宋体"/>
          <w:sz w:val="24"/>
          <w:szCs w:val="24"/>
        </w:rPr>
        <w:t>附件1: 投标文件封面格式</w:t>
      </w:r>
      <w:bookmarkEnd w:id="130"/>
      <w:bookmarkEnd w:id="131"/>
      <w:bookmarkEnd w:id="132"/>
    </w:p>
    <w:p>
      <w:pPr>
        <w:outlineLvl w:val="9"/>
        <w:rPr>
          <w:rFonts w:ascii="宋体" w:hAnsi="宋体" w:eastAsia="宋体" w:cs="宋体"/>
          <w:sz w:val="24"/>
          <w:szCs w:val="24"/>
        </w:rPr>
      </w:pPr>
      <w:bookmarkStart w:id="133" w:name="_Toc14058"/>
      <w:bookmarkStart w:id="134" w:name="_Toc28442"/>
      <w:bookmarkStart w:id="135" w:name="_Toc7203"/>
      <w:bookmarkStart w:id="136" w:name="_Toc18914"/>
      <w:r>
        <w:rPr>
          <w:rFonts w:hint="eastAsia" w:ascii="宋体" w:hAnsi="宋体" w:eastAsia="宋体" w:cs="宋体"/>
          <w:sz w:val="24"/>
          <w:szCs w:val="24"/>
        </w:rPr>
        <w:t>附件2: 投标函</w:t>
      </w:r>
      <w:bookmarkEnd w:id="133"/>
      <w:bookmarkEnd w:id="134"/>
      <w:bookmarkEnd w:id="135"/>
      <w:bookmarkEnd w:id="136"/>
    </w:p>
    <w:p>
      <w:pPr>
        <w:outlineLvl w:val="9"/>
        <w:rPr>
          <w:rFonts w:ascii="宋体" w:hAnsi="宋体" w:eastAsia="宋体" w:cs="宋体"/>
          <w:sz w:val="24"/>
          <w:szCs w:val="24"/>
        </w:rPr>
      </w:pPr>
      <w:bookmarkStart w:id="137" w:name="_Toc32154"/>
      <w:bookmarkStart w:id="138" w:name="_Toc20862"/>
      <w:bookmarkStart w:id="139" w:name="_Toc8429"/>
      <w:bookmarkStart w:id="140" w:name="_Toc22478"/>
      <w:r>
        <w:rPr>
          <w:rFonts w:hint="eastAsia" w:ascii="宋体" w:hAnsi="宋体" w:eastAsia="宋体" w:cs="宋体"/>
          <w:sz w:val="24"/>
          <w:szCs w:val="24"/>
        </w:rPr>
        <w:t>附件3：法定代表人身份证明</w:t>
      </w:r>
      <w:bookmarkEnd w:id="137"/>
      <w:bookmarkEnd w:id="138"/>
      <w:bookmarkEnd w:id="139"/>
      <w:bookmarkEnd w:id="140"/>
    </w:p>
    <w:p>
      <w:pPr>
        <w:outlineLvl w:val="9"/>
        <w:rPr>
          <w:rFonts w:ascii="宋体" w:hAnsi="宋体" w:eastAsia="宋体" w:cs="宋体"/>
          <w:sz w:val="24"/>
          <w:szCs w:val="24"/>
        </w:rPr>
      </w:pPr>
      <w:bookmarkStart w:id="141" w:name="_Toc12490"/>
      <w:bookmarkStart w:id="142" w:name="_Toc18231"/>
      <w:bookmarkStart w:id="143" w:name="_Toc12782"/>
      <w:bookmarkStart w:id="144" w:name="_Toc1916"/>
      <w:r>
        <w:rPr>
          <w:rFonts w:hint="eastAsia" w:ascii="宋体" w:hAnsi="宋体" w:eastAsia="宋体" w:cs="宋体"/>
          <w:sz w:val="24"/>
          <w:szCs w:val="24"/>
        </w:rPr>
        <w:t>附件4：法人授权委托函</w:t>
      </w:r>
      <w:bookmarkEnd w:id="141"/>
      <w:bookmarkEnd w:id="142"/>
      <w:bookmarkEnd w:id="143"/>
      <w:bookmarkEnd w:id="144"/>
    </w:p>
    <w:p>
      <w:pPr>
        <w:outlineLvl w:val="9"/>
        <w:rPr>
          <w:rFonts w:ascii="宋体" w:hAnsi="宋体" w:eastAsia="宋体" w:cs="宋体"/>
          <w:sz w:val="24"/>
          <w:szCs w:val="24"/>
        </w:rPr>
      </w:pPr>
      <w:bookmarkStart w:id="145" w:name="_Toc12856"/>
      <w:bookmarkStart w:id="146" w:name="_Toc21750"/>
      <w:bookmarkStart w:id="147" w:name="_Toc25885"/>
      <w:bookmarkStart w:id="148" w:name="_Toc22513"/>
      <w:r>
        <w:rPr>
          <w:rFonts w:hint="eastAsia" w:ascii="宋体" w:hAnsi="宋体" w:eastAsia="宋体" w:cs="宋体"/>
          <w:sz w:val="24"/>
          <w:szCs w:val="24"/>
        </w:rPr>
        <w:t>附件5：投标报价表</w:t>
      </w:r>
      <w:bookmarkEnd w:id="145"/>
      <w:bookmarkEnd w:id="146"/>
      <w:bookmarkEnd w:id="147"/>
      <w:bookmarkEnd w:id="148"/>
    </w:p>
    <w:p>
      <w:pPr>
        <w:outlineLvl w:val="9"/>
        <w:rPr>
          <w:rFonts w:hint="default" w:ascii="宋体" w:hAnsi="宋体" w:eastAsia="宋体" w:cs="宋体"/>
          <w:sz w:val="24"/>
          <w:szCs w:val="24"/>
          <w:lang w:val="en-US" w:eastAsia="zh-CN"/>
        </w:rPr>
      </w:pPr>
      <w:r>
        <w:rPr>
          <w:rFonts w:hint="eastAsia" w:ascii="宋体" w:hAnsi="宋体" w:eastAsia="宋体" w:cs="宋体"/>
          <w:sz w:val="24"/>
          <w:szCs w:val="24"/>
        </w:rPr>
        <w:t>附件6：</w:t>
      </w:r>
      <w:bookmarkStart w:id="149" w:name="_Toc18771"/>
      <w:bookmarkStart w:id="150" w:name="_Toc19779"/>
      <w:bookmarkStart w:id="151" w:name="_Toc29610"/>
      <w:r>
        <w:rPr>
          <w:rFonts w:hint="eastAsia" w:ascii="宋体" w:hAnsi="宋体" w:eastAsia="宋体" w:cs="宋体"/>
          <w:sz w:val="24"/>
          <w:szCs w:val="24"/>
          <w:lang w:val="en-US" w:eastAsia="zh-CN"/>
        </w:rPr>
        <w:t>投标方案说明书</w:t>
      </w:r>
    </w:p>
    <w:p>
      <w:pPr>
        <w:outlineLvl w:val="9"/>
        <w:rPr>
          <w:rFonts w:ascii="宋体" w:hAnsi="宋体" w:eastAsia="宋体" w:cs="宋体"/>
          <w:sz w:val="24"/>
          <w:szCs w:val="24"/>
        </w:rPr>
      </w:pPr>
      <w:r>
        <w:rPr>
          <w:rFonts w:hint="eastAsia" w:ascii="宋体" w:hAnsi="宋体" w:eastAsia="宋体" w:cs="宋体"/>
          <w:sz w:val="24"/>
          <w:szCs w:val="24"/>
        </w:rPr>
        <w:t>附件7：投标材料真实性保证承诺书</w:t>
      </w:r>
      <w:bookmarkEnd w:id="149"/>
      <w:bookmarkEnd w:id="150"/>
      <w:bookmarkEnd w:id="151"/>
    </w:p>
    <w:p>
      <w:pPr>
        <w:outlineLvl w:val="9"/>
        <w:rPr>
          <w:rFonts w:ascii="宋体" w:hAnsi="宋体" w:eastAsia="宋体" w:cs="宋体"/>
          <w:sz w:val="24"/>
          <w:szCs w:val="24"/>
        </w:rPr>
      </w:pPr>
      <w:bookmarkStart w:id="152" w:name="_Toc20879"/>
      <w:bookmarkStart w:id="153" w:name="_Toc17893"/>
      <w:bookmarkStart w:id="154" w:name="_Toc14128"/>
      <w:bookmarkStart w:id="155" w:name="_Toc28286"/>
      <w:r>
        <w:rPr>
          <w:rFonts w:hint="eastAsia" w:ascii="宋体" w:hAnsi="宋体" w:eastAsia="宋体" w:cs="宋体"/>
          <w:sz w:val="24"/>
          <w:szCs w:val="24"/>
        </w:rPr>
        <w:t>附件8：投标人资质证明文件及认为有必要的其他相关证明材料</w:t>
      </w:r>
      <w:bookmarkEnd w:id="152"/>
      <w:bookmarkEnd w:id="153"/>
      <w:bookmarkEnd w:id="154"/>
      <w:bookmarkEnd w:id="155"/>
    </w:p>
    <w:p>
      <w:pPr>
        <w:outlineLvl w:val="9"/>
        <w:rPr>
          <w:rFonts w:ascii="宋体" w:hAnsi="宋体" w:eastAsia="宋体" w:cs="宋体"/>
          <w:sz w:val="24"/>
          <w:szCs w:val="24"/>
        </w:rPr>
      </w:pPr>
      <w:r>
        <w:rPr>
          <w:rFonts w:hint="eastAsia" w:ascii="宋体" w:hAnsi="宋体" w:eastAsia="宋体" w:cs="宋体"/>
          <w:sz w:val="24"/>
          <w:szCs w:val="24"/>
        </w:rPr>
        <w:t>附件9：商务偏离表</w:t>
      </w:r>
    </w:p>
    <w:p>
      <w:pPr>
        <w:outlineLvl w:val="9"/>
        <w:rPr>
          <w:rFonts w:ascii="宋体" w:hAnsi="宋体" w:eastAsia="宋体" w:cs="宋体"/>
          <w:sz w:val="24"/>
          <w:szCs w:val="24"/>
        </w:rPr>
      </w:pPr>
      <w:bookmarkStart w:id="156" w:name="_Toc14469"/>
      <w:bookmarkStart w:id="157" w:name="_Toc6497"/>
      <w:bookmarkStart w:id="158" w:name="_Toc19802"/>
      <w:bookmarkStart w:id="159" w:name="_Toc24039"/>
      <w:r>
        <w:rPr>
          <w:rFonts w:hint="eastAsia" w:ascii="宋体" w:hAnsi="宋体" w:eastAsia="宋体" w:cs="宋体"/>
          <w:sz w:val="24"/>
          <w:szCs w:val="24"/>
        </w:rPr>
        <w:t>附件10</w:t>
      </w:r>
      <w:bookmarkEnd w:id="156"/>
      <w:bookmarkEnd w:id="157"/>
      <w:bookmarkEnd w:id="158"/>
      <w:bookmarkEnd w:id="159"/>
      <w:bookmarkStart w:id="160" w:name="_Toc5871"/>
      <w:bookmarkStart w:id="161" w:name="_Toc9930"/>
      <w:bookmarkStart w:id="162" w:name="_Toc30321"/>
      <w:bookmarkStart w:id="163" w:name="_Toc27625"/>
      <w:r>
        <w:rPr>
          <w:rFonts w:hint="eastAsia" w:ascii="宋体" w:hAnsi="宋体" w:eastAsia="宋体" w:cs="宋体"/>
          <w:sz w:val="24"/>
          <w:szCs w:val="24"/>
        </w:rPr>
        <w:t>：优惠条件承诺书</w:t>
      </w:r>
      <w:bookmarkEnd w:id="160"/>
      <w:bookmarkEnd w:id="161"/>
      <w:bookmarkEnd w:id="162"/>
      <w:bookmarkEnd w:id="163"/>
    </w:p>
    <w:p>
      <w:pPr>
        <w:outlineLvl w:val="9"/>
        <w:rPr>
          <w:rFonts w:ascii="宋体" w:hAnsi="宋体" w:eastAsia="宋体" w:cs="宋体"/>
          <w:sz w:val="24"/>
          <w:szCs w:val="24"/>
        </w:rPr>
      </w:pPr>
      <w:bookmarkStart w:id="164" w:name="_Toc19824"/>
      <w:bookmarkStart w:id="165" w:name="_Toc23992"/>
      <w:bookmarkStart w:id="166" w:name="_Toc25200"/>
      <w:bookmarkStart w:id="167" w:name="_Toc6060"/>
      <w:r>
        <w:rPr>
          <w:rFonts w:hint="eastAsia" w:ascii="宋体" w:hAnsi="宋体" w:eastAsia="宋体" w:cs="宋体"/>
          <w:sz w:val="24"/>
          <w:szCs w:val="24"/>
        </w:rPr>
        <w:t>附件11</w:t>
      </w:r>
      <w:bookmarkEnd w:id="164"/>
      <w:bookmarkEnd w:id="165"/>
      <w:bookmarkEnd w:id="166"/>
      <w:bookmarkEnd w:id="167"/>
      <w:bookmarkStart w:id="168" w:name="_Toc8973"/>
      <w:bookmarkStart w:id="169" w:name="_Toc1857"/>
      <w:bookmarkStart w:id="170" w:name="_Toc23249"/>
      <w:bookmarkStart w:id="171" w:name="_Toc28591"/>
      <w:r>
        <w:rPr>
          <w:rFonts w:hint="eastAsia" w:ascii="宋体" w:hAnsi="宋体" w:eastAsia="宋体" w:cs="宋体"/>
          <w:sz w:val="24"/>
          <w:szCs w:val="24"/>
        </w:rPr>
        <w:t>：无重大违法记录声明</w:t>
      </w:r>
      <w:bookmarkEnd w:id="168"/>
      <w:bookmarkEnd w:id="169"/>
      <w:bookmarkEnd w:id="170"/>
      <w:bookmarkEnd w:id="171"/>
    </w:p>
    <w:p>
      <w:pPr>
        <w:outlineLvl w:val="9"/>
        <w:rPr>
          <w:rFonts w:ascii="宋体" w:hAnsi="宋体" w:eastAsia="宋体" w:cs="宋体"/>
          <w:sz w:val="24"/>
          <w:szCs w:val="24"/>
        </w:rPr>
      </w:pPr>
      <w:bookmarkStart w:id="172" w:name="_Toc22743"/>
      <w:bookmarkStart w:id="173" w:name="_Toc1110"/>
      <w:bookmarkStart w:id="174" w:name="_Toc12724"/>
      <w:bookmarkStart w:id="175" w:name="_Toc24308"/>
      <w:r>
        <w:rPr>
          <w:rFonts w:hint="eastAsia" w:ascii="宋体" w:hAnsi="宋体" w:eastAsia="宋体" w:cs="宋体"/>
          <w:sz w:val="24"/>
          <w:szCs w:val="24"/>
        </w:rPr>
        <w:t>附件12：中小企业声明函</w:t>
      </w:r>
      <w:bookmarkEnd w:id="172"/>
      <w:bookmarkEnd w:id="173"/>
      <w:bookmarkEnd w:id="174"/>
      <w:bookmarkEnd w:id="175"/>
    </w:p>
    <w:p>
      <w:pPr>
        <w:outlineLvl w:val="9"/>
        <w:rPr>
          <w:rFonts w:ascii="宋体" w:hAnsi="宋体" w:eastAsia="宋体" w:cs="宋体"/>
          <w:sz w:val="24"/>
          <w:szCs w:val="24"/>
        </w:rPr>
      </w:pPr>
      <w:bookmarkStart w:id="176" w:name="_Toc31816"/>
      <w:bookmarkStart w:id="177" w:name="_Toc7393"/>
      <w:bookmarkStart w:id="178" w:name="_Toc20710"/>
      <w:bookmarkStart w:id="179" w:name="_Toc21178"/>
      <w:r>
        <w:rPr>
          <w:rFonts w:hint="eastAsia" w:ascii="宋体" w:hAnsi="宋体" w:eastAsia="宋体" w:cs="宋体"/>
          <w:sz w:val="24"/>
          <w:szCs w:val="24"/>
        </w:rPr>
        <w:t>附件13：同意招标文件条款声明</w:t>
      </w:r>
      <w:bookmarkEnd w:id="176"/>
      <w:bookmarkEnd w:id="177"/>
      <w:bookmarkEnd w:id="178"/>
      <w:bookmarkEnd w:id="179"/>
    </w:p>
    <w:p>
      <w:pPr>
        <w:outlineLvl w:val="9"/>
        <w:rPr>
          <w:rFonts w:ascii="宋体" w:hAnsi="宋体" w:eastAsia="宋体" w:cs="宋体"/>
          <w:sz w:val="24"/>
          <w:szCs w:val="24"/>
        </w:rPr>
      </w:pPr>
      <w:bookmarkStart w:id="180" w:name="_Toc13934"/>
      <w:bookmarkStart w:id="181" w:name="_Toc3434"/>
      <w:bookmarkStart w:id="182" w:name="_Toc3792"/>
      <w:bookmarkStart w:id="183" w:name="_Toc31791"/>
      <w:r>
        <w:rPr>
          <w:rFonts w:hint="eastAsia" w:ascii="宋体" w:hAnsi="宋体" w:eastAsia="宋体" w:cs="宋体"/>
          <w:sz w:val="24"/>
          <w:szCs w:val="24"/>
        </w:rPr>
        <w:t>附件14：虚假应标承担责任声明</w:t>
      </w:r>
      <w:bookmarkEnd w:id="180"/>
      <w:bookmarkEnd w:id="181"/>
      <w:bookmarkEnd w:id="182"/>
      <w:bookmarkEnd w:id="183"/>
    </w:p>
    <w:p>
      <w:pPr>
        <w:outlineLvl w:val="9"/>
        <w:rPr>
          <w:rFonts w:ascii="宋体" w:hAnsi="宋体" w:eastAsia="宋体" w:cs="宋体"/>
          <w:sz w:val="24"/>
          <w:szCs w:val="24"/>
        </w:rPr>
      </w:pPr>
      <w:bookmarkStart w:id="184" w:name="_Toc28777"/>
      <w:bookmarkStart w:id="185" w:name="_Toc7731"/>
      <w:bookmarkStart w:id="186" w:name="_Toc13824"/>
      <w:bookmarkStart w:id="187" w:name="_Toc20563"/>
      <w:r>
        <w:rPr>
          <w:rFonts w:hint="eastAsia" w:ascii="宋体" w:hAnsi="宋体" w:eastAsia="宋体" w:cs="宋体"/>
          <w:sz w:val="24"/>
          <w:szCs w:val="24"/>
        </w:rPr>
        <w:t>附件15：代理服务费确认书</w:t>
      </w:r>
      <w:bookmarkEnd w:id="184"/>
      <w:bookmarkEnd w:id="185"/>
      <w:bookmarkEnd w:id="186"/>
      <w:bookmarkEnd w:id="187"/>
    </w:p>
    <w:p>
      <w:pPr>
        <w:outlineLvl w:val="9"/>
        <w:rPr>
          <w:rFonts w:ascii="宋体" w:hAnsi="宋体" w:eastAsia="宋体" w:cs="宋体"/>
          <w:sz w:val="24"/>
          <w:szCs w:val="24"/>
        </w:rPr>
      </w:pPr>
      <w:bookmarkStart w:id="188" w:name="_Toc27827"/>
      <w:bookmarkStart w:id="189" w:name="_Toc23678"/>
      <w:bookmarkStart w:id="190" w:name="_Toc29129"/>
      <w:r>
        <w:rPr>
          <w:rFonts w:hint="eastAsia" w:ascii="宋体" w:hAnsi="宋体" w:eastAsia="宋体" w:cs="宋体"/>
          <w:sz w:val="24"/>
          <w:szCs w:val="24"/>
        </w:rPr>
        <w:t>附件16：代理服务费承诺书</w:t>
      </w:r>
    </w:p>
    <w:p>
      <w:pPr>
        <w:outlineLvl w:val="9"/>
        <w:rPr>
          <w:rFonts w:ascii="宋体" w:hAnsi="宋体" w:eastAsia="宋体" w:cs="宋体"/>
          <w:sz w:val="24"/>
          <w:szCs w:val="24"/>
        </w:rPr>
      </w:pPr>
      <w:r>
        <w:rPr>
          <w:rFonts w:hint="eastAsia" w:ascii="宋体" w:hAnsi="宋体" w:eastAsia="宋体" w:cs="宋体"/>
          <w:sz w:val="24"/>
          <w:szCs w:val="24"/>
        </w:rPr>
        <w:t>附件17：残疾人福利性单位声明函</w:t>
      </w:r>
      <w:bookmarkEnd w:id="188"/>
      <w:bookmarkEnd w:id="189"/>
      <w:bookmarkEnd w:id="190"/>
    </w:p>
    <w:p>
      <w:pPr>
        <w:spacing w:after="0" w:line="360" w:lineRule="auto"/>
        <w:outlineLvl w:val="9"/>
        <w:rPr>
          <w:rFonts w:ascii="宋体" w:hAnsi="宋体" w:eastAsia="宋体" w:cs="宋体"/>
          <w:sz w:val="24"/>
          <w:szCs w:val="24"/>
        </w:rPr>
      </w:pPr>
      <w:bookmarkStart w:id="191" w:name="_Toc31572"/>
      <w:bookmarkStart w:id="192" w:name="_Toc7636"/>
      <w:bookmarkStart w:id="193" w:name="_Toc30333"/>
      <w:bookmarkStart w:id="194" w:name="_Toc18863"/>
      <w:r>
        <w:rPr>
          <w:rFonts w:hint="eastAsia" w:ascii="宋体" w:hAnsi="宋体" w:eastAsia="宋体" w:cs="宋体"/>
          <w:sz w:val="24"/>
          <w:szCs w:val="24"/>
        </w:rPr>
        <w:t>附件18：</w:t>
      </w:r>
      <w:bookmarkEnd w:id="191"/>
      <w:bookmarkEnd w:id="192"/>
      <w:bookmarkEnd w:id="193"/>
      <w:bookmarkEnd w:id="194"/>
      <w:r>
        <w:rPr>
          <w:rFonts w:hint="eastAsia" w:ascii="宋体" w:hAnsi="宋体" w:eastAsia="宋体" w:cs="宋体"/>
          <w:sz w:val="24"/>
          <w:szCs w:val="24"/>
        </w:rPr>
        <w:t>政府采购促进中小企业发展管理办法及关于进一步加大政府采购支持中小企业力度的通知</w:t>
      </w:r>
    </w:p>
    <w:p>
      <w:pPr>
        <w:outlineLvl w:val="9"/>
        <w:rPr>
          <w:rFonts w:ascii="宋体" w:hAnsi="宋体" w:eastAsia="宋体" w:cs="宋体"/>
          <w:sz w:val="24"/>
          <w:szCs w:val="24"/>
        </w:rPr>
      </w:pPr>
      <w:bookmarkStart w:id="195" w:name="_Toc23498"/>
      <w:bookmarkStart w:id="196" w:name="_Toc27198"/>
      <w:bookmarkStart w:id="197" w:name="_Toc32355"/>
      <w:bookmarkStart w:id="198" w:name="_Toc19890"/>
      <w:r>
        <w:rPr>
          <w:rFonts w:hint="eastAsia" w:ascii="宋体" w:hAnsi="宋体" w:eastAsia="宋体" w:cs="宋体"/>
          <w:sz w:val="24"/>
          <w:szCs w:val="24"/>
        </w:rPr>
        <w:t>附件19：中小企业划型标准规定</w:t>
      </w:r>
      <w:bookmarkEnd w:id="195"/>
      <w:bookmarkEnd w:id="196"/>
      <w:bookmarkEnd w:id="197"/>
      <w:bookmarkEnd w:id="198"/>
    </w:p>
    <w:p>
      <w:pPr>
        <w:outlineLvl w:val="9"/>
        <w:rPr>
          <w:rFonts w:ascii="宋体" w:hAnsi="宋体" w:eastAsia="宋体" w:cs="宋体"/>
          <w:sz w:val="24"/>
          <w:szCs w:val="24"/>
        </w:rPr>
      </w:pPr>
      <w:bookmarkStart w:id="199" w:name="_Toc30312"/>
      <w:bookmarkStart w:id="200" w:name="_Toc25951"/>
      <w:bookmarkStart w:id="201" w:name="_Toc1167"/>
      <w:bookmarkStart w:id="202" w:name="_Toc31763"/>
      <w:r>
        <w:rPr>
          <w:rFonts w:hint="eastAsia" w:ascii="宋体" w:hAnsi="宋体" w:eastAsia="宋体" w:cs="宋体"/>
          <w:sz w:val="24"/>
          <w:szCs w:val="24"/>
        </w:rPr>
        <w:t>附件20：三部门联合发布关于促进残疾人就业政府采购政策的通知</w:t>
      </w:r>
      <w:bookmarkEnd w:id="199"/>
      <w:bookmarkEnd w:id="200"/>
      <w:bookmarkEnd w:id="201"/>
      <w:bookmarkEnd w:id="202"/>
    </w:p>
    <w:p>
      <w:pPr>
        <w:outlineLvl w:val="9"/>
        <w:rPr>
          <w:rFonts w:ascii="宋体" w:hAnsi="宋体" w:eastAsia="宋体" w:cs="宋体"/>
          <w:sz w:val="24"/>
          <w:szCs w:val="24"/>
        </w:rPr>
      </w:pPr>
      <w:r>
        <w:rPr>
          <w:rFonts w:hint="eastAsia" w:ascii="宋体" w:hAnsi="宋体" w:eastAsia="宋体" w:cs="宋体"/>
          <w:sz w:val="24"/>
          <w:szCs w:val="24"/>
        </w:rPr>
        <w:t>附近21：关于政府采购支持监狱企业发展有关问题的通知</w:t>
      </w:r>
    </w:p>
    <w:p>
      <w:pPr>
        <w:adjustRightInd/>
        <w:snapToGrid/>
        <w:spacing w:after="0" w:line="360" w:lineRule="auto"/>
        <w:ind w:firstLine="482" w:firstLineChars="200"/>
        <w:textAlignment w:val="baseline"/>
        <w:outlineLvl w:val="9"/>
        <w:rPr>
          <w:rFonts w:ascii="宋体" w:hAnsi="宋体" w:eastAsia="宋体" w:cs="宋体"/>
          <w:b/>
          <w:bCs/>
          <w:kern w:val="2"/>
          <w:sz w:val="24"/>
          <w:szCs w:val="24"/>
        </w:rPr>
        <w:sectPr>
          <w:headerReference r:id="rId11" w:type="default"/>
          <w:pgSz w:w="11906" w:h="16838"/>
          <w:pgMar w:top="1440" w:right="1080" w:bottom="1440" w:left="1080" w:header="850" w:footer="850" w:gutter="0"/>
          <w:pgNumType w:fmt="decimal"/>
          <w:cols w:space="720" w:num="1"/>
          <w:docGrid w:linePitch="381" w:charSpace="0"/>
        </w:sectPr>
      </w:pPr>
      <w:r>
        <w:rPr>
          <w:rFonts w:hint="eastAsia" w:ascii="宋体" w:hAnsi="宋体" w:eastAsia="宋体" w:cs="宋体"/>
          <w:b/>
          <w:bCs/>
          <w:kern w:val="2"/>
          <w:sz w:val="24"/>
          <w:szCs w:val="24"/>
        </w:rPr>
        <w:t>注：上述规定格式必须严格按照招标文件要求制作，未载明的格式供应商自行拟定。</w:t>
      </w:r>
    </w:p>
    <w:p>
      <w:pPr>
        <w:jc w:val="center"/>
        <w:outlineLvl w:val="9"/>
        <w:rPr>
          <w:rFonts w:ascii="宋体" w:hAnsi="宋体" w:eastAsia="宋体" w:cs="宋体"/>
          <w:sz w:val="28"/>
          <w:szCs w:val="28"/>
        </w:rPr>
      </w:pPr>
      <w:bookmarkStart w:id="203" w:name="_Toc25124"/>
      <w:bookmarkStart w:id="204" w:name="_Toc8965"/>
      <w:bookmarkStart w:id="205" w:name="_Toc29533"/>
      <w:bookmarkStart w:id="206" w:name="_Toc19385"/>
      <w:bookmarkStart w:id="207" w:name="_Toc9052"/>
      <w:bookmarkStart w:id="208" w:name="_Toc4786"/>
      <w:r>
        <w:rPr>
          <w:rFonts w:hint="eastAsia" w:ascii="宋体" w:hAnsi="宋体" w:eastAsia="宋体" w:cs="宋体"/>
          <w:b/>
          <w:bCs/>
          <w:sz w:val="28"/>
          <w:szCs w:val="28"/>
        </w:rPr>
        <w:t>附件1：</w:t>
      </w:r>
      <w:bookmarkEnd w:id="203"/>
      <w:bookmarkEnd w:id="204"/>
      <w:bookmarkEnd w:id="205"/>
      <w:bookmarkEnd w:id="206"/>
      <w:bookmarkEnd w:id="207"/>
      <w:r>
        <w:rPr>
          <w:rFonts w:hint="eastAsia" w:ascii="宋体" w:hAnsi="宋体" w:eastAsia="宋体" w:cs="宋体"/>
          <w:sz w:val="28"/>
          <w:szCs w:val="28"/>
        </w:rPr>
        <w:t xml:space="preserve"> </w:t>
      </w:r>
      <w:r>
        <w:rPr>
          <w:rFonts w:ascii="宋体" w:hAnsi="宋体" w:eastAsia="宋体" w:cs="Times New Roman"/>
          <w:kern w:val="2"/>
          <w:sz w:val="30"/>
        </w:rPr>
        <w:t>投标文件封面格式</w:t>
      </w:r>
      <w:bookmarkEnd w:id="208"/>
    </w:p>
    <w:p>
      <w:pPr>
        <w:adjustRightInd/>
        <w:snapToGrid/>
        <w:spacing w:after="0" w:line="360" w:lineRule="auto"/>
        <w:jc w:val="center"/>
        <w:textAlignment w:val="baseline"/>
        <w:outlineLvl w:val="9"/>
        <w:rPr>
          <w:rFonts w:ascii="宋体" w:hAnsi="宋体" w:eastAsia="宋体" w:cs="Times New Roman"/>
          <w:b/>
          <w:kern w:val="2"/>
          <w:sz w:val="30"/>
        </w:rPr>
      </w:pPr>
    </w:p>
    <w:p>
      <w:pPr>
        <w:adjustRightInd/>
        <w:snapToGrid/>
        <w:spacing w:after="0" w:line="360" w:lineRule="auto"/>
        <w:jc w:val="center"/>
        <w:textAlignment w:val="baseline"/>
        <w:outlineLvl w:val="9"/>
        <w:rPr>
          <w:rFonts w:ascii="宋体" w:hAnsi="宋体" w:eastAsia="宋体" w:cs="Times New Roman"/>
          <w:b/>
          <w:kern w:val="2"/>
          <w:sz w:val="30"/>
        </w:rPr>
      </w:pPr>
    </w:p>
    <w:p>
      <w:pPr>
        <w:tabs>
          <w:tab w:val="left" w:pos="7589"/>
        </w:tabs>
        <w:adjustRightInd/>
        <w:snapToGrid/>
        <w:spacing w:after="0" w:line="360" w:lineRule="auto"/>
        <w:textAlignment w:val="baseline"/>
        <w:outlineLvl w:val="9"/>
        <w:rPr>
          <w:rFonts w:ascii="宋体" w:hAnsi="宋体" w:eastAsia="宋体" w:cs="Times New Roman"/>
          <w:b/>
          <w:kern w:val="2"/>
          <w:sz w:val="48"/>
        </w:rPr>
      </w:pPr>
      <w:r>
        <w:rPr>
          <w:rFonts w:ascii="宋体" w:hAnsi="宋体" w:eastAsia="宋体" w:cs="Times New Roman"/>
          <w:b/>
          <w:kern w:val="2"/>
          <w:sz w:val="48"/>
        </w:rPr>
        <w:tab/>
      </w:r>
    </w:p>
    <w:p>
      <w:pPr>
        <w:adjustRightInd/>
        <w:snapToGrid/>
        <w:spacing w:after="0" w:line="360" w:lineRule="auto"/>
        <w:jc w:val="center"/>
        <w:textAlignment w:val="baseline"/>
        <w:outlineLvl w:val="9"/>
        <w:rPr>
          <w:rFonts w:hint="eastAsia" w:ascii="宋体" w:hAnsi="宋体" w:eastAsia="宋体" w:cs="Times New Roman"/>
          <w:b/>
          <w:kern w:val="2"/>
          <w:sz w:val="30"/>
          <w:lang w:eastAsia="zh-CN"/>
        </w:rPr>
      </w:pPr>
      <w:r>
        <w:rPr>
          <w:rFonts w:hint="eastAsia" w:ascii="宋体" w:hAnsi="宋体" w:eastAsia="宋体" w:cs="Times New Roman"/>
          <w:b/>
          <w:kern w:val="2"/>
          <w:sz w:val="30"/>
          <w:lang w:eastAsia="zh-CN"/>
        </w:rPr>
        <w:t>陇南市武都区2024年核桃示范园建设项目</w:t>
      </w:r>
    </w:p>
    <w:p>
      <w:pPr>
        <w:adjustRightInd/>
        <w:snapToGrid/>
        <w:spacing w:after="0" w:line="360" w:lineRule="auto"/>
        <w:jc w:val="center"/>
        <w:textAlignment w:val="baseline"/>
        <w:outlineLvl w:val="9"/>
        <w:rPr>
          <w:rFonts w:hint="eastAsia" w:ascii="宋体" w:hAnsi="宋体" w:eastAsia="宋体" w:cs="Times New Roman"/>
          <w:b/>
          <w:kern w:val="2"/>
          <w:sz w:val="30"/>
          <w:lang w:eastAsia="zh-CN"/>
        </w:rPr>
      </w:pPr>
    </w:p>
    <w:p>
      <w:pPr>
        <w:adjustRightInd/>
        <w:snapToGrid/>
        <w:spacing w:after="0" w:line="360" w:lineRule="auto"/>
        <w:jc w:val="center"/>
        <w:textAlignment w:val="baseline"/>
        <w:outlineLvl w:val="9"/>
        <w:rPr>
          <w:rFonts w:ascii="宋体" w:hAnsi="宋体" w:eastAsia="宋体" w:cs="Times New Roman"/>
          <w:b/>
          <w:kern w:val="2"/>
          <w:sz w:val="72"/>
        </w:rPr>
      </w:pPr>
    </w:p>
    <w:p>
      <w:pPr>
        <w:adjustRightInd/>
        <w:snapToGrid/>
        <w:spacing w:after="0" w:line="360" w:lineRule="auto"/>
        <w:jc w:val="center"/>
        <w:textAlignment w:val="baseline"/>
        <w:outlineLvl w:val="9"/>
        <w:rPr>
          <w:rFonts w:ascii="宋体" w:hAnsi="宋体" w:eastAsia="宋体" w:cs="Times New Roman"/>
          <w:b/>
          <w:kern w:val="2"/>
          <w:sz w:val="72"/>
        </w:rPr>
      </w:pPr>
    </w:p>
    <w:p>
      <w:pPr>
        <w:adjustRightInd/>
        <w:snapToGrid/>
        <w:spacing w:after="0" w:line="360" w:lineRule="auto"/>
        <w:jc w:val="center"/>
        <w:textAlignment w:val="baseline"/>
        <w:outlineLvl w:val="9"/>
        <w:rPr>
          <w:rFonts w:ascii="宋体" w:hAnsi="宋体" w:eastAsia="宋体" w:cs="Times New Roman"/>
          <w:b/>
          <w:kern w:val="2"/>
          <w:sz w:val="72"/>
        </w:rPr>
      </w:pPr>
      <w:r>
        <w:rPr>
          <w:rFonts w:ascii="宋体" w:hAnsi="宋体" w:eastAsia="宋体" w:cs="Times New Roman"/>
          <w:b/>
          <w:kern w:val="2"/>
          <w:sz w:val="72"/>
        </w:rPr>
        <w:t>投 标 文 件</w:t>
      </w:r>
    </w:p>
    <w:p>
      <w:pPr>
        <w:adjustRightInd/>
        <w:snapToGrid/>
        <w:spacing w:after="0" w:line="360" w:lineRule="auto"/>
        <w:jc w:val="both"/>
        <w:textAlignment w:val="baseline"/>
        <w:outlineLvl w:val="9"/>
        <w:rPr>
          <w:rFonts w:ascii="宋体" w:hAnsi="宋体" w:eastAsia="宋体" w:cs="Times New Roman"/>
          <w:b/>
          <w:kern w:val="2"/>
          <w:sz w:val="30"/>
          <w:u w:val="single"/>
        </w:rPr>
      </w:pPr>
    </w:p>
    <w:p>
      <w:pPr>
        <w:adjustRightInd/>
        <w:snapToGrid/>
        <w:spacing w:after="0" w:line="360" w:lineRule="auto"/>
        <w:jc w:val="both"/>
        <w:textAlignment w:val="baseline"/>
        <w:outlineLvl w:val="9"/>
        <w:rPr>
          <w:rFonts w:ascii="宋体" w:hAnsi="宋体" w:eastAsia="宋体" w:cs="Times New Roman"/>
          <w:b/>
          <w:kern w:val="2"/>
          <w:sz w:val="30"/>
          <w:u w:val="single"/>
        </w:rPr>
      </w:pPr>
    </w:p>
    <w:p>
      <w:pPr>
        <w:adjustRightInd/>
        <w:snapToGrid/>
        <w:spacing w:after="0" w:line="360" w:lineRule="auto"/>
        <w:jc w:val="both"/>
        <w:textAlignment w:val="baseline"/>
        <w:outlineLvl w:val="9"/>
        <w:rPr>
          <w:rFonts w:ascii="宋体" w:hAnsi="宋体" w:eastAsia="宋体" w:cs="Times New Roman"/>
          <w:b/>
          <w:kern w:val="2"/>
          <w:sz w:val="30"/>
          <w:u w:val="single"/>
        </w:rPr>
      </w:pPr>
    </w:p>
    <w:p>
      <w:pPr>
        <w:adjustRightInd/>
        <w:snapToGrid/>
        <w:spacing w:after="0" w:line="360" w:lineRule="auto"/>
        <w:ind w:firstLine="2096" w:firstLineChars="696"/>
        <w:jc w:val="both"/>
        <w:textAlignment w:val="baseline"/>
        <w:outlineLvl w:val="9"/>
        <w:rPr>
          <w:rFonts w:ascii="宋体" w:hAnsi="宋体" w:eastAsia="宋体" w:cs="Times New Roman"/>
          <w:b/>
          <w:kern w:val="2"/>
          <w:sz w:val="30"/>
        </w:rPr>
      </w:pPr>
      <w:r>
        <w:rPr>
          <w:rFonts w:hint="eastAsia" w:ascii="宋体" w:hAnsi="宋体" w:eastAsia="宋体" w:cs="Times New Roman"/>
          <w:b/>
          <w:kern w:val="2"/>
          <w:sz w:val="30"/>
        </w:rPr>
        <w:t>招标编号：</w:t>
      </w:r>
    </w:p>
    <w:p>
      <w:pPr>
        <w:adjustRightInd/>
        <w:snapToGrid/>
        <w:spacing w:after="0" w:line="360" w:lineRule="auto"/>
        <w:ind w:firstLine="2096" w:firstLineChars="696"/>
        <w:jc w:val="both"/>
        <w:textAlignment w:val="baseline"/>
        <w:outlineLvl w:val="9"/>
        <w:rPr>
          <w:rFonts w:ascii="宋体" w:hAnsi="宋体" w:eastAsia="宋体" w:cs="Times New Roman"/>
          <w:b/>
          <w:kern w:val="2"/>
          <w:sz w:val="30"/>
        </w:rPr>
      </w:pPr>
      <w:r>
        <w:rPr>
          <w:rFonts w:ascii="宋体" w:hAnsi="宋体" w:eastAsia="宋体" w:cs="Times New Roman"/>
          <w:b/>
          <w:kern w:val="2"/>
          <w:sz w:val="30"/>
        </w:rPr>
        <w:t>投标人名称：</w:t>
      </w:r>
      <w:r>
        <w:rPr>
          <w:rFonts w:ascii="宋体" w:hAnsi="宋体" w:eastAsia="宋体" w:cs="Times New Roman"/>
          <w:b/>
          <w:kern w:val="2"/>
          <w:sz w:val="30"/>
          <w:u w:val="single"/>
        </w:rPr>
        <w:t xml:space="preserve">              （公章）</w:t>
      </w:r>
    </w:p>
    <w:p>
      <w:pPr>
        <w:adjustRightInd/>
        <w:snapToGrid/>
        <w:spacing w:after="0" w:line="360" w:lineRule="auto"/>
        <w:ind w:firstLine="2096" w:firstLineChars="696"/>
        <w:jc w:val="both"/>
        <w:textAlignment w:val="baseline"/>
        <w:outlineLvl w:val="9"/>
        <w:rPr>
          <w:rFonts w:ascii="宋体" w:hAnsi="宋体" w:eastAsia="宋体" w:cs="Times New Roman"/>
          <w:b/>
          <w:kern w:val="2"/>
          <w:sz w:val="30"/>
        </w:rPr>
      </w:pPr>
      <w:r>
        <w:rPr>
          <w:rFonts w:ascii="宋体" w:hAnsi="宋体" w:eastAsia="宋体" w:cs="Times New Roman"/>
          <w:b/>
          <w:kern w:val="2"/>
          <w:sz w:val="30"/>
        </w:rPr>
        <w:t>投标人地址：</w:t>
      </w:r>
    </w:p>
    <w:p>
      <w:pPr>
        <w:adjustRightInd/>
        <w:snapToGrid/>
        <w:spacing w:after="0" w:line="360" w:lineRule="auto"/>
        <w:ind w:firstLine="2096" w:firstLineChars="696"/>
        <w:jc w:val="both"/>
        <w:textAlignment w:val="baseline"/>
        <w:outlineLvl w:val="9"/>
        <w:rPr>
          <w:rFonts w:ascii="宋体" w:hAnsi="宋体" w:eastAsia="宋体" w:cs="Times New Roman"/>
          <w:b/>
          <w:kern w:val="2"/>
          <w:sz w:val="30"/>
        </w:rPr>
      </w:pPr>
      <w:r>
        <w:rPr>
          <w:rFonts w:ascii="宋体" w:hAnsi="宋体" w:eastAsia="宋体" w:cs="Times New Roman"/>
          <w:b/>
          <w:kern w:val="2"/>
          <w:sz w:val="30"/>
        </w:rPr>
        <w:t>投标人法定代表人或授权委托人（签字）：</w:t>
      </w:r>
    </w:p>
    <w:p>
      <w:pPr>
        <w:adjustRightInd/>
        <w:snapToGrid/>
        <w:spacing w:after="0" w:line="360" w:lineRule="auto"/>
        <w:ind w:firstLine="3915" w:firstLineChars="1300"/>
        <w:jc w:val="both"/>
        <w:textAlignment w:val="baseline"/>
        <w:outlineLvl w:val="9"/>
        <w:rPr>
          <w:rFonts w:ascii="宋体" w:hAnsi="宋体" w:eastAsia="宋体" w:cs="Times New Roman"/>
          <w:b/>
          <w:kern w:val="2"/>
          <w:sz w:val="30"/>
        </w:rPr>
      </w:pPr>
    </w:p>
    <w:p>
      <w:pPr>
        <w:adjustRightInd/>
        <w:snapToGrid/>
        <w:spacing w:after="0" w:line="360" w:lineRule="auto"/>
        <w:ind w:firstLine="3915" w:firstLineChars="1300"/>
        <w:jc w:val="both"/>
        <w:textAlignment w:val="baseline"/>
        <w:outlineLvl w:val="9"/>
        <w:rPr>
          <w:rFonts w:ascii="宋体" w:hAnsi="宋体" w:eastAsia="宋体" w:cs="Times New Roman"/>
          <w:b/>
          <w:kern w:val="2"/>
          <w:sz w:val="30"/>
        </w:rPr>
      </w:pPr>
      <w:r>
        <w:rPr>
          <w:rFonts w:ascii="宋体" w:hAnsi="宋体" w:eastAsia="宋体" w:cs="Times New Roman"/>
          <w:b/>
          <w:kern w:val="2"/>
          <w:sz w:val="30"/>
        </w:rPr>
        <w:t>年</w:t>
      </w:r>
      <w:r>
        <w:rPr>
          <w:rFonts w:hint="eastAsia" w:ascii="宋体" w:hAnsi="宋体" w:eastAsia="宋体" w:cs="Times New Roman"/>
          <w:b/>
          <w:kern w:val="2"/>
          <w:sz w:val="30"/>
        </w:rPr>
        <w:t xml:space="preserve"> </w:t>
      </w:r>
      <w:r>
        <w:rPr>
          <w:rFonts w:ascii="宋体" w:hAnsi="宋体" w:eastAsia="宋体" w:cs="Times New Roman"/>
          <w:b/>
          <w:kern w:val="2"/>
          <w:sz w:val="30"/>
        </w:rPr>
        <w:t>月</w:t>
      </w:r>
      <w:r>
        <w:rPr>
          <w:rFonts w:hint="eastAsia" w:ascii="宋体" w:hAnsi="宋体" w:eastAsia="宋体" w:cs="Times New Roman"/>
          <w:b/>
          <w:kern w:val="2"/>
          <w:sz w:val="30"/>
        </w:rPr>
        <w:t xml:space="preserve"> </w:t>
      </w:r>
      <w:r>
        <w:rPr>
          <w:rFonts w:ascii="宋体" w:hAnsi="宋体" w:eastAsia="宋体" w:cs="Times New Roman"/>
          <w:b/>
          <w:kern w:val="2"/>
          <w:sz w:val="30"/>
        </w:rPr>
        <w:t>日</w:t>
      </w:r>
    </w:p>
    <w:p>
      <w:pPr>
        <w:pStyle w:val="27"/>
        <w:outlineLvl w:val="9"/>
        <w:rPr>
          <w:rFonts w:ascii="宋体" w:hAnsi="宋体"/>
          <w:b/>
          <w:sz w:val="30"/>
        </w:rPr>
      </w:pPr>
    </w:p>
    <w:p>
      <w:pPr>
        <w:rPr>
          <w:rFonts w:hint="eastAsia" w:ascii="宋体" w:hAnsi="宋体" w:eastAsia="宋体" w:cs="宋体"/>
          <w:b/>
          <w:bCs/>
          <w:sz w:val="28"/>
          <w:szCs w:val="28"/>
        </w:rPr>
      </w:pPr>
      <w:bookmarkStart w:id="209" w:name="_Toc3610"/>
      <w:bookmarkStart w:id="210" w:name="_Toc30824"/>
      <w:bookmarkStart w:id="211" w:name="_Toc21437"/>
      <w:bookmarkStart w:id="212" w:name="_Toc28065"/>
      <w:bookmarkStart w:id="213" w:name="_Toc1130"/>
      <w:bookmarkStart w:id="214" w:name="_Toc28695"/>
      <w:r>
        <w:rPr>
          <w:rFonts w:hint="eastAsia" w:ascii="宋体" w:hAnsi="宋体" w:eastAsia="宋体" w:cs="宋体"/>
          <w:b/>
          <w:bCs/>
          <w:sz w:val="28"/>
          <w:szCs w:val="28"/>
        </w:rPr>
        <w:br w:type="page"/>
      </w:r>
    </w:p>
    <w:p>
      <w:pPr>
        <w:jc w:val="center"/>
        <w:outlineLvl w:val="9"/>
        <w:rPr>
          <w:rFonts w:ascii="宋体" w:hAnsi="宋体" w:eastAsia="宋体" w:cs="宋体"/>
          <w:b/>
          <w:kern w:val="2"/>
          <w:sz w:val="28"/>
          <w:szCs w:val="28"/>
        </w:rPr>
      </w:pPr>
      <w:r>
        <w:rPr>
          <w:rFonts w:hint="eastAsia" w:ascii="宋体" w:hAnsi="宋体" w:eastAsia="宋体" w:cs="宋体"/>
          <w:b/>
          <w:bCs/>
          <w:sz w:val="28"/>
          <w:szCs w:val="28"/>
        </w:rPr>
        <w:t>附件2：</w:t>
      </w:r>
      <w:bookmarkEnd w:id="209"/>
      <w:bookmarkEnd w:id="210"/>
      <w:bookmarkEnd w:id="211"/>
      <w:bookmarkEnd w:id="212"/>
      <w:bookmarkEnd w:id="213"/>
      <w:r>
        <w:rPr>
          <w:rFonts w:hint="eastAsia" w:ascii="宋体" w:hAnsi="宋体" w:eastAsia="宋体" w:cs="宋体"/>
          <w:b/>
          <w:kern w:val="2"/>
          <w:sz w:val="28"/>
          <w:szCs w:val="28"/>
        </w:rPr>
        <w:t>投标函</w:t>
      </w:r>
      <w:bookmarkEnd w:id="214"/>
    </w:p>
    <w:p>
      <w:pPr>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bCs/>
          <w:kern w:val="2"/>
          <w:sz w:val="24"/>
          <w:szCs w:val="24"/>
        </w:rPr>
        <w:t>致：</w:t>
      </w:r>
      <w:r>
        <w:rPr>
          <w:rFonts w:hint="eastAsia" w:ascii="宋体" w:hAnsi="宋体" w:eastAsia="宋体" w:cs="宋体"/>
          <w:bCs/>
          <w:kern w:val="2"/>
          <w:sz w:val="24"/>
          <w:szCs w:val="24"/>
          <w:lang w:eastAsia="zh-CN"/>
        </w:rPr>
        <w:t>陇南市武都区核桃产业开发中心</w:t>
      </w:r>
    </w:p>
    <w:p>
      <w:pPr>
        <w:adjustRightInd/>
        <w:snapToGrid/>
        <w:spacing w:after="0" w:line="360" w:lineRule="auto"/>
        <w:ind w:firstLine="456" w:firstLineChars="200"/>
        <w:jc w:val="both"/>
        <w:textAlignment w:val="baseline"/>
        <w:outlineLvl w:val="9"/>
        <w:rPr>
          <w:rFonts w:ascii="宋体" w:hAnsi="宋体" w:eastAsia="宋体" w:cs="宋体"/>
          <w:kern w:val="2"/>
          <w:sz w:val="24"/>
          <w:szCs w:val="24"/>
        </w:rPr>
      </w:pPr>
      <w:r>
        <w:rPr>
          <w:rFonts w:hint="eastAsia" w:ascii="宋体" w:hAnsi="宋体" w:eastAsia="宋体" w:cs="宋体"/>
          <w:spacing w:val="-6"/>
          <w:kern w:val="2"/>
          <w:sz w:val="24"/>
          <w:szCs w:val="24"/>
        </w:rPr>
        <w:t>根据贵方</w:t>
      </w:r>
      <w:r>
        <w:rPr>
          <w:rFonts w:hint="eastAsia" w:ascii="宋体" w:hAnsi="宋体" w:eastAsia="宋体" w:cs="宋体"/>
          <w:spacing w:val="-6"/>
          <w:kern w:val="2"/>
          <w:sz w:val="24"/>
          <w:szCs w:val="24"/>
          <w:u w:val="single"/>
        </w:rPr>
        <w:t xml:space="preserve">     </w:t>
      </w:r>
      <w:r>
        <w:rPr>
          <w:rFonts w:hint="eastAsia" w:ascii="宋体" w:hAnsi="宋体" w:eastAsia="宋体" w:cs="宋体"/>
          <w:spacing w:val="-6"/>
          <w:kern w:val="2"/>
          <w:sz w:val="24"/>
          <w:szCs w:val="24"/>
          <w:u w:val="single"/>
          <w:lang w:val="en-US" w:eastAsia="zh-CN"/>
        </w:rPr>
        <w:t xml:space="preserve"> </w:t>
      </w:r>
      <w:r>
        <w:rPr>
          <w:rFonts w:hint="eastAsia" w:ascii="宋体" w:hAnsi="宋体" w:eastAsia="宋体" w:cs="宋体"/>
          <w:spacing w:val="-6"/>
          <w:kern w:val="2"/>
          <w:sz w:val="24"/>
          <w:szCs w:val="24"/>
          <w:u w:val="single"/>
        </w:rPr>
        <w:t xml:space="preserve"> </w:t>
      </w:r>
      <w:r>
        <w:rPr>
          <w:rFonts w:hint="eastAsia" w:ascii="宋体" w:hAnsi="宋体" w:eastAsia="宋体" w:cs="宋体"/>
          <w:spacing w:val="-6"/>
          <w:kern w:val="2"/>
          <w:sz w:val="24"/>
          <w:szCs w:val="24"/>
        </w:rPr>
        <w:t>项目</w:t>
      </w:r>
      <w:r>
        <w:rPr>
          <w:rFonts w:hint="eastAsia" w:ascii="宋体" w:hAnsi="宋体" w:eastAsia="宋体" w:cs="宋体"/>
          <w:kern w:val="2"/>
          <w:sz w:val="24"/>
          <w:szCs w:val="24"/>
        </w:rPr>
        <w:t>的</w:t>
      </w:r>
      <w:r>
        <w:rPr>
          <w:rFonts w:hint="eastAsia" w:ascii="宋体" w:hAnsi="宋体" w:eastAsia="宋体" w:cs="宋体"/>
          <w:spacing w:val="-6"/>
          <w:kern w:val="2"/>
          <w:sz w:val="24"/>
          <w:szCs w:val="24"/>
        </w:rPr>
        <w:t>招标采购</w:t>
      </w:r>
      <w:r>
        <w:rPr>
          <w:rFonts w:hint="eastAsia" w:ascii="宋体" w:hAnsi="宋体" w:eastAsia="宋体" w:cs="宋体"/>
          <w:kern w:val="2"/>
          <w:sz w:val="24"/>
          <w:szCs w:val="24"/>
        </w:rPr>
        <w:t>(招标编号:</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)，正式授权的下述签字人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（姓名和职务）代表投标人</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 xml:space="preserve">（投标人名称），提交电子投标文件。    </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1.投标函</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2.开标一览表</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3.投标报价表</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4.按招标文件要求投标人提交的全部文件</w:t>
      </w:r>
    </w:p>
    <w:p>
      <w:p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据此函，签字人兹宣布同意如下条款：</w:t>
      </w:r>
    </w:p>
    <w:p>
      <w:pPr>
        <w:numPr>
          <w:ilvl w:val="0"/>
          <w:numId w:val="10"/>
        </w:numPr>
        <w:adjustRightInd/>
        <w:snapToGrid/>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所附投标价格表中规定的应提供服务和交付的货物投标总价为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（大写）。</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我们将按招标文件的规定履行合同责任和义务。</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我们已详细审查全部招标文件，包括修改意见（如有则附）以及全部参考资料和有关附件。我们完全理解并同意放弃对这方面有不明及误解而要求招标方解释和承担责任的权利。</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在投标人须知规定的投标有效期60天内遵循本投标文件，并在投标人须知规定的投标有效期期满之前具有约束力。</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如果在规定的投标有效期内撤回投标，我们的投标保证金可被贵方没收。</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同意提供贵方可能要求的与本投标有关的任何证据或资料。</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我们同意提供按照招标单位可能出示的与其投标有关的一切数据或资料。</w:t>
      </w:r>
    </w:p>
    <w:p>
      <w:pPr>
        <w:numPr>
          <w:ilvl w:val="0"/>
          <w:numId w:val="10"/>
        </w:numPr>
        <w:adjustRightInd/>
        <w:snapToGrid/>
        <w:spacing w:after="0" w:line="360" w:lineRule="auto"/>
        <w:jc w:val="both"/>
        <w:outlineLvl w:val="9"/>
        <w:rPr>
          <w:rFonts w:hint="eastAsia" w:ascii="宋体" w:hAnsi="宋体" w:eastAsia="宋体" w:cs="宋体"/>
          <w:kern w:val="2"/>
          <w:sz w:val="24"/>
          <w:szCs w:val="24"/>
        </w:rPr>
      </w:pPr>
      <w:r>
        <w:rPr>
          <w:rFonts w:hint="eastAsia" w:ascii="宋体" w:hAnsi="宋体" w:eastAsia="宋体" w:cs="宋体"/>
          <w:kern w:val="2"/>
          <w:sz w:val="24"/>
          <w:szCs w:val="24"/>
        </w:rPr>
        <w:t>我们理解贵方不一定要接受最低报价的投标或收到的任何投标。</w:t>
      </w:r>
    </w:p>
    <w:p>
      <w:pPr>
        <w:numPr>
          <w:ilvl w:val="0"/>
          <w:numId w:val="10"/>
        </w:numPr>
        <w:adjustRightInd/>
        <w:snapToGrid/>
        <w:spacing w:after="0" w:line="360" w:lineRule="auto"/>
        <w:jc w:val="both"/>
        <w:outlineLvl w:val="9"/>
        <w:rPr>
          <w:rFonts w:ascii="宋体" w:hAnsi="宋体" w:eastAsia="宋体" w:cs="宋体"/>
          <w:kern w:val="2"/>
          <w:sz w:val="24"/>
          <w:szCs w:val="24"/>
        </w:rPr>
      </w:pPr>
      <w:r>
        <w:rPr>
          <w:rFonts w:hint="eastAsia" w:ascii="宋体" w:hAnsi="宋体" w:eastAsia="宋体" w:cs="宋体"/>
          <w:kern w:val="2"/>
          <w:sz w:val="24"/>
          <w:szCs w:val="24"/>
        </w:rPr>
        <w:t xml:space="preserve">与本投标有关的一切正式往来通讯请寄至：     </w:t>
      </w:r>
    </w:p>
    <w:p>
      <w:pPr>
        <w:adjustRightInd/>
        <w:snapToGrid/>
        <w:spacing w:after="0" w:line="360" w:lineRule="auto"/>
        <w:ind w:firstLine="480" w:firstLineChars="200"/>
        <w:jc w:val="both"/>
        <w:textAlignment w:val="baseline"/>
        <w:outlineLvl w:val="9"/>
        <w:rPr>
          <w:rFonts w:hint="eastAsia" w:ascii="宋体" w:hAnsi="宋体" w:eastAsia="宋体" w:cs="宋体"/>
          <w:kern w:val="2"/>
          <w:sz w:val="24"/>
          <w:szCs w:val="24"/>
        </w:rPr>
      </w:pPr>
      <w:r>
        <w:rPr>
          <w:rFonts w:hint="eastAsia" w:ascii="宋体" w:hAnsi="宋体" w:eastAsia="宋体" w:cs="宋体"/>
          <w:kern w:val="2"/>
          <w:sz w:val="24"/>
          <w:szCs w:val="24"/>
        </w:rPr>
        <w:t xml:space="preserve"> 电话：</w:t>
      </w:r>
    </w:p>
    <w:p>
      <w:pPr>
        <w:adjustRightInd/>
        <w:snapToGrid/>
        <w:spacing w:after="0" w:line="360" w:lineRule="auto"/>
        <w:ind w:firstLine="480" w:firstLineChars="200"/>
        <w:jc w:val="both"/>
        <w:textAlignment w:val="baseline"/>
        <w:outlineLvl w:val="9"/>
        <w:rPr>
          <w:rFonts w:hint="eastAsia" w:ascii="宋体" w:hAnsi="宋体" w:eastAsia="宋体" w:cs="宋体"/>
          <w:kern w:val="2"/>
          <w:sz w:val="24"/>
          <w:szCs w:val="24"/>
        </w:rPr>
      </w:pPr>
    </w:p>
    <w:p>
      <w:pPr>
        <w:adjustRightInd/>
        <w:snapToGrid/>
        <w:spacing w:after="0" w:line="360" w:lineRule="auto"/>
        <w:ind w:firstLine="480" w:firstLineChars="200"/>
        <w:jc w:val="both"/>
        <w:textAlignment w:val="baseline"/>
        <w:outlineLvl w:val="9"/>
        <w:rPr>
          <w:rFonts w:hint="eastAsia" w:ascii="宋体" w:hAnsi="宋体" w:eastAsia="宋体" w:cs="宋体"/>
          <w:kern w:val="2"/>
          <w:sz w:val="24"/>
          <w:szCs w:val="24"/>
        </w:rPr>
      </w:pPr>
    </w:p>
    <w:p>
      <w:pPr>
        <w:adjustRightInd/>
        <w:snapToGrid/>
        <w:spacing w:after="0" w:line="360" w:lineRule="auto"/>
        <w:jc w:val="both"/>
        <w:textAlignment w:val="baseline"/>
        <w:outlineLvl w:val="9"/>
        <w:rPr>
          <w:rFonts w:hAnsi="宋体" w:eastAsia="宋体" w:cs="宋体"/>
          <w:sz w:val="24"/>
          <w:szCs w:val="24"/>
        </w:rPr>
      </w:pPr>
      <w:r>
        <w:rPr>
          <w:rFonts w:hint="eastAsia" w:ascii="宋体" w:hAnsi="宋体" w:eastAsia="宋体" w:cs="宋体"/>
          <w:kern w:val="2"/>
          <w:sz w:val="24"/>
          <w:szCs w:val="24"/>
        </w:rPr>
        <w:t xml:space="preserve">                                        投标人名称（公章）：</w:t>
      </w:r>
    </w:p>
    <w:p>
      <w:pPr>
        <w:adjustRightInd/>
        <w:snapToGrid/>
        <w:spacing w:after="0" w:line="360" w:lineRule="auto"/>
        <w:ind w:firstLine="2880" w:firstLineChars="1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 xml:space="preserve">               法定代表人或授权代表人（签字）：</w:t>
      </w: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          日期：   年   月     日</w:t>
      </w: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p>
    <w:p>
      <w:pPr>
        <w:outlineLvl w:val="9"/>
        <w:rPr>
          <w:rFonts w:ascii="宋体" w:hAnsi="宋体" w:eastAsia="宋体" w:cs="宋体"/>
          <w:b/>
          <w:bCs/>
          <w:sz w:val="24"/>
          <w:szCs w:val="24"/>
        </w:rPr>
      </w:pPr>
      <w:bookmarkStart w:id="215" w:name="_Toc26559"/>
      <w:bookmarkStart w:id="216" w:name="_Toc2787"/>
      <w:bookmarkStart w:id="217" w:name="_Toc13529"/>
      <w:bookmarkStart w:id="218" w:name="_Toc11759"/>
      <w:r>
        <w:rPr>
          <w:rFonts w:hint="eastAsia" w:ascii="宋体" w:hAnsi="宋体" w:eastAsia="宋体" w:cs="宋体"/>
          <w:b/>
          <w:bCs/>
          <w:sz w:val="24"/>
          <w:szCs w:val="24"/>
        </w:rPr>
        <w:br w:type="page"/>
      </w:r>
    </w:p>
    <w:p>
      <w:pPr>
        <w:jc w:val="center"/>
        <w:outlineLvl w:val="9"/>
        <w:rPr>
          <w:rFonts w:ascii="宋体" w:hAnsi="宋体" w:eastAsia="宋体" w:cs="宋体"/>
          <w:b/>
          <w:kern w:val="2"/>
          <w:sz w:val="24"/>
          <w:szCs w:val="24"/>
        </w:rPr>
      </w:pPr>
      <w:bookmarkStart w:id="219" w:name="_Toc15548"/>
      <w:r>
        <w:rPr>
          <w:rFonts w:hint="eastAsia" w:ascii="宋体" w:hAnsi="宋体" w:eastAsia="宋体" w:cs="宋体"/>
          <w:b/>
          <w:bCs/>
          <w:sz w:val="24"/>
          <w:szCs w:val="24"/>
        </w:rPr>
        <w:t>附件3：</w:t>
      </w:r>
      <w:bookmarkEnd w:id="215"/>
      <w:bookmarkEnd w:id="216"/>
      <w:bookmarkEnd w:id="217"/>
      <w:bookmarkEnd w:id="218"/>
      <w:bookmarkStart w:id="220" w:name="_Toc10818_WPSOffice_Level2"/>
      <w:bookmarkStart w:id="221" w:name="_Toc4031_WPSOffice_Level2"/>
      <w:bookmarkStart w:id="222" w:name="_Toc6165"/>
      <w:bookmarkStart w:id="223" w:name="_Toc16377"/>
      <w:bookmarkStart w:id="224" w:name="_Toc15633"/>
      <w:bookmarkStart w:id="225" w:name="_Toc5466"/>
      <w:bookmarkStart w:id="226" w:name="_Toc24943"/>
      <w:bookmarkStart w:id="227" w:name="_Toc2685_WPSOffice_Level2"/>
      <w:r>
        <w:rPr>
          <w:rFonts w:hint="eastAsia" w:ascii="宋体" w:hAnsi="宋体" w:eastAsia="宋体" w:cs="宋体"/>
          <w:b/>
          <w:kern w:val="2"/>
          <w:sz w:val="24"/>
          <w:szCs w:val="24"/>
        </w:rPr>
        <w:t>法定代表人身份证明(法定代表人参加投标)</w:t>
      </w:r>
      <w:bookmarkEnd w:id="219"/>
      <w:bookmarkEnd w:id="220"/>
      <w:bookmarkEnd w:id="221"/>
      <w:bookmarkEnd w:id="222"/>
      <w:bookmarkEnd w:id="223"/>
      <w:bookmarkEnd w:id="224"/>
      <w:bookmarkEnd w:id="225"/>
      <w:bookmarkEnd w:id="226"/>
      <w:bookmarkEnd w:id="227"/>
    </w:p>
    <w:p>
      <w:pPr>
        <w:adjustRightInd/>
        <w:snapToGrid/>
        <w:spacing w:after="0" w:line="360" w:lineRule="auto"/>
        <w:jc w:val="both"/>
        <w:textAlignment w:val="baseline"/>
        <w:outlineLvl w:val="9"/>
        <w:rPr>
          <w:rFonts w:ascii="宋体" w:hAnsi="宋体" w:eastAsia="宋体" w:cs="宋体"/>
          <w:b/>
          <w:kern w:val="2"/>
          <w:sz w:val="24"/>
          <w:szCs w:val="24"/>
        </w:rPr>
      </w:pPr>
    </w:p>
    <w:p>
      <w:pPr>
        <w:pStyle w:val="46"/>
        <w:framePr w:wrap="around" w:vAnchor="page" w:hAnchor="page" w:x="646" w:y="1141"/>
        <w:outlineLvl w:val="9"/>
        <w:rPr>
          <w:rFonts w:cs="宋体"/>
          <w:sz w:val="24"/>
          <w:szCs w:val="24"/>
        </w:rPr>
      </w:pPr>
      <w:bookmarkStart w:id="228" w:name="_Toc21861"/>
      <w:bookmarkStart w:id="229" w:name="_Toc10536"/>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供应商名称：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单位性质：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地址：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成立时间：         年    月     日</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经营期限：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姓名：         性别：</w:t>
      </w:r>
      <w:r>
        <w:rPr>
          <w:rFonts w:hint="eastAsia" w:ascii="宋体" w:hAnsi="宋体" w:eastAsia="宋体" w:cs="宋体"/>
          <w:bCs/>
          <w:kern w:val="2"/>
          <w:sz w:val="24"/>
          <w:szCs w:val="24"/>
          <w:lang w:val="en-US" w:eastAsia="zh-CN"/>
        </w:rPr>
        <w:t xml:space="preserve"> </w:t>
      </w:r>
      <w:r>
        <w:rPr>
          <w:rFonts w:hint="eastAsia" w:ascii="宋体" w:hAnsi="宋体" w:eastAsia="宋体" w:cs="宋体"/>
          <w:bCs/>
          <w:kern w:val="2"/>
          <w:sz w:val="24"/>
          <w:szCs w:val="24"/>
        </w:rPr>
        <w:t xml:space="preserve">  </w:t>
      </w:r>
      <w:r>
        <w:rPr>
          <w:rFonts w:hint="eastAsia" w:ascii="宋体" w:hAnsi="宋体" w:eastAsia="宋体" w:cs="宋体"/>
          <w:bCs/>
          <w:kern w:val="2"/>
          <w:sz w:val="24"/>
          <w:szCs w:val="24"/>
          <w:lang w:val="en-US" w:eastAsia="zh-CN"/>
        </w:rPr>
        <w:t xml:space="preserve">  </w:t>
      </w:r>
      <w:r>
        <w:rPr>
          <w:rFonts w:hint="eastAsia" w:ascii="宋体" w:hAnsi="宋体" w:eastAsia="宋体" w:cs="宋体"/>
          <w:bCs/>
          <w:kern w:val="2"/>
          <w:sz w:val="24"/>
          <w:szCs w:val="24"/>
        </w:rPr>
        <w:t xml:space="preserve">  年龄：</w:t>
      </w:r>
      <w:r>
        <w:rPr>
          <w:rFonts w:hint="eastAsia" w:ascii="宋体" w:hAnsi="宋体" w:eastAsia="宋体" w:cs="宋体"/>
          <w:bCs/>
          <w:kern w:val="2"/>
          <w:sz w:val="24"/>
          <w:szCs w:val="24"/>
          <w:lang w:val="en-US" w:eastAsia="zh-CN"/>
        </w:rPr>
        <w:t xml:space="preserve"> </w:t>
      </w:r>
      <w:r>
        <w:rPr>
          <w:rFonts w:hint="eastAsia" w:ascii="宋体" w:hAnsi="宋体" w:eastAsia="宋体" w:cs="宋体"/>
          <w:bCs/>
          <w:kern w:val="2"/>
          <w:sz w:val="24"/>
          <w:szCs w:val="24"/>
        </w:rPr>
        <w:t xml:space="preserve">  </w:t>
      </w:r>
      <w:r>
        <w:rPr>
          <w:rFonts w:hint="eastAsia" w:ascii="宋体" w:hAnsi="宋体" w:eastAsia="宋体" w:cs="宋体"/>
          <w:bCs/>
          <w:kern w:val="2"/>
          <w:sz w:val="24"/>
          <w:szCs w:val="24"/>
          <w:lang w:val="en-US" w:eastAsia="zh-CN"/>
        </w:rPr>
        <w:t xml:space="preserve"> </w:t>
      </w:r>
      <w:r>
        <w:rPr>
          <w:rFonts w:hint="eastAsia" w:ascii="宋体" w:hAnsi="宋体" w:eastAsia="宋体" w:cs="宋体"/>
          <w:bCs/>
          <w:kern w:val="2"/>
          <w:sz w:val="24"/>
          <w:szCs w:val="24"/>
        </w:rPr>
        <w:t xml:space="preserve">    职务：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身份证号码：                 联系电话：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系                          （供应商名称）的法定代表人。</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特此证明。</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 xml:space="preserve">供应商（加盖公章）：                                       </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日期：         年     月      日</w:t>
      </w:r>
    </w:p>
    <w:p>
      <w:pPr>
        <w:jc w:val="both"/>
        <w:outlineLvl w:val="9"/>
        <w:rPr>
          <w:rFonts w:ascii="宋体" w:hAnsi="宋体" w:eastAsia="宋体" w:cs="宋体"/>
          <w:bCs/>
          <w:kern w:val="2"/>
          <w:sz w:val="24"/>
          <w:szCs w:val="24"/>
        </w:rPr>
      </w:pPr>
      <w:r>
        <w:rPr>
          <w:rFonts w:hint="eastAsia" w:ascii="宋体" w:hAnsi="宋体" w:eastAsia="宋体" w:cs="宋体"/>
          <w:bCs/>
          <w:kern w:val="2"/>
          <w:sz w:val="24"/>
          <w:szCs w:val="24"/>
        </w:rPr>
        <w:t>法定代表人身份证复印件：</w:t>
      </w:r>
    </w:p>
    <w:tbl>
      <w:tblPr>
        <w:tblStyle w:val="28"/>
        <w:tblpPr w:leftFromText="180" w:rightFromText="180" w:vertAnchor="text" w:horzAnchor="page" w:tblpX="1243" w:tblpY="220"/>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trPr>
        <w:tc>
          <w:tcPr>
            <w:tcW w:w="9795" w:type="dxa"/>
          </w:tcPr>
          <w:p>
            <w:pPr>
              <w:outlineLvl w:val="9"/>
              <w:rPr>
                <w:rFonts w:ascii="宋体" w:hAnsi="宋体" w:eastAsia="宋体" w:cs="宋体"/>
                <w:bCs/>
                <w:kern w:val="2"/>
                <w:sz w:val="24"/>
                <w:szCs w:val="24"/>
              </w:rPr>
            </w:pPr>
          </w:p>
          <w:p>
            <w:pPr>
              <w:outlineLvl w:val="9"/>
              <w:rPr>
                <w:rFonts w:ascii="宋体" w:hAnsi="宋体" w:eastAsia="宋体" w:cs="宋体"/>
                <w:bCs/>
                <w:kern w:val="2"/>
                <w:sz w:val="24"/>
                <w:szCs w:val="24"/>
              </w:rPr>
            </w:pPr>
          </w:p>
          <w:p>
            <w:pPr>
              <w:outlineLvl w:val="9"/>
              <w:rPr>
                <w:rFonts w:ascii="宋体" w:hAnsi="宋体" w:eastAsia="宋体" w:cs="宋体"/>
                <w:bCs/>
                <w:kern w:val="2"/>
                <w:sz w:val="24"/>
                <w:szCs w:val="24"/>
              </w:rPr>
            </w:pPr>
          </w:p>
          <w:p>
            <w:pPr>
              <w:jc w:val="center"/>
              <w:outlineLvl w:val="9"/>
              <w:rPr>
                <w:rFonts w:ascii="宋体" w:hAnsi="宋体" w:eastAsia="宋体" w:cs="宋体"/>
                <w:bCs/>
                <w:kern w:val="2"/>
                <w:sz w:val="24"/>
                <w:szCs w:val="24"/>
              </w:rPr>
            </w:pPr>
            <w:r>
              <w:rPr>
                <w:rFonts w:hint="eastAsia" w:ascii="宋体" w:hAnsi="宋体" w:eastAsia="宋体" w:cs="宋体"/>
                <w:bCs/>
                <w:kern w:val="2"/>
                <w:sz w:val="24"/>
                <w:szCs w:val="24"/>
              </w:rPr>
              <w:t>法定代表人身份证</w:t>
            </w:r>
          </w:p>
          <w:p>
            <w:pPr>
              <w:jc w:val="center"/>
              <w:outlineLvl w:val="9"/>
              <w:rPr>
                <w:rFonts w:ascii="宋体" w:hAnsi="宋体" w:eastAsia="宋体" w:cs="宋体"/>
                <w:bCs/>
                <w:kern w:val="2"/>
                <w:sz w:val="24"/>
                <w:szCs w:val="24"/>
              </w:rPr>
            </w:pPr>
            <w:r>
              <w:rPr>
                <w:rFonts w:hint="eastAsia" w:ascii="宋体" w:hAnsi="宋体" w:eastAsia="宋体" w:cs="宋体"/>
                <w:bCs/>
                <w:kern w:val="2"/>
                <w:sz w:val="24"/>
                <w:szCs w:val="24"/>
              </w:rPr>
              <w:t>复印件（正反面分别加盖公章）</w:t>
            </w:r>
          </w:p>
          <w:p>
            <w:pPr>
              <w:outlineLvl w:val="9"/>
              <w:rPr>
                <w:rFonts w:ascii="宋体" w:hAnsi="宋体" w:eastAsia="宋体" w:cs="宋体"/>
                <w:bCs/>
                <w:kern w:val="2"/>
                <w:sz w:val="24"/>
                <w:szCs w:val="24"/>
              </w:rPr>
            </w:pPr>
          </w:p>
          <w:p>
            <w:pPr>
              <w:outlineLvl w:val="9"/>
              <w:rPr>
                <w:rFonts w:ascii="宋体" w:hAnsi="宋体" w:eastAsia="宋体" w:cs="宋体"/>
                <w:bCs/>
                <w:kern w:val="2"/>
                <w:sz w:val="24"/>
                <w:szCs w:val="24"/>
              </w:rPr>
            </w:pPr>
          </w:p>
          <w:p>
            <w:pPr>
              <w:outlineLvl w:val="9"/>
              <w:rPr>
                <w:rFonts w:ascii="宋体" w:hAnsi="宋体" w:eastAsia="宋体" w:cs="宋体"/>
                <w:bCs/>
                <w:kern w:val="2"/>
                <w:sz w:val="24"/>
                <w:szCs w:val="24"/>
              </w:rPr>
            </w:pPr>
          </w:p>
        </w:tc>
      </w:tr>
      <w:bookmarkEnd w:id="228"/>
      <w:bookmarkEnd w:id="229"/>
    </w:tbl>
    <w:p>
      <w:pPr>
        <w:pStyle w:val="8"/>
        <w:ind w:firstLine="482"/>
        <w:outlineLvl w:val="9"/>
        <w:rPr>
          <w:rFonts w:hAnsi="宋体" w:eastAsia="宋体" w:cs="宋体"/>
          <w:b/>
          <w:kern w:val="2"/>
          <w:sz w:val="24"/>
          <w:szCs w:val="24"/>
          <w:lang w:eastAsia="zh-CN"/>
        </w:rPr>
      </w:pPr>
    </w:p>
    <w:p>
      <w:pPr>
        <w:pStyle w:val="8"/>
        <w:ind w:firstLine="0" w:firstLineChars="0"/>
        <w:outlineLvl w:val="9"/>
        <w:rPr>
          <w:rFonts w:hAnsi="宋体" w:eastAsia="宋体" w:cs="宋体"/>
          <w:sz w:val="24"/>
          <w:szCs w:val="24"/>
          <w:lang w:eastAsia="zh-CN"/>
        </w:rPr>
      </w:pPr>
    </w:p>
    <w:p>
      <w:pPr>
        <w:outlineLvl w:val="9"/>
        <w:rPr>
          <w:rFonts w:ascii="宋体" w:hAnsi="宋体" w:eastAsia="宋体" w:cs="宋体"/>
          <w:b/>
          <w:bCs/>
          <w:sz w:val="24"/>
          <w:szCs w:val="24"/>
        </w:rPr>
        <w:sectPr>
          <w:headerReference r:id="rId12" w:type="default"/>
          <w:pgSz w:w="11906" w:h="16838"/>
          <w:pgMar w:top="1440" w:right="1080" w:bottom="1440" w:left="1080" w:header="851" w:footer="992" w:gutter="0"/>
          <w:pgNumType w:fmt="decimal"/>
          <w:cols w:space="720" w:num="1"/>
          <w:docGrid w:linePitch="312" w:charSpace="0"/>
        </w:sectPr>
      </w:pPr>
      <w:bookmarkStart w:id="230" w:name="_Toc7412"/>
      <w:bookmarkStart w:id="231" w:name="_Toc27110"/>
      <w:bookmarkStart w:id="232" w:name="_Toc18846"/>
      <w:bookmarkStart w:id="233" w:name="_Toc20408"/>
    </w:p>
    <w:p>
      <w:pPr>
        <w:jc w:val="center"/>
        <w:outlineLvl w:val="9"/>
        <w:rPr>
          <w:rFonts w:ascii="宋体" w:hAnsi="宋体" w:eastAsia="宋体" w:cs="宋体"/>
          <w:b/>
          <w:kern w:val="2"/>
          <w:sz w:val="24"/>
          <w:szCs w:val="24"/>
        </w:rPr>
      </w:pPr>
      <w:bookmarkStart w:id="234" w:name="_Toc6116"/>
      <w:bookmarkStart w:id="235" w:name="_Toc30843"/>
      <w:r>
        <w:rPr>
          <w:rFonts w:hint="eastAsia" w:ascii="宋体" w:hAnsi="宋体" w:eastAsia="宋体" w:cs="宋体"/>
          <w:b/>
          <w:bCs/>
          <w:sz w:val="24"/>
          <w:szCs w:val="24"/>
        </w:rPr>
        <w:t>附件4：</w:t>
      </w:r>
      <w:bookmarkEnd w:id="230"/>
      <w:bookmarkEnd w:id="231"/>
      <w:bookmarkEnd w:id="232"/>
      <w:bookmarkEnd w:id="233"/>
      <w:bookmarkEnd w:id="234"/>
      <w:r>
        <w:rPr>
          <w:rFonts w:hint="eastAsia" w:ascii="宋体" w:hAnsi="宋体" w:eastAsia="宋体" w:cs="宋体"/>
          <w:b/>
          <w:kern w:val="2"/>
          <w:sz w:val="24"/>
          <w:szCs w:val="24"/>
        </w:rPr>
        <w:t>法人授权函（委托代理人参加投标时提供）</w:t>
      </w:r>
      <w:bookmarkEnd w:id="235"/>
    </w:p>
    <w:p>
      <w:pPr>
        <w:adjustRightInd/>
        <w:snapToGrid/>
        <w:spacing w:after="0" w:line="360" w:lineRule="auto"/>
        <w:jc w:val="center"/>
        <w:textAlignment w:val="baseline"/>
        <w:outlineLvl w:val="9"/>
        <w:rPr>
          <w:rFonts w:ascii="宋体" w:hAnsi="宋体" w:eastAsia="宋体" w:cs="宋体"/>
          <w:kern w:val="2"/>
          <w:sz w:val="24"/>
          <w:szCs w:val="24"/>
        </w:rPr>
      </w:pPr>
    </w:p>
    <w:p>
      <w:pPr>
        <w:spacing w:line="50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t>本授权函声明：任命</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为我公司的授权代表人，参与招标编号为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w:t>
      </w:r>
      <w:r>
        <w:rPr>
          <w:rFonts w:hint="eastAsia" w:ascii="宋体" w:hAnsi="宋体" w:eastAsia="宋体" w:cs="宋体"/>
          <w:sz w:val="24"/>
          <w:szCs w:val="24"/>
          <w:u w:val="single"/>
          <w:lang w:val="en-US" w:eastAsia="zh-CN"/>
        </w:rPr>
        <w:t>（第*包）</w:t>
      </w:r>
      <w:r>
        <w:rPr>
          <w:rFonts w:hint="eastAsia" w:ascii="宋体" w:hAnsi="宋体" w:eastAsia="宋体" w:cs="宋体"/>
          <w:bCs/>
          <w:sz w:val="24"/>
          <w:szCs w:val="24"/>
        </w:rPr>
        <w:t>的</w:t>
      </w:r>
      <w:r>
        <w:rPr>
          <w:rFonts w:hint="eastAsia" w:ascii="宋体" w:hAnsi="宋体" w:eastAsia="宋体" w:cs="宋体"/>
          <w:sz w:val="24"/>
          <w:szCs w:val="24"/>
        </w:rPr>
        <w:t>投标活动，以投标人的名义签署投标文件、进行合同谈判、签署合同和全权处理与之有关的一切事务。</w:t>
      </w:r>
    </w:p>
    <w:p>
      <w:pPr>
        <w:spacing w:line="500" w:lineRule="exact"/>
        <w:ind w:firstLine="480" w:firstLineChars="200"/>
        <w:outlineLvl w:val="9"/>
        <w:rPr>
          <w:rFonts w:ascii="宋体" w:hAnsi="宋体" w:eastAsia="宋体" w:cs="宋体"/>
          <w:sz w:val="24"/>
          <w:szCs w:val="24"/>
        </w:rPr>
      </w:pPr>
      <w:r>
        <w:rPr>
          <w:rFonts w:hint="eastAsia" w:ascii="宋体" w:hAnsi="宋体" w:eastAsia="宋体" w:cs="宋体"/>
          <w:sz w:val="24"/>
          <w:szCs w:val="24"/>
        </w:rPr>
        <w:t>特此声明。</w:t>
      </w:r>
    </w:p>
    <w:p>
      <w:pPr>
        <w:adjustRightInd/>
        <w:snapToGrid/>
        <w:spacing w:after="0" w:line="360" w:lineRule="auto"/>
        <w:textAlignment w:val="baseline"/>
        <w:outlineLvl w:val="9"/>
        <w:rPr>
          <w:rFonts w:ascii="宋体" w:hAnsi="宋体" w:eastAsia="宋体" w:cs="宋体"/>
          <w:kern w:val="2"/>
          <w:sz w:val="24"/>
          <w:szCs w:val="24"/>
        </w:rPr>
      </w:pPr>
    </w:p>
    <w:p>
      <w:pPr>
        <w:adjustRightInd/>
        <w:snapToGrid/>
        <w:spacing w:after="120" w:line="360" w:lineRule="auto"/>
        <w:ind w:firstLine="437"/>
        <w:jc w:val="both"/>
        <w:textAlignment w:val="baseline"/>
        <w:outlineLvl w:val="9"/>
        <w:rPr>
          <w:rFonts w:ascii="宋体" w:hAnsi="宋体" w:eastAsia="宋体" w:cs="宋体"/>
          <w:b/>
          <w:kern w:val="2"/>
          <w:sz w:val="24"/>
          <w:szCs w:val="24"/>
          <w:u w:val="single"/>
        </w:rPr>
      </w:pPr>
      <w:r>
        <w:rPr>
          <w:rFonts w:hint="eastAsia" w:ascii="宋体" w:hAnsi="宋体" w:eastAsia="宋体" w:cs="宋体"/>
          <w:b/>
          <w:kern w:val="2"/>
          <w:sz w:val="24"/>
          <w:szCs w:val="24"/>
        </w:rPr>
        <w:t>投标人名称（公章）：</w:t>
      </w:r>
    </w:p>
    <w:p>
      <w:pPr>
        <w:adjustRightInd/>
        <w:snapToGrid/>
        <w:spacing w:after="120" w:line="360" w:lineRule="auto"/>
        <w:ind w:firstLine="437"/>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法定代表人签字：</w:t>
      </w:r>
    </w:p>
    <w:p>
      <w:pPr>
        <w:adjustRightInd/>
        <w:snapToGrid/>
        <w:spacing w:after="120" w:line="360" w:lineRule="auto"/>
        <w:ind w:firstLine="437"/>
        <w:jc w:val="both"/>
        <w:textAlignment w:val="baseline"/>
        <w:outlineLvl w:val="9"/>
        <w:rPr>
          <w:rFonts w:ascii="宋体" w:hAnsi="宋体" w:eastAsia="宋体" w:cs="宋体"/>
          <w:b/>
          <w:kern w:val="2"/>
          <w:sz w:val="24"/>
          <w:szCs w:val="24"/>
          <w:u w:val="single"/>
        </w:rPr>
      </w:pPr>
      <w:r>
        <w:rPr>
          <w:rFonts w:hint="eastAsia" w:ascii="宋体" w:hAnsi="宋体" w:eastAsia="宋体" w:cs="宋体"/>
          <w:b/>
          <w:kern w:val="2"/>
          <w:sz w:val="24"/>
          <w:szCs w:val="24"/>
        </w:rPr>
        <w:t>授权代表人签字：</w:t>
      </w:r>
    </w:p>
    <w:p>
      <w:pPr>
        <w:adjustRightInd/>
        <w:snapToGrid/>
        <w:spacing w:after="0" w:line="300" w:lineRule="auto"/>
        <w:ind w:firstLine="472" w:firstLineChars="196"/>
        <w:jc w:val="both"/>
        <w:textAlignment w:val="baseline"/>
        <w:outlineLvl w:val="9"/>
        <w:rPr>
          <w:rFonts w:ascii="宋体" w:hAnsi="宋体" w:eastAsia="宋体" w:cs="宋体"/>
          <w:kern w:val="2"/>
          <w:sz w:val="24"/>
          <w:szCs w:val="24"/>
        </w:rPr>
      </w:pPr>
      <w:r>
        <w:rPr>
          <w:rFonts w:hint="eastAsia" w:ascii="宋体" w:hAnsi="宋体" w:eastAsia="宋体" w:cs="宋体"/>
          <w:b/>
          <w:kern w:val="2"/>
          <w:sz w:val="24"/>
          <w:szCs w:val="24"/>
        </w:rPr>
        <w:t>授权日期：年月日</w:t>
      </w:r>
    </w:p>
    <w:p>
      <w:pPr>
        <w:adjustRightInd/>
        <w:snapToGrid/>
        <w:spacing w:after="0" w:line="300" w:lineRule="auto"/>
        <w:jc w:val="right"/>
        <w:textAlignment w:val="baseline"/>
        <w:outlineLvl w:val="9"/>
        <w:rPr>
          <w:rFonts w:ascii="宋体" w:hAnsi="宋体" w:eastAsia="宋体" w:cs="宋体"/>
          <w:kern w:val="2"/>
          <w:sz w:val="24"/>
          <w:szCs w:val="24"/>
        </w:rPr>
      </w:pPr>
    </w:p>
    <w:tbl>
      <w:tblPr>
        <w:tblStyle w:val="28"/>
        <w:tblW w:w="9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5"/>
        <w:gridCol w:w="4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trPr>
        <w:tc>
          <w:tcPr>
            <w:tcW w:w="4545"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法定代表人身份证</w:t>
            </w:r>
          </w:p>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复印件（正面）</w:t>
            </w:r>
          </w:p>
        </w:tc>
        <w:tc>
          <w:tcPr>
            <w:tcW w:w="4659"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法定代表人身份证</w:t>
            </w:r>
          </w:p>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复印件（反面）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trPr>
        <w:tc>
          <w:tcPr>
            <w:tcW w:w="4545"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授权委托人身份证</w:t>
            </w:r>
          </w:p>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复印件（正面）</w:t>
            </w:r>
          </w:p>
        </w:tc>
        <w:tc>
          <w:tcPr>
            <w:tcW w:w="4659"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授权委托人身份证</w:t>
            </w:r>
          </w:p>
          <w:p>
            <w:pPr>
              <w:adjustRightInd/>
              <w:snapToGrid/>
              <w:spacing w:after="12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复印件（反面）</w:t>
            </w:r>
          </w:p>
        </w:tc>
      </w:tr>
    </w:tbl>
    <w:p>
      <w:pPr>
        <w:pStyle w:val="9"/>
        <w:ind w:left="0" w:leftChars="0" w:firstLine="0" w:firstLineChars="0"/>
        <w:outlineLvl w:val="9"/>
        <w:rPr>
          <w:rFonts w:ascii="宋体" w:hAnsi="宋体" w:eastAsia="宋体" w:cs="宋体"/>
          <w:sz w:val="24"/>
          <w:szCs w:val="24"/>
        </w:rPr>
      </w:pPr>
    </w:p>
    <w:p>
      <w:pPr>
        <w:adjustRightInd/>
        <w:snapToGrid/>
        <w:spacing w:after="0" w:line="360" w:lineRule="auto"/>
        <w:textAlignment w:val="baseline"/>
        <w:outlineLvl w:val="9"/>
        <w:rPr>
          <w:rFonts w:ascii="宋体" w:hAnsi="宋体" w:eastAsia="宋体" w:cs="宋体"/>
          <w:b/>
          <w:kern w:val="2"/>
          <w:sz w:val="24"/>
          <w:szCs w:val="24"/>
        </w:rPr>
      </w:pPr>
      <w:bookmarkStart w:id="236" w:name="_Toc22997"/>
    </w:p>
    <w:p>
      <w:pPr>
        <w:outlineLvl w:val="9"/>
        <w:rPr>
          <w:rFonts w:ascii="宋体" w:hAnsi="宋体" w:eastAsia="宋体" w:cs="宋体"/>
          <w:b/>
          <w:bCs/>
          <w:sz w:val="24"/>
          <w:szCs w:val="24"/>
        </w:rPr>
        <w:sectPr>
          <w:pgSz w:w="11906" w:h="16838"/>
          <w:pgMar w:top="1440" w:right="1080" w:bottom="1440" w:left="1080" w:header="851" w:footer="992" w:gutter="0"/>
          <w:pgNumType w:fmt="decimal"/>
          <w:cols w:space="720" w:num="1"/>
          <w:docGrid w:linePitch="312" w:charSpace="0"/>
        </w:sectPr>
      </w:pPr>
      <w:bookmarkStart w:id="237" w:name="_Toc1011"/>
      <w:bookmarkStart w:id="238" w:name="_Toc23501"/>
      <w:bookmarkStart w:id="239" w:name="_Toc15995"/>
    </w:p>
    <w:p>
      <w:pPr>
        <w:jc w:val="center"/>
        <w:outlineLvl w:val="9"/>
        <w:rPr>
          <w:rFonts w:ascii="宋体" w:hAnsi="宋体" w:eastAsia="宋体" w:cs="宋体"/>
          <w:b/>
          <w:kern w:val="2"/>
          <w:sz w:val="24"/>
          <w:szCs w:val="24"/>
        </w:rPr>
      </w:pPr>
      <w:bookmarkStart w:id="240" w:name="_Toc26363"/>
      <w:bookmarkStart w:id="241" w:name="_Toc12200"/>
      <w:r>
        <w:rPr>
          <w:rFonts w:hint="eastAsia" w:ascii="宋体" w:hAnsi="宋体" w:eastAsia="宋体" w:cs="宋体"/>
          <w:b/>
          <w:bCs/>
          <w:sz w:val="24"/>
          <w:szCs w:val="24"/>
        </w:rPr>
        <w:t>附件5：</w:t>
      </w:r>
      <w:bookmarkEnd w:id="236"/>
      <w:bookmarkEnd w:id="237"/>
      <w:bookmarkEnd w:id="238"/>
      <w:bookmarkEnd w:id="239"/>
      <w:bookmarkEnd w:id="240"/>
      <w:r>
        <w:rPr>
          <w:rFonts w:hint="eastAsia" w:ascii="宋体" w:hAnsi="宋体" w:eastAsia="宋体" w:cs="宋体"/>
          <w:b/>
          <w:kern w:val="2"/>
          <w:sz w:val="24"/>
          <w:szCs w:val="24"/>
        </w:rPr>
        <w:t>投标报价表（开标一览表）</w:t>
      </w:r>
      <w:bookmarkEnd w:id="241"/>
    </w:p>
    <w:p>
      <w:pPr>
        <w:spacing w:before="75" w:line="530" w:lineRule="auto"/>
        <w:ind w:left="253"/>
        <w:rPr>
          <w:rFonts w:ascii="宋体" w:hAnsi="宋体" w:eastAsia="宋体" w:cs="宋体"/>
          <w:spacing w:val="6"/>
          <w:sz w:val="23"/>
          <w:szCs w:val="23"/>
        </w:rPr>
      </w:pPr>
    </w:p>
    <w:p>
      <w:pPr>
        <w:spacing w:before="75" w:line="530" w:lineRule="auto"/>
        <w:ind w:left="253"/>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ascii="宋体" w:hAnsi="宋体" w:eastAsia="宋体" w:cs="宋体"/>
          <w:sz w:val="23"/>
          <w:szCs w:val="23"/>
          <w:u w:val="single" w:color="auto"/>
        </w:rPr>
        <w:t xml:space="preserve">          </w:t>
      </w:r>
    </w:p>
    <w:p>
      <w:pPr>
        <w:spacing w:line="227" w:lineRule="auto"/>
        <w:ind w:left="250"/>
        <w:rPr>
          <w:rFonts w:ascii="宋体" w:hAnsi="宋体" w:eastAsia="宋体" w:cs="宋体"/>
          <w:sz w:val="23"/>
          <w:szCs w:val="23"/>
        </w:rPr>
      </w:pPr>
      <w:r>
        <w:rPr>
          <w:rFonts w:ascii="宋体" w:hAnsi="宋体" w:eastAsia="宋体" w:cs="宋体"/>
          <w:spacing w:val="6"/>
          <w:sz w:val="23"/>
          <w:szCs w:val="23"/>
        </w:rPr>
        <w:t>招标编号</w:t>
      </w:r>
      <w:r>
        <w:rPr>
          <w:rFonts w:ascii="宋体" w:hAnsi="宋体" w:eastAsia="宋体" w:cs="宋体"/>
          <w:spacing w:val="5"/>
          <w:sz w:val="23"/>
          <w:szCs w:val="23"/>
        </w:rPr>
        <w:t>：</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ascii="宋体" w:hAnsi="宋体" w:eastAsia="宋体" w:cs="宋体"/>
          <w:sz w:val="23"/>
          <w:szCs w:val="23"/>
          <w:u w:val="single" w:color="auto"/>
        </w:rPr>
        <w:t xml:space="preserve">            </w:t>
      </w:r>
    </w:p>
    <w:p>
      <w:pPr>
        <w:spacing w:line="300" w:lineRule="auto"/>
        <w:rPr>
          <w:rFonts w:ascii="Arial"/>
          <w:sz w:val="21"/>
        </w:rPr>
      </w:pPr>
    </w:p>
    <w:p>
      <w:pPr>
        <w:spacing w:before="75" w:line="228" w:lineRule="auto"/>
        <w:ind w:left="252"/>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5"/>
          <w:sz w:val="23"/>
          <w:szCs w:val="23"/>
        </w:rPr>
        <w:t>标包号：</w:t>
      </w:r>
      <w:r>
        <w:rPr>
          <w:rFonts w:ascii="宋体" w:hAnsi="宋体" w:eastAsia="宋体" w:cs="宋体"/>
          <w:sz w:val="23"/>
          <w:szCs w:val="23"/>
          <w:u w:val="single" w:color="auto"/>
        </w:rPr>
        <w:t xml:space="preserve">      </w:t>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hint="eastAsia" w:ascii="宋体" w:hAnsi="宋体" w:eastAsia="宋体" w:cs="宋体"/>
          <w:sz w:val="23"/>
          <w:szCs w:val="23"/>
          <w:u w:val="single" w:color="auto"/>
          <w:lang w:val="en-US" w:eastAsia="zh-CN"/>
        </w:rPr>
        <w:tab/>
      </w:r>
      <w:r>
        <w:rPr>
          <w:rFonts w:ascii="宋体" w:hAnsi="宋体" w:eastAsia="宋体" w:cs="宋体"/>
          <w:sz w:val="23"/>
          <w:szCs w:val="23"/>
          <w:u w:val="single" w:color="auto"/>
        </w:rPr>
        <w:t xml:space="preserve">           </w:t>
      </w:r>
    </w:p>
    <w:tbl>
      <w:tblPr>
        <w:tblStyle w:val="29"/>
        <w:tblpPr w:leftFromText="180" w:rightFromText="180" w:vertAnchor="text" w:horzAnchor="page" w:tblpX="1080" w:tblpY="568"/>
        <w:tblOverlap w:val="never"/>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4"/>
        <w:gridCol w:w="2375"/>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764" w:type="dxa"/>
          </w:tcPr>
          <w:p>
            <w:pPr>
              <w:pStyle w:val="13"/>
              <w:spacing w:before="67" w:after="2" w:line="600" w:lineRule="exact"/>
              <w:jc w:val="center"/>
              <w:outlineLvl w:val="9"/>
              <w:rPr>
                <w:rFonts w:hint="default" w:ascii="宋体" w:hAnsi="宋体" w:eastAsia="宋体" w:cs="宋体"/>
                <w:sz w:val="24"/>
                <w:lang w:val="en-US" w:eastAsia="zh-CN"/>
              </w:rPr>
            </w:pPr>
            <w:r>
              <w:rPr>
                <w:rFonts w:hint="eastAsia" w:ascii="宋体" w:hAnsi="宋体" w:cs="宋体"/>
                <w:sz w:val="24"/>
                <w:lang w:val="en-US" w:eastAsia="zh-CN"/>
              </w:rPr>
              <w:t>投标人</w:t>
            </w:r>
          </w:p>
        </w:tc>
        <w:tc>
          <w:tcPr>
            <w:tcW w:w="2375" w:type="dxa"/>
          </w:tcPr>
          <w:p>
            <w:pPr>
              <w:pStyle w:val="13"/>
              <w:spacing w:before="67" w:after="2" w:line="600" w:lineRule="exact"/>
              <w:jc w:val="center"/>
              <w:outlineLvl w:val="9"/>
              <w:rPr>
                <w:rFonts w:ascii="宋体" w:hAnsi="宋体" w:cs="宋体"/>
                <w:sz w:val="24"/>
              </w:rPr>
            </w:pPr>
            <w:r>
              <w:rPr>
                <w:rFonts w:hint="eastAsia" w:ascii="宋体" w:hAnsi="宋体" w:cs="宋体"/>
                <w:sz w:val="24"/>
                <w:lang w:val="en-US" w:eastAsia="zh-CN"/>
              </w:rPr>
              <w:t>投标</w:t>
            </w:r>
            <w:r>
              <w:rPr>
                <w:rFonts w:hint="eastAsia" w:ascii="宋体" w:hAnsi="宋体" w:cs="宋体"/>
                <w:sz w:val="24"/>
              </w:rPr>
              <w:t>报价（万元）</w:t>
            </w:r>
          </w:p>
        </w:tc>
        <w:tc>
          <w:tcPr>
            <w:tcW w:w="2399" w:type="dxa"/>
          </w:tcPr>
          <w:p>
            <w:pPr>
              <w:pStyle w:val="13"/>
              <w:spacing w:before="67" w:after="2" w:line="600" w:lineRule="exact"/>
              <w:jc w:val="center"/>
              <w:outlineLvl w:val="9"/>
              <w:rPr>
                <w:rFonts w:hint="eastAsia" w:ascii="宋体" w:hAnsi="宋体" w:eastAsia="宋体" w:cs="宋体"/>
                <w:sz w:val="24"/>
                <w:lang w:eastAsia="zh-CN"/>
              </w:rPr>
            </w:pPr>
            <w:r>
              <w:rPr>
                <w:rFonts w:hint="eastAsia" w:ascii="宋体" w:hAnsi="宋体" w:cs="宋体"/>
                <w:sz w:val="24"/>
                <w:lang w:val="en-US" w:eastAsia="zh-CN"/>
              </w:rPr>
              <w:t>服务期（天）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764" w:type="dxa"/>
          </w:tcPr>
          <w:p>
            <w:pPr>
              <w:pStyle w:val="13"/>
              <w:spacing w:before="67" w:after="2" w:line="600" w:lineRule="exact"/>
              <w:jc w:val="center"/>
              <w:outlineLvl w:val="9"/>
              <w:rPr>
                <w:rFonts w:ascii="宋体" w:hAnsi="宋体" w:cs="宋体"/>
                <w:sz w:val="24"/>
              </w:rPr>
            </w:pPr>
          </w:p>
        </w:tc>
        <w:tc>
          <w:tcPr>
            <w:tcW w:w="2375" w:type="dxa"/>
          </w:tcPr>
          <w:p>
            <w:pPr>
              <w:pStyle w:val="13"/>
              <w:spacing w:before="67" w:after="2" w:line="600" w:lineRule="exact"/>
              <w:jc w:val="center"/>
              <w:outlineLvl w:val="9"/>
              <w:rPr>
                <w:rFonts w:ascii="宋体" w:hAnsi="宋体" w:cs="宋体"/>
                <w:sz w:val="24"/>
              </w:rPr>
            </w:pPr>
          </w:p>
        </w:tc>
        <w:tc>
          <w:tcPr>
            <w:tcW w:w="2399" w:type="dxa"/>
          </w:tcPr>
          <w:p>
            <w:pPr>
              <w:pStyle w:val="13"/>
              <w:spacing w:before="67" w:after="2" w:line="360" w:lineRule="auto"/>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538" w:type="dxa"/>
            <w:gridSpan w:val="3"/>
            <w:vAlign w:val="center"/>
          </w:tcPr>
          <w:p>
            <w:pPr>
              <w:pStyle w:val="13"/>
              <w:spacing w:before="67" w:after="2" w:line="600" w:lineRule="exact"/>
              <w:outlineLvl w:val="9"/>
              <w:rPr>
                <w:rFonts w:ascii="宋体" w:hAnsi="宋体" w:cs="宋体"/>
                <w:sz w:val="24"/>
              </w:rPr>
            </w:pPr>
            <w:r>
              <w:rPr>
                <w:rFonts w:ascii="宋体" w:hAnsi="宋体" w:eastAsia="宋体" w:cs="宋体"/>
                <w:spacing w:val="24"/>
                <w:sz w:val="23"/>
                <w:szCs w:val="23"/>
              </w:rPr>
              <w:t>(</w:t>
            </w:r>
            <w:r>
              <w:rPr>
                <w:rFonts w:ascii="宋体" w:hAnsi="宋体" w:eastAsia="宋体" w:cs="宋体"/>
                <w:spacing w:val="20"/>
                <w:sz w:val="23"/>
                <w:szCs w:val="23"/>
              </w:rPr>
              <w:t>大写) 人民币</w:t>
            </w:r>
          </w:p>
        </w:tc>
      </w:tr>
    </w:tbl>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jc w:val="both"/>
        <w:textAlignment w:val="baseline"/>
        <w:outlineLvl w:val="9"/>
        <w:rPr>
          <w:rFonts w:ascii="宋体" w:hAnsi="宋体" w:eastAsia="宋体" w:cs="宋体"/>
          <w:kern w:val="2"/>
          <w:sz w:val="24"/>
          <w:szCs w:val="24"/>
        </w:rPr>
      </w:pPr>
    </w:p>
    <w:p>
      <w:pPr>
        <w:pStyle w:val="13"/>
        <w:spacing w:before="67" w:after="2" w:line="600" w:lineRule="exact"/>
        <w:jc w:val="left"/>
        <w:outlineLvl w:val="9"/>
        <w:rPr>
          <w:rFonts w:ascii="宋体" w:hAnsi="宋体" w:cs="宋体"/>
          <w:sz w:val="24"/>
        </w:rPr>
      </w:pPr>
      <w:r>
        <w:rPr>
          <w:rFonts w:hint="eastAsia" w:ascii="宋体" w:hAnsi="宋体" w:cs="宋体"/>
          <w:sz w:val="24"/>
        </w:rPr>
        <w:t>注：服务、验收、保修、保险、税金、政策性文件规定及合同包含的所有风险、优惠率、责任等各项应有费用。</w:t>
      </w:r>
    </w:p>
    <w:p>
      <w:pPr>
        <w:adjustRightInd/>
        <w:snapToGrid/>
        <w:spacing w:after="0" w:line="360" w:lineRule="auto"/>
        <w:ind w:firstLine="3600" w:firstLineChars="1500"/>
        <w:jc w:val="both"/>
        <w:textAlignment w:val="baseline"/>
        <w:outlineLvl w:val="9"/>
        <w:rPr>
          <w:rFonts w:ascii="宋体" w:hAnsi="宋体" w:eastAsia="宋体" w:cs="宋体"/>
          <w:kern w:val="2"/>
          <w:sz w:val="24"/>
          <w:szCs w:val="24"/>
        </w:rPr>
      </w:pPr>
    </w:p>
    <w:p>
      <w:pPr>
        <w:adjustRightInd/>
        <w:snapToGrid/>
        <w:spacing w:after="0" w:line="360" w:lineRule="auto"/>
        <w:ind w:firstLine="3600" w:firstLineChars="15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投标人名称（公章）：</w:t>
      </w:r>
    </w:p>
    <w:p>
      <w:pPr>
        <w:adjustRightInd/>
        <w:snapToGrid/>
        <w:spacing w:after="0" w:line="360" w:lineRule="auto"/>
        <w:ind w:firstLine="3360" w:firstLineChars="14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法定代表人或法人授权代表（签字）：</w:t>
      </w:r>
    </w:p>
    <w:p>
      <w:pPr>
        <w:adjustRightInd/>
        <w:snapToGrid/>
        <w:spacing w:after="0" w:line="360" w:lineRule="auto"/>
        <w:ind w:firstLine="4080" w:firstLineChars="17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日期：  年  月   日</w:t>
      </w:r>
    </w:p>
    <w:p>
      <w:pPr>
        <w:pStyle w:val="8"/>
        <w:ind w:firstLine="480"/>
        <w:outlineLvl w:val="9"/>
        <w:rPr>
          <w:rFonts w:hAnsi="宋体" w:eastAsia="宋体" w:cs="宋体"/>
          <w:kern w:val="2"/>
          <w:sz w:val="24"/>
          <w:szCs w:val="24"/>
          <w:lang w:eastAsia="zh-CN"/>
        </w:rPr>
      </w:pPr>
    </w:p>
    <w:p>
      <w:pPr>
        <w:outlineLvl w:val="9"/>
        <w:rPr>
          <w:rFonts w:hint="eastAsia" w:ascii="宋体" w:hAnsi="宋体" w:eastAsia="宋体" w:cs="宋体"/>
          <w:sz w:val="24"/>
          <w:szCs w:val="24"/>
          <w:lang w:val="en-US"/>
        </w:rPr>
      </w:pPr>
      <w:r>
        <w:rPr>
          <w:rFonts w:hint="eastAsia" w:ascii="宋体" w:hAnsi="宋体" w:eastAsia="宋体" w:cs="宋体"/>
          <w:sz w:val="24"/>
          <w:szCs w:val="24"/>
          <w:lang w:val="en-US"/>
        </w:rPr>
        <w:br w:type="page"/>
      </w:r>
    </w:p>
    <w:p>
      <w:pPr>
        <w:spacing w:before="29"/>
        <w:ind w:right="742"/>
        <w:jc w:val="center"/>
        <w:outlineLvl w:val="9"/>
        <w:rPr>
          <w:rFonts w:hint="eastAsia" w:ascii="宋体" w:hAnsi="宋体" w:eastAsia="宋体" w:cs="宋体"/>
          <w:sz w:val="24"/>
          <w:szCs w:val="24"/>
        </w:rPr>
      </w:pPr>
      <w:r>
        <w:rPr>
          <w:rFonts w:hint="eastAsia" w:ascii="宋体" w:hAnsi="宋体" w:eastAsia="宋体" w:cs="宋体"/>
          <w:sz w:val="24"/>
          <w:szCs w:val="24"/>
        </w:rPr>
        <w:t>分项报价表</w:t>
      </w:r>
    </w:p>
    <w:p>
      <w:pPr>
        <w:spacing w:before="185" w:line="228" w:lineRule="auto"/>
        <w:ind w:left="294"/>
        <w:rPr>
          <w:rFonts w:ascii="宋体" w:hAnsi="宋体" w:eastAsia="宋体" w:cs="宋体"/>
          <w:spacing w:val="6"/>
          <w:sz w:val="23"/>
          <w:szCs w:val="23"/>
        </w:rPr>
      </w:pPr>
    </w:p>
    <w:p>
      <w:pPr>
        <w:spacing w:before="185" w:line="228" w:lineRule="auto"/>
        <w:ind w:left="294"/>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r>
        <w:rPr>
          <w:rFonts w:ascii="宋体" w:hAnsi="宋体" w:eastAsia="宋体" w:cs="宋体"/>
          <w:sz w:val="23"/>
          <w:szCs w:val="23"/>
          <w:u w:val="single" w:color="auto"/>
        </w:rPr>
        <w:t xml:space="preserve">                     </w:t>
      </w:r>
    </w:p>
    <w:p>
      <w:pPr>
        <w:spacing w:before="213" w:line="227" w:lineRule="auto"/>
        <w:ind w:left="291"/>
        <w:rPr>
          <w:rFonts w:ascii="宋体" w:hAnsi="宋体" w:eastAsia="宋体" w:cs="宋体"/>
          <w:sz w:val="23"/>
          <w:szCs w:val="23"/>
        </w:rPr>
      </w:pPr>
      <w:r>
        <w:rPr>
          <w:rFonts w:ascii="宋体" w:hAnsi="宋体" w:eastAsia="宋体" w:cs="宋体"/>
          <w:spacing w:val="6"/>
          <w:sz w:val="23"/>
          <w:szCs w:val="23"/>
        </w:rPr>
        <w:t>招标编号</w:t>
      </w:r>
      <w:r>
        <w:rPr>
          <w:rFonts w:ascii="宋体" w:hAnsi="宋体" w:eastAsia="宋体" w:cs="宋体"/>
          <w:spacing w:val="5"/>
          <w:sz w:val="23"/>
          <w:szCs w:val="23"/>
        </w:rPr>
        <w:t>：</w:t>
      </w:r>
      <w:r>
        <w:rPr>
          <w:rFonts w:ascii="宋体" w:hAnsi="宋体" w:eastAsia="宋体" w:cs="宋体"/>
          <w:sz w:val="23"/>
          <w:szCs w:val="23"/>
          <w:u w:val="single" w:color="auto"/>
        </w:rPr>
        <w:t xml:space="preserve">                     </w:t>
      </w:r>
    </w:p>
    <w:p>
      <w:pPr>
        <w:pStyle w:val="13"/>
        <w:spacing w:before="44" w:after="25"/>
        <w:ind w:right="971" w:firstLine="244" w:firstLineChars="100"/>
        <w:jc w:val="both"/>
        <w:outlineLvl w:val="9"/>
        <w:rPr>
          <w:rFonts w:hint="eastAsia" w:ascii="宋体" w:hAnsi="宋体" w:eastAsia="宋体" w:cs="宋体"/>
          <w:b w:val="0"/>
          <w:bCs w:val="0"/>
          <w:sz w:val="24"/>
          <w:szCs w:val="24"/>
        </w:rPr>
      </w:pPr>
      <w:r>
        <w:rPr>
          <w:rFonts w:ascii="宋体" w:hAnsi="宋体" w:eastAsia="宋体" w:cs="宋体"/>
          <w:spacing w:val="7"/>
          <w:sz w:val="23"/>
          <w:szCs w:val="23"/>
        </w:rPr>
        <w:t>投</w:t>
      </w:r>
      <w:r>
        <w:rPr>
          <w:rFonts w:ascii="宋体" w:hAnsi="宋体" w:eastAsia="宋体" w:cs="宋体"/>
          <w:spacing w:val="5"/>
          <w:sz w:val="23"/>
          <w:szCs w:val="23"/>
        </w:rPr>
        <w:t>标包号：</w:t>
      </w:r>
      <w:r>
        <w:rPr>
          <w:rFonts w:ascii="宋体" w:hAnsi="宋体" w:eastAsia="宋体" w:cs="宋体"/>
          <w:sz w:val="23"/>
          <w:szCs w:val="23"/>
          <w:u w:val="single" w:color="auto"/>
        </w:rPr>
        <w:t xml:space="preserve">                     </w:t>
      </w:r>
    </w:p>
    <w:p>
      <w:pPr>
        <w:rPr>
          <w:rFonts w:hint="eastAsia" w:ascii="宋体" w:hAnsi="宋体" w:eastAsia="宋体" w:cs="宋体"/>
          <w:b w:val="0"/>
          <w:bCs w:val="0"/>
          <w:sz w:val="24"/>
          <w:szCs w:val="24"/>
        </w:rPr>
      </w:pPr>
    </w:p>
    <w:p>
      <w:pPr>
        <w:pStyle w:val="24"/>
        <w:rPr>
          <w:rFonts w:hint="eastAsia"/>
        </w:rPr>
      </w:pPr>
    </w:p>
    <w:tbl>
      <w:tblPr>
        <w:tblStyle w:val="165"/>
        <w:tblW w:w="88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0"/>
        <w:gridCol w:w="1529"/>
        <w:gridCol w:w="1201"/>
        <w:gridCol w:w="1170"/>
        <w:gridCol w:w="1267"/>
        <w:gridCol w:w="983"/>
        <w:gridCol w:w="1256"/>
        <w:gridCol w:w="7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30"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rPr>
              <w:t>序号</w:t>
            </w:r>
          </w:p>
        </w:tc>
        <w:tc>
          <w:tcPr>
            <w:tcW w:w="1529"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en-US" w:eastAsia="zh-CN"/>
              </w:rPr>
              <w:t>分项</w:t>
            </w:r>
            <w:r>
              <w:rPr>
                <w:rFonts w:hint="eastAsia" w:ascii="宋体" w:hAnsi="宋体" w:eastAsia="宋体" w:cs="宋体"/>
                <w:b w:val="0"/>
                <w:bCs w:val="0"/>
                <w:color w:val="000000"/>
                <w:sz w:val="24"/>
                <w:szCs w:val="24"/>
              </w:rPr>
              <w:t>名称</w:t>
            </w:r>
          </w:p>
        </w:tc>
        <w:tc>
          <w:tcPr>
            <w:tcW w:w="1201"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color w:val="000000"/>
                <w:sz w:val="24"/>
                <w:szCs w:val="24"/>
                <w:lang w:val="en-US" w:eastAsia="zh-CN"/>
              </w:rPr>
              <w:t>规格型号</w:t>
            </w:r>
          </w:p>
        </w:tc>
        <w:tc>
          <w:tcPr>
            <w:tcW w:w="1170"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数量</w:t>
            </w:r>
          </w:p>
        </w:tc>
        <w:tc>
          <w:tcPr>
            <w:tcW w:w="1267"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单位</w:t>
            </w:r>
          </w:p>
        </w:tc>
        <w:tc>
          <w:tcPr>
            <w:tcW w:w="983"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单价（元）</w:t>
            </w:r>
          </w:p>
        </w:tc>
        <w:tc>
          <w:tcPr>
            <w:tcW w:w="1256"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合计</w:t>
            </w:r>
          </w:p>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（元）</w:t>
            </w:r>
          </w:p>
        </w:tc>
        <w:tc>
          <w:tcPr>
            <w:tcW w:w="719" w:type="dxa"/>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eastAsia" w:ascii="宋体" w:hAnsi="宋体" w:eastAsia="宋体" w:cs="宋体"/>
                <w:b w:val="0"/>
                <w:bCs w:val="0"/>
                <w:sz w:val="24"/>
                <w:szCs w:val="24"/>
                <w:lang w:val="en-US" w:eastAsia="zh-CN" w:bidi="ar-SA"/>
              </w:rPr>
            </w:pPr>
            <w:r>
              <w:rPr>
                <w:rFonts w:hint="eastAsia" w:ascii="宋体" w:hAnsi="宋体" w:eastAsia="宋体" w:cs="宋体"/>
                <w:b w:val="0"/>
                <w:bCs w:val="0"/>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730" w:type="dxa"/>
            <w:vAlign w:val="top"/>
          </w:tcPr>
          <w:p>
            <w:pPr>
              <w:spacing w:before="289" w:line="192" w:lineRule="auto"/>
              <w:ind w:left="368"/>
              <w:rPr>
                <w:rFonts w:ascii="宋体" w:hAnsi="宋体" w:eastAsia="宋体" w:cs="宋体"/>
                <w:sz w:val="23"/>
                <w:szCs w:val="23"/>
              </w:rPr>
            </w:pPr>
            <w:r>
              <w:rPr>
                <w:rFonts w:ascii="宋体" w:hAnsi="宋体" w:eastAsia="宋体" w:cs="宋体"/>
                <w:sz w:val="23"/>
                <w:szCs w:val="23"/>
              </w:rPr>
              <w:t>1</w:t>
            </w:r>
          </w:p>
        </w:tc>
        <w:tc>
          <w:tcPr>
            <w:tcW w:w="1529" w:type="dxa"/>
            <w:vAlign w:val="top"/>
          </w:tcPr>
          <w:p>
            <w:pPr>
              <w:rPr>
                <w:rFonts w:ascii="Arial"/>
                <w:sz w:val="21"/>
              </w:rPr>
            </w:pPr>
          </w:p>
        </w:tc>
        <w:tc>
          <w:tcPr>
            <w:tcW w:w="1201" w:type="dxa"/>
            <w:vAlign w:val="top"/>
          </w:tcPr>
          <w:p>
            <w:pPr>
              <w:rPr>
                <w:rFonts w:ascii="Arial"/>
                <w:sz w:val="21"/>
              </w:rPr>
            </w:pPr>
          </w:p>
        </w:tc>
        <w:tc>
          <w:tcPr>
            <w:tcW w:w="1170" w:type="dxa"/>
            <w:vAlign w:val="top"/>
          </w:tcPr>
          <w:p>
            <w:pPr>
              <w:rPr>
                <w:rFonts w:ascii="Arial"/>
                <w:sz w:val="21"/>
              </w:rPr>
            </w:pPr>
          </w:p>
        </w:tc>
        <w:tc>
          <w:tcPr>
            <w:tcW w:w="1267" w:type="dxa"/>
            <w:vAlign w:val="top"/>
          </w:tcPr>
          <w:p>
            <w:pPr>
              <w:rPr>
                <w:rFonts w:ascii="Arial"/>
                <w:sz w:val="21"/>
              </w:rPr>
            </w:pPr>
          </w:p>
        </w:tc>
        <w:tc>
          <w:tcPr>
            <w:tcW w:w="983" w:type="dxa"/>
            <w:vAlign w:val="top"/>
          </w:tcPr>
          <w:p>
            <w:pPr>
              <w:rPr>
                <w:rFonts w:ascii="Arial"/>
                <w:sz w:val="21"/>
              </w:rPr>
            </w:pPr>
          </w:p>
        </w:tc>
        <w:tc>
          <w:tcPr>
            <w:tcW w:w="1256" w:type="dxa"/>
            <w:vAlign w:val="top"/>
          </w:tcPr>
          <w:p>
            <w:pPr>
              <w:rPr>
                <w:rFonts w:ascii="Arial"/>
                <w:sz w:val="21"/>
              </w:rPr>
            </w:pPr>
          </w:p>
        </w:tc>
        <w:tc>
          <w:tcPr>
            <w:tcW w:w="7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730" w:type="dxa"/>
            <w:vAlign w:val="top"/>
          </w:tcPr>
          <w:p>
            <w:pPr>
              <w:spacing w:before="288" w:line="192" w:lineRule="auto"/>
              <w:ind w:left="353"/>
              <w:rPr>
                <w:rFonts w:ascii="宋体" w:hAnsi="宋体" w:eastAsia="宋体" w:cs="宋体"/>
                <w:sz w:val="23"/>
                <w:szCs w:val="23"/>
              </w:rPr>
            </w:pPr>
            <w:r>
              <w:rPr>
                <w:rFonts w:ascii="宋体" w:hAnsi="宋体" w:eastAsia="宋体" w:cs="宋体"/>
                <w:sz w:val="23"/>
                <w:szCs w:val="23"/>
              </w:rPr>
              <w:t>2</w:t>
            </w:r>
          </w:p>
        </w:tc>
        <w:tc>
          <w:tcPr>
            <w:tcW w:w="1529" w:type="dxa"/>
            <w:vAlign w:val="top"/>
          </w:tcPr>
          <w:p>
            <w:pPr>
              <w:rPr>
                <w:rFonts w:ascii="Arial"/>
                <w:sz w:val="21"/>
              </w:rPr>
            </w:pPr>
          </w:p>
        </w:tc>
        <w:tc>
          <w:tcPr>
            <w:tcW w:w="1201" w:type="dxa"/>
            <w:vAlign w:val="top"/>
          </w:tcPr>
          <w:p>
            <w:pPr>
              <w:rPr>
                <w:rFonts w:ascii="Arial"/>
                <w:sz w:val="21"/>
              </w:rPr>
            </w:pPr>
          </w:p>
        </w:tc>
        <w:tc>
          <w:tcPr>
            <w:tcW w:w="1170" w:type="dxa"/>
            <w:vAlign w:val="top"/>
          </w:tcPr>
          <w:p>
            <w:pPr>
              <w:rPr>
                <w:rFonts w:ascii="Arial"/>
                <w:sz w:val="21"/>
              </w:rPr>
            </w:pPr>
          </w:p>
        </w:tc>
        <w:tc>
          <w:tcPr>
            <w:tcW w:w="1267" w:type="dxa"/>
            <w:vAlign w:val="top"/>
          </w:tcPr>
          <w:p>
            <w:pPr>
              <w:rPr>
                <w:rFonts w:ascii="Arial"/>
                <w:sz w:val="21"/>
              </w:rPr>
            </w:pPr>
          </w:p>
        </w:tc>
        <w:tc>
          <w:tcPr>
            <w:tcW w:w="983" w:type="dxa"/>
            <w:vAlign w:val="top"/>
          </w:tcPr>
          <w:p>
            <w:pPr>
              <w:rPr>
                <w:rFonts w:ascii="Arial"/>
                <w:sz w:val="21"/>
              </w:rPr>
            </w:pPr>
          </w:p>
        </w:tc>
        <w:tc>
          <w:tcPr>
            <w:tcW w:w="1256" w:type="dxa"/>
            <w:vAlign w:val="top"/>
          </w:tcPr>
          <w:p>
            <w:pPr>
              <w:rPr>
                <w:rFonts w:ascii="Arial"/>
                <w:sz w:val="21"/>
              </w:rPr>
            </w:pPr>
          </w:p>
        </w:tc>
        <w:tc>
          <w:tcPr>
            <w:tcW w:w="7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730" w:type="dxa"/>
            <w:vAlign w:val="top"/>
          </w:tcPr>
          <w:p>
            <w:pPr>
              <w:spacing w:before="290" w:line="190" w:lineRule="auto"/>
              <w:ind w:left="355"/>
              <w:rPr>
                <w:rFonts w:ascii="宋体" w:hAnsi="宋体" w:eastAsia="宋体" w:cs="宋体"/>
                <w:sz w:val="23"/>
                <w:szCs w:val="23"/>
              </w:rPr>
            </w:pPr>
            <w:r>
              <w:rPr>
                <w:rFonts w:ascii="宋体" w:hAnsi="宋体" w:eastAsia="宋体" w:cs="宋体"/>
                <w:sz w:val="23"/>
                <w:szCs w:val="23"/>
              </w:rPr>
              <w:t>3</w:t>
            </w:r>
          </w:p>
        </w:tc>
        <w:tc>
          <w:tcPr>
            <w:tcW w:w="1529" w:type="dxa"/>
            <w:vAlign w:val="top"/>
          </w:tcPr>
          <w:p>
            <w:pPr>
              <w:rPr>
                <w:rFonts w:ascii="Arial"/>
                <w:sz w:val="21"/>
              </w:rPr>
            </w:pPr>
          </w:p>
        </w:tc>
        <w:tc>
          <w:tcPr>
            <w:tcW w:w="1201" w:type="dxa"/>
            <w:vAlign w:val="top"/>
          </w:tcPr>
          <w:p>
            <w:pPr>
              <w:rPr>
                <w:rFonts w:ascii="Arial"/>
                <w:sz w:val="21"/>
              </w:rPr>
            </w:pPr>
          </w:p>
        </w:tc>
        <w:tc>
          <w:tcPr>
            <w:tcW w:w="1170" w:type="dxa"/>
            <w:vAlign w:val="top"/>
          </w:tcPr>
          <w:p>
            <w:pPr>
              <w:rPr>
                <w:rFonts w:ascii="Arial"/>
                <w:sz w:val="21"/>
              </w:rPr>
            </w:pPr>
          </w:p>
        </w:tc>
        <w:tc>
          <w:tcPr>
            <w:tcW w:w="1267" w:type="dxa"/>
            <w:vAlign w:val="top"/>
          </w:tcPr>
          <w:p>
            <w:pPr>
              <w:rPr>
                <w:rFonts w:ascii="Arial"/>
                <w:sz w:val="21"/>
              </w:rPr>
            </w:pPr>
          </w:p>
        </w:tc>
        <w:tc>
          <w:tcPr>
            <w:tcW w:w="983" w:type="dxa"/>
            <w:vAlign w:val="top"/>
          </w:tcPr>
          <w:p>
            <w:pPr>
              <w:rPr>
                <w:rFonts w:ascii="Arial"/>
                <w:sz w:val="21"/>
              </w:rPr>
            </w:pPr>
          </w:p>
        </w:tc>
        <w:tc>
          <w:tcPr>
            <w:tcW w:w="1256" w:type="dxa"/>
            <w:vAlign w:val="top"/>
          </w:tcPr>
          <w:p>
            <w:pPr>
              <w:rPr>
                <w:rFonts w:ascii="Arial"/>
                <w:sz w:val="21"/>
              </w:rPr>
            </w:pPr>
          </w:p>
        </w:tc>
        <w:tc>
          <w:tcPr>
            <w:tcW w:w="7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3" w:hRule="atLeast"/>
        </w:trPr>
        <w:tc>
          <w:tcPr>
            <w:tcW w:w="730" w:type="dxa"/>
            <w:vAlign w:val="top"/>
          </w:tcPr>
          <w:p>
            <w:pPr>
              <w:spacing w:before="74" w:line="97" w:lineRule="exact"/>
              <w:ind w:left="237"/>
              <w:rPr>
                <w:rFonts w:ascii="宋体" w:hAnsi="宋体" w:eastAsia="宋体" w:cs="宋体"/>
                <w:sz w:val="23"/>
                <w:szCs w:val="23"/>
              </w:rPr>
            </w:pPr>
            <w:r>
              <w:rPr>
                <w:rFonts w:ascii="宋体" w:hAnsi="宋体" w:eastAsia="宋体" w:cs="宋体"/>
                <w:spacing w:val="3"/>
                <w:position w:val="1"/>
                <w:sz w:val="23"/>
                <w:szCs w:val="23"/>
              </w:rPr>
              <w:t>...</w:t>
            </w:r>
          </w:p>
        </w:tc>
        <w:tc>
          <w:tcPr>
            <w:tcW w:w="1529" w:type="dxa"/>
            <w:vAlign w:val="top"/>
          </w:tcPr>
          <w:p>
            <w:pPr>
              <w:rPr>
                <w:rFonts w:ascii="Arial"/>
                <w:sz w:val="21"/>
              </w:rPr>
            </w:pPr>
          </w:p>
        </w:tc>
        <w:tc>
          <w:tcPr>
            <w:tcW w:w="1201" w:type="dxa"/>
            <w:vAlign w:val="top"/>
          </w:tcPr>
          <w:p>
            <w:pPr>
              <w:rPr>
                <w:rFonts w:ascii="Arial"/>
                <w:sz w:val="21"/>
              </w:rPr>
            </w:pPr>
          </w:p>
        </w:tc>
        <w:tc>
          <w:tcPr>
            <w:tcW w:w="1170" w:type="dxa"/>
            <w:vAlign w:val="top"/>
          </w:tcPr>
          <w:p>
            <w:pPr>
              <w:rPr>
                <w:rFonts w:ascii="Arial"/>
                <w:sz w:val="21"/>
              </w:rPr>
            </w:pPr>
          </w:p>
        </w:tc>
        <w:tc>
          <w:tcPr>
            <w:tcW w:w="1267" w:type="dxa"/>
            <w:vAlign w:val="top"/>
          </w:tcPr>
          <w:p>
            <w:pPr>
              <w:rPr>
                <w:rFonts w:ascii="Arial"/>
                <w:sz w:val="21"/>
              </w:rPr>
            </w:pPr>
          </w:p>
        </w:tc>
        <w:tc>
          <w:tcPr>
            <w:tcW w:w="983" w:type="dxa"/>
            <w:vAlign w:val="top"/>
          </w:tcPr>
          <w:p>
            <w:pPr>
              <w:rPr>
                <w:rFonts w:ascii="Arial"/>
                <w:sz w:val="21"/>
              </w:rPr>
            </w:pPr>
          </w:p>
        </w:tc>
        <w:tc>
          <w:tcPr>
            <w:tcW w:w="1256" w:type="dxa"/>
            <w:vAlign w:val="top"/>
          </w:tcPr>
          <w:p>
            <w:pPr>
              <w:rPr>
                <w:rFonts w:ascii="Arial"/>
                <w:sz w:val="21"/>
              </w:rPr>
            </w:pPr>
          </w:p>
        </w:tc>
        <w:tc>
          <w:tcPr>
            <w:tcW w:w="7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3460" w:type="dxa"/>
            <w:gridSpan w:val="3"/>
            <w:vAlign w:val="top"/>
          </w:tcPr>
          <w:p>
            <w:pPr>
              <w:spacing w:line="322" w:lineRule="auto"/>
              <w:rPr>
                <w:rFonts w:ascii="Arial"/>
                <w:sz w:val="21"/>
              </w:rPr>
            </w:pPr>
          </w:p>
          <w:p>
            <w:pPr>
              <w:spacing w:before="74" w:line="226" w:lineRule="auto"/>
              <w:ind w:left="1212"/>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标总报价</w:t>
            </w:r>
          </w:p>
        </w:tc>
        <w:tc>
          <w:tcPr>
            <w:tcW w:w="5395" w:type="dxa"/>
            <w:gridSpan w:val="5"/>
            <w:vAlign w:val="top"/>
          </w:tcPr>
          <w:p>
            <w:pPr>
              <w:spacing w:before="117" w:line="451" w:lineRule="auto"/>
              <w:ind w:left="125"/>
              <w:rPr>
                <w:rFonts w:ascii="宋体" w:hAnsi="宋体" w:eastAsia="宋体" w:cs="宋体"/>
                <w:sz w:val="23"/>
                <w:szCs w:val="23"/>
              </w:rPr>
            </w:pPr>
            <w:r>
              <w:rPr>
                <w:rFonts w:ascii="宋体" w:hAnsi="宋体" w:eastAsia="宋体" w:cs="宋体"/>
                <w:spacing w:val="13"/>
                <w:sz w:val="23"/>
                <w:szCs w:val="23"/>
              </w:rPr>
              <w:t>(</w:t>
            </w:r>
            <w:r>
              <w:rPr>
                <w:rFonts w:ascii="宋体" w:hAnsi="宋体" w:eastAsia="宋体" w:cs="宋体"/>
                <w:spacing w:val="10"/>
                <w:sz w:val="23"/>
                <w:szCs w:val="23"/>
              </w:rPr>
              <w:t>大写) 人民币</w:t>
            </w:r>
            <w:r>
              <w:rPr>
                <w:rFonts w:ascii="宋体" w:hAnsi="宋体" w:eastAsia="宋体" w:cs="宋体"/>
                <w:spacing w:val="10"/>
                <w:sz w:val="23"/>
                <w:szCs w:val="23"/>
                <w:u w:val="single" w:color="auto"/>
              </w:rPr>
              <w:t xml:space="preserve">              </w:t>
            </w:r>
            <w:r>
              <w:rPr>
                <w:rFonts w:ascii="宋体" w:hAnsi="宋体" w:eastAsia="宋体" w:cs="宋体"/>
                <w:spacing w:val="10"/>
                <w:sz w:val="23"/>
                <w:szCs w:val="23"/>
              </w:rPr>
              <w:t>。</w:t>
            </w:r>
          </w:p>
          <w:p>
            <w:pPr>
              <w:spacing w:line="229" w:lineRule="auto"/>
              <w:ind w:left="125"/>
              <w:rPr>
                <w:rFonts w:ascii="宋体" w:hAnsi="宋体" w:eastAsia="宋体" w:cs="宋体"/>
                <w:sz w:val="23"/>
                <w:szCs w:val="23"/>
              </w:rPr>
            </w:pPr>
            <w:r>
              <w:rPr>
                <w:rFonts w:ascii="宋体" w:hAnsi="宋体" w:eastAsia="宋体" w:cs="宋体"/>
                <w:spacing w:val="2"/>
                <w:sz w:val="23"/>
                <w:szCs w:val="23"/>
              </w:rPr>
              <w:t>(小写： ￥</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w:t>
            </w:r>
          </w:p>
        </w:tc>
      </w:tr>
    </w:tbl>
    <w:p>
      <w:pPr>
        <w:spacing w:line="425" w:lineRule="exact"/>
        <w:outlineLvl w:val="9"/>
        <w:rPr>
          <w:rFonts w:hint="eastAsia" w:ascii="宋体" w:hAnsi="宋体" w:eastAsia="宋体" w:cs="宋体"/>
          <w:sz w:val="24"/>
          <w:szCs w:val="24"/>
        </w:rPr>
      </w:pPr>
    </w:p>
    <w:p>
      <w:pPr>
        <w:autoSpaceDE/>
        <w:autoSpaceDN/>
        <w:spacing w:line="480" w:lineRule="auto"/>
        <w:ind w:firstLine="360" w:firstLineChars="150"/>
        <w:outlineLvl w:val="9"/>
        <w:rPr>
          <w:rFonts w:hint="eastAsia" w:ascii="宋体" w:hAnsi="宋体" w:eastAsia="宋体" w:cs="宋体"/>
          <w:sz w:val="24"/>
          <w:szCs w:val="24"/>
          <w:lang w:val="en-US"/>
        </w:rPr>
      </w:pPr>
      <w:r>
        <w:rPr>
          <w:rFonts w:hint="eastAsia" w:ascii="宋体" w:hAnsi="宋体" w:eastAsia="宋体" w:cs="宋体"/>
          <w:sz w:val="24"/>
          <w:szCs w:val="24"/>
        </w:rPr>
        <w:t>投标人名称(盖公章)：</w:t>
      </w:r>
      <w:r>
        <w:rPr>
          <w:rFonts w:hint="eastAsia" w:ascii="宋体" w:hAnsi="宋体" w:eastAsia="宋体" w:cs="宋体"/>
          <w:sz w:val="24"/>
          <w:szCs w:val="24"/>
          <w:u w:val="single"/>
          <w:lang w:val="en-US"/>
        </w:rPr>
        <w:t xml:space="preserve">                         </w:t>
      </w:r>
    </w:p>
    <w:p>
      <w:pPr>
        <w:autoSpaceDE/>
        <w:autoSpaceDN/>
        <w:spacing w:line="480" w:lineRule="auto"/>
        <w:ind w:firstLine="360" w:firstLineChars="150"/>
        <w:outlineLvl w:val="9"/>
        <w:rPr>
          <w:rFonts w:hint="eastAsia" w:ascii="宋体" w:hAnsi="宋体" w:eastAsia="宋体" w:cs="宋体"/>
          <w:sz w:val="24"/>
          <w:szCs w:val="24"/>
        </w:rPr>
      </w:pPr>
      <w:r>
        <w:rPr>
          <w:rFonts w:hint="eastAsia" w:ascii="宋体" w:hAnsi="宋体" w:eastAsia="宋体" w:cs="宋体"/>
          <w:sz w:val="24"/>
          <w:szCs w:val="24"/>
        </w:rPr>
        <w:t>法定代表人或其授权的代理人(签字)：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utoSpaceDE/>
        <w:autoSpaceDN/>
        <w:spacing w:line="480" w:lineRule="auto"/>
        <w:ind w:firstLine="360" w:firstLineChars="150"/>
        <w:outlineLvl w:val="9"/>
        <w:rPr>
          <w:rFonts w:hint="eastAsia" w:ascii="宋体" w:hAnsi="宋体" w:eastAsia="宋体" w:cs="宋体"/>
          <w:sz w:val="24"/>
          <w:szCs w:val="24"/>
          <w:lang w:val="en-US" w:bidi="ar-SA"/>
        </w:rPr>
      </w:pPr>
      <w:r>
        <w:rPr>
          <w:rFonts w:hint="eastAsia" w:ascii="宋体" w:hAnsi="宋体" w:eastAsia="宋体" w:cs="宋体"/>
          <w:sz w:val="24"/>
          <w:szCs w:val="24"/>
        </w:rPr>
        <w:t>日期：</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年</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月</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日</w:t>
      </w:r>
    </w:p>
    <w:p>
      <w:pPr>
        <w:outlineLvl w:val="9"/>
        <w:rPr>
          <w:rFonts w:hint="eastAsia" w:ascii="宋体" w:hAnsi="宋体" w:eastAsia="宋体" w:cs="宋体"/>
          <w:sz w:val="24"/>
          <w:szCs w:val="24"/>
        </w:rPr>
        <w:sectPr>
          <w:pgSz w:w="11910" w:h="16840"/>
          <w:pgMar w:top="1380" w:right="1540" w:bottom="1340" w:left="1580" w:header="359" w:footer="1157" w:gutter="0"/>
          <w:pgNumType w:fmt="decimal"/>
          <w:cols w:space="720" w:num="1"/>
        </w:sectPr>
      </w:pPr>
    </w:p>
    <w:p>
      <w:pPr>
        <w:keepNext w:val="0"/>
        <w:keepLines w:val="0"/>
        <w:pageBreakBefore w:val="0"/>
        <w:widowControl w:val="0"/>
        <w:kinsoku/>
        <w:wordWrap w:val="0"/>
        <w:overflowPunct/>
        <w:topLinePunct/>
        <w:autoSpaceDE/>
        <w:autoSpaceDN/>
        <w:bidi w:val="0"/>
        <w:adjustRightInd w:val="0"/>
        <w:snapToGrid w:val="0"/>
        <w:spacing w:line="480" w:lineRule="exact"/>
        <w:jc w:val="center"/>
        <w:textAlignment w:val="baseline"/>
        <w:rPr>
          <w:rFonts w:hint="eastAsia" w:ascii="宋体" w:hAnsi="宋体" w:eastAsia="宋体" w:cs="宋体"/>
          <w:b/>
          <w:bCs/>
          <w:sz w:val="24"/>
          <w:szCs w:val="24"/>
        </w:rPr>
      </w:pPr>
      <w:bookmarkStart w:id="242" w:name="_Toc26870"/>
      <w:bookmarkStart w:id="243" w:name="_Toc26973"/>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：投标方案说明书</w:t>
      </w:r>
    </w:p>
    <w:p>
      <w:pPr>
        <w:spacing w:before="193" w:line="408" w:lineRule="auto"/>
        <w:ind w:left="10" w:right="141" w:firstLine="569"/>
        <w:rPr>
          <w:rFonts w:ascii="宋体" w:hAnsi="宋体" w:eastAsia="宋体" w:cs="宋体"/>
          <w:spacing w:val="16"/>
          <w:sz w:val="23"/>
          <w:szCs w:val="23"/>
        </w:rPr>
      </w:pPr>
    </w:p>
    <w:p>
      <w:pPr>
        <w:keepNext w:val="0"/>
        <w:keepLines w:val="0"/>
        <w:pageBreakBefore w:val="0"/>
        <w:widowControl w:val="0"/>
        <w:kinsoku/>
        <w:wordWrap w:val="0"/>
        <w:overflowPunct/>
        <w:topLinePunct/>
        <w:autoSpaceDE/>
        <w:autoSpaceDN/>
        <w:bidi w:val="0"/>
        <w:adjustRightInd w:val="0"/>
        <w:snapToGrid w:val="0"/>
        <w:spacing w:line="500" w:lineRule="exact"/>
        <w:ind w:left="0" w:leftChars="0" w:right="141" w:firstLine="539" w:firstLineChars="0"/>
        <w:textAlignment w:val="baseline"/>
        <w:rPr>
          <w:rFonts w:ascii="宋体" w:hAnsi="宋体" w:eastAsia="宋体" w:cs="宋体"/>
          <w:sz w:val="24"/>
          <w:szCs w:val="24"/>
        </w:rPr>
      </w:pPr>
      <w:r>
        <w:rPr>
          <w:rFonts w:ascii="宋体" w:hAnsi="宋体" w:eastAsia="宋体" w:cs="宋体"/>
          <w:spacing w:val="16"/>
          <w:sz w:val="24"/>
          <w:szCs w:val="24"/>
        </w:rPr>
        <w:t>按照</w:t>
      </w:r>
      <w:r>
        <w:rPr>
          <w:rFonts w:ascii="宋体" w:hAnsi="宋体" w:eastAsia="宋体" w:cs="宋体"/>
          <w:spacing w:val="10"/>
          <w:sz w:val="24"/>
          <w:szCs w:val="24"/>
        </w:rPr>
        <w:t>招</w:t>
      </w:r>
      <w:r>
        <w:rPr>
          <w:rFonts w:ascii="宋体" w:hAnsi="宋体" w:eastAsia="宋体" w:cs="宋体"/>
          <w:spacing w:val="8"/>
          <w:sz w:val="24"/>
          <w:szCs w:val="24"/>
        </w:rPr>
        <w:t>标文件的要求编制的投标方案说明书，内容包括货物或服务的详细说明、</w:t>
      </w:r>
      <w:r>
        <w:rPr>
          <w:rFonts w:ascii="宋体" w:hAnsi="宋体" w:eastAsia="宋体" w:cs="宋体"/>
          <w:sz w:val="24"/>
          <w:szCs w:val="24"/>
        </w:rPr>
        <w:t xml:space="preserve"> </w:t>
      </w:r>
      <w:r>
        <w:rPr>
          <w:rFonts w:ascii="宋体" w:hAnsi="宋体" w:eastAsia="宋体" w:cs="宋体"/>
          <w:spacing w:val="17"/>
          <w:sz w:val="24"/>
          <w:szCs w:val="24"/>
        </w:rPr>
        <w:t>技</w:t>
      </w:r>
      <w:r>
        <w:rPr>
          <w:rFonts w:ascii="宋体" w:hAnsi="宋体" w:eastAsia="宋体" w:cs="宋体"/>
          <w:spacing w:val="9"/>
          <w:sz w:val="24"/>
          <w:szCs w:val="24"/>
        </w:rPr>
        <w:t>术规格响应表、质量保证和售后服务承诺等。</w:t>
      </w:r>
    </w:p>
    <w:p>
      <w:pPr>
        <w:keepNext w:val="0"/>
        <w:keepLines w:val="0"/>
        <w:pageBreakBefore w:val="0"/>
        <w:widowControl w:val="0"/>
        <w:numPr>
          <w:ilvl w:val="0"/>
          <w:numId w:val="0"/>
        </w:numPr>
        <w:kinsoku/>
        <w:wordWrap w:val="0"/>
        <w:overflowPunct/>
        <w:topLinePunct/>
        <w:autoSpaceDE/>
        <w:autoSpaceDN/>
        <w:bidi w:val="0"/>
        <w:adjustRightInd w:val="0"/>
        <w:snapToGrid w:val="0"/>
        <w:spacing w:line="500" w:lineRule="exact"/>
        <w:ind w:left="539" w:leftChars="0"/>
        <w:textAlignment w:val="baseline"/>
        <w:rPr>
          <w:rFonts w:ascii="Arial"/>
          <w:sz w:val="24"/>
          <w:szCs w:val="24"/>
        </w:rPr>
      </w:pPr>
      <w:r>
        <w:rPr>
          <w:rFonts w:hint="eastAsia" w:ascii="宋体" w:hAnsi="宋体" w:eastAsia="宋体" w:cs="宋体"/>
          <w:spacing w:val="9"/>
          <w:sz w:val="24"/>
          <w:szCs w:val="24"/>
          <w:lang w:val="en-US" w:eastAsia="zh-CN"/>
        </w:rPr>
        <w:t>1）服务</w:t>
      </w:r>
      <w:r>
        <w:rPr>
          <w:rFonts w:ascii="宋体" w:hAnsi="宋体" w:eastAsia="宋体" w:cs="宋体"/>
          <w:spacing w:val="9"/>
          <w:sz w:val="24"/>
          <w:szCs w:val="24"/>
        </w:rPr>
        <w:t>范围和服务内容的详细说明</w:t>
      </w:r>
      <w:r>
        <w:rPr>
          <w:rFonts w:ascii="宋体" w:hAnsi="宋体" w:eastAsia="宋体" w:cs="宋体"/>
          <w:spacing w:val="7"/>
          <w:sz w:val="24"/>
          <w:szCs w:val="24"/>
        </w:rPr>
        <w:t>。</w:t>
      </w:r>
    </w:p>
    <w:p>
      <w:pPr>
        <w:keepNext w:val="0"/>
        <w:keepLines w:val="0"/>
        <w:pageBreakBefore w:val="0"/>
        <w:widowControl w:val="0"/>
        <w:kinsoku/>
        <w:wordWrap w:val="0"/>
        <w:overflowPunct/>
        <w:topLinePunct/>
        <w:autoSpaceDE/>
        <w:autoSpaceDN/>
        <w:bidi w:val="0"/>
        <w:adjustRightInd w:val="0"/>
        <w:snapToGrid w:val="0"/>
        <w:spacing w:line="500" w:lineRule="exact"/>
        <w:ind w:left="0" w:leftChars="0" w:firstLine="539" w:firstLineChars="0"/>
        <w:textAlignment w:val="baseline"/>
        <w:rPr>
          <w:rFonts w:ascii="宋体" w:hAnsi="宋体" w:eastAsia="宋体" w:cs="宋体"/>
          <w:sz w:val="24"/>
          <w:szCs w:val="24"/>
        </w:rPr>
      </w:pPr>
      <w:r>
        <w:rPr>
          <w:rFonts w:hint="eastAsia" w:ascii="宋体" w:hAnsi="宋体" w:eastAsia="宋体" w:cs="宋体"/>
          <w:spacing w:val="16"/>
          <w:sz w:val="24"/>
          <w:szCs w:val="24"/>
          <w:lang w:val="en-US" w:eastAsia="zh-CN"/>
        </w:rPr>
        <w:t>2</w:t>
      </w:r>
      <w:r>
        <w:rPr>
          <w:rFonts w:ascii="宋体" w:hAnsi="宋体" w:eastAsia="宋体" w:cs="宋体"/>
          <w:spacing w:val="16"/>
          <w:sz w:val="24"/>
          <w:szCs w:val="24"/>
        </w:rPr>
        <w:t>)</w:t>
      </w:r>
      <w:r>
        <w:rPr>
          <w:rFonts w:ascii="宋体" w:hAnsi="宋体" w:eastAsia="宋体" w:cs="宋体"/>
          <w:spacing w:val="8"/>
          <w:sz w:val="24"/>
          <w:szCs w:val="24"/>
        </w:rPr>
        <w:t xml:space="preserve"> 质量保证措施、培训方案、售后服务的内容及承诺。</w:t>
      </w:r>
    </w:p>
    <w:p>
      <w:pPr>
        <w:keepNext w:val="0"/>
        <w:keepLines w:val="0"/>
        <w:pageBreakBefore w:val="0"/>
        <w:widowControl w:val="0"/>
        <w:kinsoku/>
        <w:wordWrap w:val="0"/>
        <w:overflowPunct/>
        <w:topLinePunct/>
        <w:autoSpaceDE/>
        <w:autoSpaceDN/>
        <w:bidi w:val="0"/>
        <w:adjustRightInd w:val="0"/>
        <w:snapToGrid w:val="0"/>
        <w:spacing w:line="500" w:lineRule="exact"/>
        <w:ind w:left="0" w:leftChars="0" w:firstLine="539" w:firstLineChars="0"/>
        <w:textAlignment w:val="baseline"/>
        <w:rPr>
          <w:sz w:val="24"/>
          <w:szCs w:val="24"/>
        </w:rPr>
        <w:sectPr>
          <w:headerReference r:id="rId13" w:type="default"/>
          <w:footerReference r:id="rId14" w:type="default"/>
          <w:pgSz w:w="11905" w:h="16840"/>
          <w:pgMar w:top="1587" w:right="1474" w:bottom="1474" w:left="1474" w:header="850" w:footer="850" w:gutter="0"/>
          <w:pgNumType w:fmt="decimal"/>
          <w:cols w:space="0" w:num="1"/>
          <w:rtlGutter w:val="0"/>
          <w:docGrid w:linePitch="0" w:charSpace="0"/>
        </w:sectPr>
      </w:pPr>
    </w:p>
    <w:p>
      <w:pPr>
        <w:spacing w:before="75" w:line="227" w:lineRule="auto"/>
        <w:ind w:left="0" w:leftChars="0" w:firstLine="0" w:firstLineChars="0"/>
        <w:jc w:val="center"/>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技</w:t>
      </w:r>
      <w:r>
        <w:rPr>
          <w:rFonts w:ascii="宋体" w:hAnsi="宋体" w:eastAsia="宋体" w:cs="宋体"/>
          <w:spacing w:val="9"/>
          <w:sz w:val="23"/>
          <w:szCs w:val="23"/>
          <w14:textOutline w14:w="4358" w14:cap="sq" w14:cmpd="sng">
            <w14:solidFill>
              <w14:srgbClr w14:val="000000"/>
            </w14:solidFill>
            <w14:prstDash w14:val="solid"/>
            <w14:bevel/>
          </w14:textOutline>
        </w:rPr>
        <w:t>术规格</w:t>
      </w:r>
      <w:r>
        <w:rPr>
          <w:rFonts w:hint="eastAsia" w:ascii="宋体" w:hAnsi="宋体" w:eastAsia="宋体" w:cs="宋体"/>
          <w:spacing w:val="9"/>
          <w:sz w:val="23"/>
          <w:szCs w:val="23"/>
          <w:lang w:val="en-US" w:eastAsia="zh-CN"/>
          <w14:textOutline w14:w="4358" w14:cap="sq" w14:cmpd="sng">
            <w14:solidFill>
              <w14:srgbClr w14:val="000000"/>
            </w14:solidFill>
            <w14:prstDash w14:val="solid"/>
            <w14:bevel/>
          </w14:textOutline>
        </w:rPr>
        <w:t>偏离</w:t>
      </w:r>
      <w:r>
        <w:rPr>
          <w:rFonts w:ascii="宋体" w:hAnsi="宋体" w:eastAsia="宋体" w:cs="宋体"/>
          <w:spacing w:val="9"/>
          <w:sz w:val="23"/>
          <w:szCs w:val="23"/>
          <w14:textOutline w14:w="4358" w14:cap="sq" w14:cmpd="sng">
            <w14:solidFill>
              <w14:srgbClr w14:val="000000"/>
            </w14:solidFill>
            <w14:prstDash w14:val="solid"/>
            <w14:bevel/>
          </w14:textOutline>
        </w:rPr>
        <w:t>表</w:t>
      </w:r>
    </w:p>
    <w:p>
      <w:pPr>
        <w:spacing w:line="299" w:lineRule="auto"/>
        <w:rPr>
          <w:rFonts w:ascii="Arial"/>
          <w:sz w:val="21"/>
        </w:rPr>
      </w:pPr>
    </w:p>
    <w:p>
      <w:pPr>
        <w:spacing w:before="75" w:line="530" w:lineRule="auto"/>
        <w:ind w:left="654"/>
        <w:rPr>
          <w:rFonts w:ascii="宋体" w:hAnsi="宋体" w:eastAsia="宋体" w:cs="宋体"/>
          <w:sz w:val="23"/>
          <w:szCs w:val="23"/>
        </w:rPr>
      </w:pPr>
      <w:r>
        <w:rPr>
          <w:rFonts w:ascii="宋体" w:hAnsi="宋体" w:eastAsia="宋体" w:cs="宋体"/>
          <w:spacing w:val="6"/>
          <w:sz w:val="23"/>
          <w:szCs w:val="23"/>
        </w:rPr>
        <w:t>项</w:t>
      </w:r>
      <w:r>
        <w:rPr>
          <w:rFonts w:ascii="宋体" w:hAnsi="宋体" w:eastAsia="宋体" w:cs="宋体"/>
          <w:spacing w:val="5"/>
          <w:sz w:val="23"/>
          <w:szCs w:val="23"/>
        </w:rPr>
        <w:t>目名称：</w:t>
      </w:r>
      <w:r>
        <w:rPr>
          <w:rFonts w:ascii="宋体" w:hAnsi="宋体" w:eastAsia="宋体" w:cs="宋体"/>
          <w:sz w:val="23"/>
          <w:szCs w:val="23"/>
          <w:u w:val="single" w:color="auto"/>
        </w:rPr>
        <w:t xml:space="preserve">                                                </w:t>
      </w:r>
    </w:p>
    <w:p>
      <w:pPr>
        <w:spacing w:line="227" w:lineRule="auto"/>
        <w:ind w:left="651"/>
        <w:rPr>
          <w:rFonts w:ascii="宋体" w:hAnsi="宋体" w:eastAsia="宋体" w:cs="宋体"/>
          <w:sz w:val="23"/>
          <w:szCs w:val="23"/>
        </w:rPr>
      </w:pPr>
      <w:r>
        <w:rPr>
          <w:rFonts w:ascii="宋体" w:hAnsi="宋体" w:eastAsia="宋体" w:cs="宋体"/>
          <w:spacing w:val="6"/>
          <w:sz w:val="23"/>
          <w:szCs w:val="23"/>
        </w:rPr>
        <w:t>招标编号</w:t>
      </w:r>
      <w:r>
        <w:rPr>
          <w:rFonts w:ascii="宋体" w:hAnsi="宋体" w:eastAsia="宋体" w:cs="宋体"/>
          <w:spacing w:val="5"/>
          <w:sz w:val="23"/>
          <w:szCs w:val="23"/>
        </w:rPr>
        <w:t>：</w:t>
      </w:r>
      <w:r>
        <w:rPr>
          <w:rFonts w:ascii="宋体" w:hAnsi="宋体" w:eastAsia="宋体" w:cs="宋体"/>
          <w:sz w:val="23"/>
          <w:szCs w:val="23"/>
          <w:u w:val="single" w:color="auto"/>
        </w:rPr>
        <w:t xml:space="preserve">                                                 </w:t>
      </w:r>
    </w:p>
    <w:p>
      <w:pPr>
        <w:spacing w:line="300" w:lineRule="auto"/>
        <w:rPr>
          <w:rFonts w:ascii="Arial"/>
          <w:sz w:val="21"/>
        </w:rPr>
      </w:pPr>
    </w:p>
    <w:p>
      <w:pPr>
        <w:spacing w:before="74" w:line="228" w:lineRule="auto"/>
        <w:ind w:left="653"/>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5"/>
          <w:sz w:val="23"/>
          <w:szCs w:val="23"/>
        </w:rPr>
        <w:t>标包号：</w:t>
      </w:r>
      <w:r>
        <w:rPr>
          <w:rFonts w:ascii="宋体" w:hAnsi="宋体" w:eastAsia="宋体" w:cs="宋体"/>
          <w:sz w:val="23"/>
          <w:szCs w:val="23"/>
          <w:u w:val="single" w:color="auto"/>
        </w:rPr>
        <w:t xml:space="preserve">                                                 </w:t>
      </w:r>
    </w:p>
    <w:p>
      <w:pPr>
        <w:spacing w:line="180" w:lineRule="exact"/>
      </w:pPr>
    </w:p>
    <w:tbl>
      <w:tblPr>
        <w:tblStyle w:val="165"/>
        <w:tblW w:w="907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3066"/>
        <w:gridCol w:w="2882"/>
        <w:gridCol w:w="1406"/>
        <w:gridCol w:w="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7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ascii="宋体" w:hAnsi="宋体" w:eastAsia="宋体" w:cs="宋体"/>
                <w:sz w:val="20"/>
                <w:szCs w:val="20"/>
              </w:rPr>
            </w:pPr>
            <w:bookmarkStart w:id="244" w:name="_Toc25092"/>
            <w:r>
              <w:rPr>
                <w:rFonts w:ascii="宋体" w:hAnsi="宋体" w:eastAsia="宋体" w:cs="宋体"/>
                <w:spacing w:val="5"/>
                <w:sz w:val="20"/>
                <w:szCs w:val="20"/>
              </w:rPr>
              <w:t>序号</w:t>
            </w:r>
            <w:bookmarkEnd w:id="244"/>
          </w:p>
        </w:tc>
        <w:tc>
          <w:tcPr>
            <w:tcW w:w="306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ascii="宋体" w:hAnsi="宋体" w:eastAsia="宋体" w:cs="宋体"/>
                <w:sz w:val="20"/>
                <w:szCs w:val="20"/>
              </w:rPr>
            </w:pPr>
            <w:bookmarkStart w:id="245" w:name="_Toc16347"/>
            <w:r>
              <w:rPr>
                <w:rFonts w:ascii="宋体" w:hAnsi="宋体" w:eastAsia="宋体" w:cs="宋体"/>
                <w:spacing w:val="3"/>
                <w:sz w:val="20"/>
                <w:szCs w:val="20"/>
              </w:rPr>
              <w:t>☆1 招标文件技术要求</w:t>
            </w:r>
            <w:bookmarkEnd w:id="245"/>
          </w:p>
        </w:tc>
        <w:tc>
          <w:tcPr>
            <w:tcW w:w="2882"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ascii="宋体" w:hAnsi="宋体" w:eastAsia="宋体" w:cs="宋体"/>
                <w:sz w:val="20"/>
                <w:szCs w:val="20"/>
              </w:rPr>
            </w:pPr>
            <w:bookmarkStart w:id="246" w:name="_Toc30481"/>
            <w:r>
              <w:rPr>
                <w:rFonts w:ascii="宋体" w:hAnsi="宋体" w:eastAsia="宋体" w:cs="宋体"/>
                <w:spacing w:val="3"/>
                <w:sz w:val="20"/>
                <w:szCs w:val="20"/>
              </w:rPr>
              <w:t>☆2 投标实际参数</w:t>
            </w:r>
            <w:bookmarkEnd w:id="246"/>
          </w:p>
        </w:tc>
        <w:tc>
          <w:tcPr>
            <w:tcW w:w="14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宋体" w:hAnsi="宋体" w:eastAsia="宋体" w:cs="宋体"/>
                <w:spacing w:val="4"/>
                <w:sz w:val="20"/>
                <w:szCs w:val="20"/>
                <w:lang w:val="en-US" w:eastAsia="zh-CN"/>
              </w:rPr>
            </w:pPr>
            <w:bookmarkStart w:id="247" w:name="_Toc25643"/>
            <w:r>
              <w:rPr>
                <w:rFonts w:ascii="宋体" w:hAnsi="宋体" w:eastAsia="宋体" w:cs="宋体"/>
                <w:spacing w:val="4"/>
                <w:sz w:val="20"/>
                <w:szCs w:val="20"/>
              </w:rPr>
              <w:t>偏离</w:t>
            </w:r>
            <w:bookmarkEnd w:id="247"/>
            <w:r>
              <w:rPr>
                <w:rFonts w:hint="eastAsia" w:ascii="宋体" w:hAnsi="宋体" w:eastAsia="宋体" w:cs="宋体"/>
                <w:spacing w:val="4"/>
                <w:sz w:val="20"/>
                <w:szCs w:val="20"/>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hint="eastAsia" w:ascii="宋体" w:hAnsi="宋体" w:eastAsia="宋体" w:cs="宋体"/>
                <w:sz w:val="20"/>
                <w:szCs w:val="20"/>
                <w:lang w:eastAsia="zh-CN"/>
              </w:rPr>
            </w:pPr>
            <w:r>
              <w:rPr>
                <w:rFonts w:hint="eastAsia" w:ascii="宋体" w:hAnsi="宋体" w:eastAsia="宋体" w:cs="宋体"/>
                <w:spacing w:val="4"/>
                <w:sz w:val="20"/>
                <w:szCs w:val="20"/>
                <w:lang w:eastAsia="zh-CN"/>
              </w:rPr>
              <w:t>（</w:t>
            </w:r>
            <w:r>
              <w:rPr>
                <w:rFonts w:hint="eastAsia" w:ascii="宋体" w:hAnsi="宋体" w:eastAsia="宋体" w:cs="宋体"/>
                <w:spacing w:val="4"/>
                <w:sz w:val="20"/>
                <w:szCs w:val="20"/>
                <w:lang w:val="en-US" w:eastAsia="zh-CN"/>
              </w:rPr>
              <w:t>无偏离</w:t>
            </w:r>
            <w:r>
              <w:rPr>
                <w:rFonts w:hint="eastAsia" w:ascii="宋体" w:hAnsi="宋体" w:eastAsia="宋体" w:cs="宋体"/>
                <w:spacing w:val="4"/>
                <w:sz w:val="20"/>
                <w:szCs w:val="20"/>
                <w:lang w:eastAsia="zh-CN"/>
              </w:rPr>
              <w:t>）</w:t>
            </w:r>
          </w:p>
        </w:tc>
        <w:tc>
          <w:tcPr>
            <w:tcW w:w="994"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0"/>
              <w:rPr>
                <w:rFonts w:ascii="宋体" w:hAnsi="宋体" w:eastAsia="宋体" w:cs="宋体"/>
                <w:sz w:val="20"/>
                <w:szCs w:val="20"/>
              </w:rPr>
            </w:pPr>
            <w:bookmarkStart w:id="248" w:name="_Toc5597"/>
            <w:r>
              <w:rPr>
                <w:rFonts w:ascii="宋体" w:hAnsi="宋体" w:eastAsia="宋体" w:cs="宋体"/>
                <w:spacing w:val="4"/>
                <w:sz w:val="20"/>
                <w:szCs w:val="20"/>
              </w:rPr>
              <w:t>备</w:t>
            </w:r>
            <w:r>
              <w:rPr>
                <w:rFonts w:ascii="宋体" w:hAnsi="宋体" w:eastAsia="宋体" w:cs="宋体"/>
                <w:spacing w:val="3"/>
                <w:sz w:val="20"/>
                <w:szCs w:val="20"/>
              </w:rPr>
              <w:t>注</w:t>
            </w:r>
            <w:bookmarkEnd w:id="248"/>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728" w:type="dxa"/>
            <w:vAlign w:val="top"/>
          </w:tcPr>
          <w:p>
            <w:pPr>
              <w:spacing w:before="254" w:line="193" w:lineRule="auto"/>
              <w:ind w:left="369"/>
              <w:outlineLvl w:val="0"/>
              <w:rPr>
                <w:rFonts w:ascii="宋体" w:hAnsi="宋体" w:eastAsia="宋体" w:cs="宋体"/>
                <w:sz w:val="20"/>
                <w:szCs w:val="20"/>
              </w:rPr>
            </w:pPr>
            <w:bookmarkStart w:id="249" w:name="_Toc16950"/>
            <w:r>
              <w:rPr>
                <w:rFonts w:ascii="宋体" w:hAnsi="宋体" w:eastAsia="宋体" w:cs="宋体"/>
                <w:sz w:val="20"/>
                <w:szCs w:val="20"/>
              </w:rPr>
              <w:t>1</w:t>
            </w:r>
            <w:bookmarkEnd w:id="249"/>
          </w:p>
        </w:tc>
        <w:tc>
          <w:tcPr>
            <w:tcW w:w="3066" w:type="dxa"/>
            <w:vAlign w:val="top"/>
          </w:tcPr>
          <w:p>
            <w:pPr>
              <w:rPr>
                <w:rFonts w:ascii="Arial"/>
                <w:sz w:val="21"/>
              </w:rPr>
            </w:pPr>
          </w:p>
        </w:tc>
        <w:tc>
          <w:tcPr>
            <w:tcW w:w="2882" w:type="dxa"/>
            <w:vAlign w:val="top"/>
          </w:tcPr>
          <w:p>
            <w:pPr>
              <w:rPr>
                <w:rFonts w:ascii="Arial"/>
                <w:sz w:val="21"/>
              </w:rPr>
            </w:pPr>
          </w:p>
        </w:tc>
        <w:tc>
          <w:tcPr>
            <w:tcW w:w="1406" w:type="dxa"/>
            <w:vAlign w:val="top"/>
          </w:tcPr>
          <w:p>
            <w:pPr>
              <w:rPr>
                <w:rFonts w:ascii="Arial"/>
                <w:sz w:val="21"/>
              </w:rPr>
            </w:pPr>
          </w:p>
        </w:tc>
        <w:tc>
          <w:tcPr>
            <w:tcW w:w="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728" w:type="dxa"/>
            <w:vAlign w:val="top"/>
          </w:tcPr>
          <w:p>
            <w:pPr>
              <w:spacing w:before="255" w:line="192" w:lineRule="auto"/>
              <w:ind w:left="356"/>
              <w:outlineLvl w:val="0"/>
              <w:rPr>
                <w:rFonts w:ascii="宋体" w:hAnsi="宋体" w:eastAsia="宋体" w:cs="宋体"/>
                <w:sz w:val="20"/>
                <w:szCs w:val="20"/>
              </w:rPr>
            </w:pPr>
            <w:bookmarkStart w:id="250" w:name="_Toc13197"/>
            <w:r>
              <w:rPr>
                <w:rFonts w:ascii="宋体" w:hAnsi="宋体" w:eastAsia="宋体" w:cs="宋体"/>
                <w:sz w:val="20"/>
                <w:szCs w:val="20"/>
              </w:rPr>
              <w:t>2</w:t>
            </w:r>
            <w:bookmarkEnd w:id="250"/>
          </w:p>
        </w:tc>
        <w:tc>
          <w:tcPr>
            <w:tcW w:w="3066" w:type="dxa"/>
            <w:vAlign w:val="top"/>
          </w:tcPr>
          <w:p>
            <w:pPr>
              <w:rPr>
                <w:rFonts w:ascii="Arial"/>
                <w:sz w:val="21"/>
              </w:rPr>
            </w:pPr>
          </w:p>
        </w:tc>
        <w:tc>
          <w:tcPr>
            <w:tcW w:w="2882" w:type="dxa"/>
            <w:vAlign w:val="top"/>
          </w:tcPr>
          <w:p>
            <w:pPr>
              <w:rPr>
                <w:rFonts w:ascii="Arial"/>
                <w:sz w:val="21"/>
              </w:rPr>
            </w:pPr>
          </w:p>
        </w:tc>
        <w:tc>
          <w:tcPr>
            <w:tcW w:w="1406" w:type="dxa"/>
            <w:vAlign w:val="top"/>
          </w:tcPr>
          <w:p>
            <w:pPr>
              <w:rPr>
                <w:rFonts w:ascii="Arial"/>
                <w:sz w:val="21"/>
              </w:rPr>
            </w:pPr>
          </w:p>
        </w:tc>
        <w:tc>
          <w:tcPr>
            <w:tcW w:w="9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728" w:type="dxa"/>
            <w:vAlign w:val="top"/>
          </w:tcPr>
          <w:p>
            <w:pPr>
              <w:spacing w:before="257" w:line="190" w:lineRule="auto"/>
              <w:ind w:left="357"/>
              <w:outlineLvl w:val="0"/>
              <w:rPr>
                <w:rFonts w:ascii="宋体" w:hAnsi="宋体" w:eastAsia="宋体" w:cs="宋体"/>
                <w:sz w:val="20"/>
                <w:szCs w:val="20"/>
              </w:rPr>
            </w:pPr>
            <w:bookmarkStart w:id="251" w:name="_Toc3151"/>
            <w:r>
              <w:rPr>
                <w:rFonts w:ascii="宋体" w:hAnsi="宋体" w:eastAsia="宋体" w:cs="宋体"/>
                <w:sz w:val="20"/>
                <w:szCs w:val="20"/>
              </w:rPr>
              <w:t>3</w:t>
            </w:r>
            <w:bookmarkEnd w:id="251"/>
          </w:p>
        </w:tc>
        <w:tc>
          <w:tcPr>
            <w:tcW w:w="3066" w:type="dxa"/>
            <w:vAlign w:val="top"/>
          </w:tcPr>
          <w:p>
            <w:pPr>
              <w:rPr>
                <w:rFonts w:ascii="Arial"/>
                <w:sz w:val="21"/>
              </w:rPr>
            </w:pPr>
          </w:p>
        </w:tc>
        <w:tc>
          <w:tcPr>
            <w:tcW w:w="2882" w:type="dxa"/>
            <w:vAlign w:val="top"/>
          </w:tcPr>
          <w:p>
            <w:pPr>
              <w:rPr>
                <w:rFonts w:ascii="Arial"/>
                <w:sz w:val="21"/>
              </w:rPr>
            </w:pPr>
          </w:p>
        </w:tc>
        <w:tc>
          <w:tcPr>
            <w:tcW w:w="1406" w:type="dxa"/>
            <w:vAlign w:val="top"/>
          </w:tcPr>
          <w:p>
            <w:pPr>
              <w:rPr>
                <w:rFonts w:ascii="Arial"/>
                <w:sz w:val="21"/>
              </w:rPr>
            </w:pPr>
          </w:p>
        </w:tc>
        <w:tc>
          <w:tcPr>
            <w:tcW w:w="994" w:type="dxa"/>
            <w:vAlign w:val="top"/>
          </w:tcPr>
          <w:p>
            <w:pPr>
              <w:rPr>
                <w:rFonts w:ascii="Arial"/>
                <w:sz w:val="21"/>
              </w:rPr>
            </w:pPr>
          </w:p>
        </w:tc>
      </w:tr>
    </w:tbl>
    <w:p>
      <w:pPr>
        <w:spacing w:before="196" w:line="409" w:lineRule="auto"/>
        <w:ind w:left="-6" w:leftChars="0" w:right="580" w:firstLine="426" w:firstLineChars="0"/>
        <w:rPr>
          <w:rFonts w:ascii="宋体" w:hAnsi="宋体" w:eastAsia="宋体" w:cs="宋体"/>
          <w:sz w:val="23"/>
          <w:szCs w:val="23"/>
        </w:rPr>
      </w:pPr>
      <w:r>
        <w:rPr>
          <w:rFonts w:ascii="宋体" w:hAnsi="宋体" w:eastAsia="宋体" w:cs="宋体"/>
          <w:spacing w:val="14"/>
          <w:sz w:val="23"/>
          <w:szCs w:val="23"/>
        </w:rPr>
        <w:t>注</w:t>
      </w:r>
      <w:r>
        <w:rPr>
          <w:rFonts w:ascii="宋体" w:hAnsi="宋体" w:eastAsia="宋体" w:cs="宋体"/>
          <w:spacing w:val="11"/>
          <w:sz w:val="23"/>
          <w:szCs w:val="23"/>
        </w:rPr>
        <w:t>:</w:t>
      </w:r>
      <w:r>
        <w:rPr>
          <w:rFonts w:ascii="宋体" w:hAnsi="宋体" w:eastAsia="宋体" w:cs="宋体"/>
          <w:spacing w:val="7"/>
          <w:sz w:val="23"/>
          <w:szCs w:val="23"/>
        </w:rPr>
        <w:t>1.☆1指招标文件中的技术规格(参数)，投标人应按照招标文件中的内容逐条抄</w:t>
      </w:r>
      <w:r>
        <w:rPr>
          <w:rFonts w:ascii="宋体" w:hAnsi="宋体" w:eastAsia="宋体" w:cs="宋体"/>
          <w:spacing w:val="-3"/>
          <w:sz w:val="23"/>
          <w:szCs w:val="23"/>
        </w:rPr>
        <w:t>写。</w:t>
      </w:r>
    </w:p>
    <w:p>
      <w:pPr>
        <w:spacing w:before="140" w:line="227" w:lineRule="auto"/>
        <w:ind w:left="-6" w:leftChars="0" w:firstLine="426" w:firstLineChars="0"/>
        <w:rPr>
          <w:rFonts w:ascii="宋体" w:hAnsi="宋体" w:eastAsia="宋体" w:cs="宋体"/>
          <w:sz w:val="23"/>
          <w:szCs w:val="23"/>
        </w:rPr>
      </w:pPr>
      <w:r>
        <w:rPr>
          <w:rFonts w:ascii="宋体" w:hAnsi="宋体" w:eastAsia="宋体" w:cs="宋体"/>
          <w:spacing w:val="5"/>
          <w:sz w:val="23"/>
          <w:szCs w:val="23"/>
        </w:rPr>
        <w:t>2.☆2指投标人拟提供的投标货物/服务</w:t>
      </w:r>
      <w:r>
        <w:rPr>
          <w:rFonts w:ascii="宋体" w:hAnsi="宋体" w:eastAsia="宋体" w:cs="宋体"/>
          <w:spacing w:val="2"/>
          <w:sz w:val="23"/>
          <w:szCs w:val="23"/>
        </w:rPr>
        <w:t>。</w:t>
      </w: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76" w:line="530" w:lineRule="auto"/>
        <w:ind w:left="981" w:right="1720" w:hanging="40"/>
        <w:rPr>
          <w:rFonts w:ascii="宋体" w:hAnsi="宋体" w:eastAsia="宋体" w:cs="宋体"/>
          <w:sz w:val="23"/>
          <w:szCs w:val="23"/>
        </w:rPr>
      </w:pPr>
      <w:r>
        <w:rPr>
          <w:rFonts w:ascii="宋体" w:hAnsi="宋体" w:eastAsia="宋体" w:cs="宋体"/>
          <w:spacing w:val="2"/>
          <w:sz w:val="23"/>
          <w:szCs w:val="23"/>
        </w:rPr>
        <w:t>法定代表人或法定代表人授权代表 (签字</w:t>
      </w:r>
      <w:r>
        <w:rPr>
          <w:rFonts w:ascii="宋体" w:hAnsi="宋体" w:eastAsia="宋体" w:cs="宋体"/>
          <w:spacing w:val="1"/>
          <w:sz w:val="23"/>
          <w:szCs w:val="23"/>
        </w:rPr>
        <w:t>) ：</w:t>
      </w:r>
      <w:r>
        <w:rPr>
          <w:rFonts w:ascii="宋体" w:hAnsi="宋体" w:eastAsia="宋体" w:cs="宋体"/>
          <w:spacing w:val="1"/>
          <w:sz w:val="23"/>
          <w:szCs w:val="23"/>
          <w:u w:val="single" w:color="auto"/>
        </w:rPr>
        <w:t xml:space="preserve">                       </w:t>
      </w:r>
      <w:r>
        <w:rPr>
          <w:rFonts w:ascii="宋体" w:hAnsi="宋体" w:eastAsia="宋体" w:cs="宋体"/>
          <w:sz w:val="23"/>
          <w:szCs w:val="23"/>
        </w:rPr>
        <w:t xml:space="preserve"> </w:t>
      </w:r>
      <w:r>
        <w:rPr>
          <w:rFonts w:ascii="宋体" w:hAnsi="宋体" w:eastAsia="宋体" w:cs="宋体"/>
          <w:spacing w:val="-14"/>
          <w:sz w:val="23"/>
          <w:szCs w:val="23"/>
        </w:rPr>
        <w:t>日期</w:t>
      </w:r>
      <w:r>
        <w:rPr>
          <w:rFonts w:ascii="宋体" w:hAnsi="宋体" w:eastAsia="宋体" w:cs="宋体"/>
          <w:spacing w:val="-9"/>
          <w:sz w:val="23"/>
          <w:szCs w:val="23"/>
        </w:rPr>
        <w:t>：</w:t>
      </w:r>
      <w:r>
        <w:rPr>
          <w:rFonts w:ascii="宋体" w:hAnsi="宋体" w:eastAsia="宋体" w:cs="宋体"/>
          <w:spacing w:val="-7"/>
          <w:sz w:val="23"/>
          <w:szCs w:val="23"/>
          <w:u w:val="single" w:color="auto"/>
        </w:rPr>
        <w:t xml:space="preserve">  </w:t>
      </w:r>
      <w:r>
        <w:rPr>
          <w:rFonts w:hint="eastAsia" w:ascii="宋体" w:hAnsi="宋体" w:eastAsia="宋体" w:cs="宋体"/>
          <w:spacing w:val="-7"/>
          <w:sz w:val="23"/>
          <w:szCs w:val="23"/>
          <w:u w:val="single" w:color="auto"/>
          <w:lang w:val="en-US" w:eastAsia="zh-CN"/>
        </w:rPr>
        <w:t xml:space="preserve">   </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年</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 xml:space="preserve"> 月</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 xml:space="preserve"> 日</w:t>
      </w:r>
    </w:p>
    <w:p>
      <w:pPr>
        <w:sectPr>
          <w:headerReference r:id="rId15" w:type="default"/>
          <w:footerReference r:id="rId16" w:type="default"/>
          <w:pgSz w:w="11905" w:h="16840"/>
          <w:pgMar w:top="1587" w:right="1474" w:bottom="1474" w:left="1494" w:header="850" w:footer="850" w:gutter="0"/>
          <w:pgNumType w:fmt="decimal"/>
          <w:cols w:space="0" w:num="1"/>
          <w:rtlGutter w:val="0"/>
          <w:docGrid w:linePitch="0" w:charSpace="0"/>
        </w:sectPr>
      </w:pPr>
    </w:p>
    <w:p>
      <w:pPr>
        <w:jc w:val="center"/>
        <w:outlineLvl w:val="9"/>
        <w:rPr>
          <w:rFonts w:ascii="宋体" w:hAnsi="宋体" w:eastAsia="宋体" w:cs="宋体"/>
          <w:b/>
          <w:kern w:val="2"/>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w:t>
      </w:r>
      <w:bookmarkEnd w:id="242"/>
      <w:r>
        <w:rPr>
          <w:rFonts w:hint="eastAsia" w:ascii="宋体" w:hAnsi="宋体" w:eastAsia="宋体" w:cs="宋体"/>
          <w:b/>
          <w:kern w:val="2"/>
          <w:sz w:val="24"/>
          <w:szCs w:val="24"/>
        </w:rPr>
        <w:t>投标材料真实性保证承诺书</w:t>
      </w:r>
      <w:bookmarkEnd w:id="243"/>
    </w:p>
    <w:p>
      <w:pPr>
        <w:tabs>
          <w:tab w:val="left" w:pos="4657"/>
        </w:tabs>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u w:val="single"/>
          <w:lang w:val="en-US" w:eastAsia="zh-CN"/>
        </w:rPr>
        <w:t>采购</w:t>
      </w:r>
      <w:r>
        <w:rPr>
          <w:rFonts w:hint="eastAsia" w:ascii="宋体" w:hAnsi="宋体" w:eastAsia="宋体" w:cs="宋体"/>
          <w:kern w:val="2"/>
          <w:sz w:val="24"/>
          <w:szCs w:val="24"/>
          <w:u w:val="single"/>
        </w:rPr>
        <w:t>人名称):</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我单位采取“不见面”开标模式参加贵单位</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rPr>
        <w:t>(项目名称)</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rPr>
        <w:t>项目投标,不能到达开标现场提供各类企业和人员证书及相关资料原件备查,在此:</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1、我单位郑重承诺如我单位电子投标文件中提供的各类企业和人员证书及相关资料的扫描件与原件一致,真实有效；</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2、我单位愿意在中标公告中公示本单位投标文件中的企业和人员资质证书及相关资料,接受社会监督；</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3、贵单位对投标文件中的相关资料若有任何疑义,我单位可随时提供该资料原件供贵单位核实；</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4、若我单位提供不真实或无效的各类企业和人员证书及相关资料,我单位愿意无条件受本级人民政府政府采购办及其他部门依法依规给予的处罚,并承担相关损失。</w:t>
      </w: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法定代表人或授权代表人（签字）：</w:t>
      </w:r>
    </w:p>
    <w:p>
      <w:pPr>
        <w:pStyle w:val="8"/>
        <w:ind w:firstLine="480"/>
        <w:outlineLvl w:val="9"/>
        <w:rPr>
          <w:rFonts w:hAnsi="宋体" w:eastAsia="宋体" w:cs="宋体"/>
          <w:sz w:val="24"/>
          <w:szCs w:val="24"/>
          <w:lang w:eastAsia="zh-CN"/>
        </w:rPr>
      </w:pPr>
    </w:p>
    <w:p>
      <w:pPr>
        <w:outlineLvl w:val="9"/>
        <w:rPr>
          <w:rFonts w:ascii="宋体" w:hAnsi="宋体" w:eastAsia="宋体" w:cs="宋体"/>
          <w:sz w:val="24"/>
          <w:szCs w:val="24"/>
        </w:rPr>
      </w:pPr>
    </w:p>
    <w:p>
      <w:pPr>
        <w:outlineLvl w:val="9"/>
        <w:rPr>
          <w:rFonts w:ascii="宋体" w:hAnsi="宋体" w:eastAsia="宋体" w:cs="宋体"/>
          <w:b/>
          <w:bCs/>
          <w:sz w:val="24"/>
          <w:szCs w:val="24"/>
        </w:rPr>
        <w:sectPr>
          <w:footerReference r:id="rId17" w:type="default"/>
          <w:pgSz w:w="11906" w:h="16838"/>
          <w:pgMar w:top="1440" w:right="1080" w:bottom="1440" w:left="1080" w:header="851" w:footer="992" w:gutter="0"/>
          <w:pgNumType w:fmt="decimal"/>
          <w:cols w:space="720" w:num="1"/>
          <w:docGrid w:linePitch="312" w:charSpace="0"/>
        </w:sectPr>
      </w:pPr>
      <w:bookmarkStart w:id="252" w:name="_Toc29597"/>
    </w:p>
    <w:p>
      <w:pPr>
        <w:jc w:val="center"/>
        <w:outlineLvl w:val="9"/>
        <w:rPr>
          <w:rFonts w:hint="eastAsia" w:ascii="宋体" w:hAnsi="宋体" w:eastAsia="宋体" w:cs="宋体"/>
          <w:b/>
          <w:bCs/>
          <w:kern w:val="2"/>
          <w:sz w:val="24"/>
          <w:szCs w:val="24"/>
        </w:rPr>
      </w:pPr>
      <w:bookmarkStart w:id="253" w:name="_Toc17857"/>
      <w:bookmarkStart w:id="254" w:name="_Toc10122"/>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w:t>
      </w:r>
      <w:bookmarkEnd w:id="252"/>
      <w:bookmarkEnd w:id="253"/>
      <w:r>
        <w:rPr>
          <w:rFonts w:hint="eastAsia" w:ascii="宋体" w:hAnsi="宋体" w:eastAsia="宋体" w:cs="宋体"/>
          <w:b/>
          <w:bCs/>
          <w:kern w:val="2"/>
          <w:sz w:val="24"/>
          <w:szCs w:val="24"/>
        </w:rPr>
        <w:t>投标人资质证明文件及认为有必要的其他相关证明材料</w:t>
      </w:r>
      <w:bookmarkEnd w:id="254"/>
    </w:p>
    <w:p>
      <w:pPr>
        <w:jc w:val="center"/>
        <w:outlineLvl w:val="9"/>
        <w:rPr>
          <w:rFonts w:hint="eastAsia" w:ascii="宋体" w:hAnsi="宋体" w:eastAsia="宋体" w:cs="宋体"/>
          <w:b/>
          <w:bCs/>
          <w:kern w:val="2"/>
          <w:sz w:val="24"/>
          <w:szCs w:val="24"/>
        </w:rPr>
      </w:pPr>
    </w:p>
    <w:p>
      <w:pPr>
        <w:jc w:val="center"/>
        <w:outlineLvl w:val="9"/>
        <w:rPr>
          <w:rFonts w:hint="eastAsia" w:ascii="宋体" w:hAnsi="宋体" w:eastAsia="宋体" w:cs="宋体"/>
          <w:b/>
          <w:bCs/>
          <w:kern w:val="2"/>
          <w:sz w:val="24"/>
          <w:szCs w:val="24"/>
        </w:rPr>
      </w:pPr>
    </w:p>
    <w:p>
      <w:pPr>
        <w:jc w:val="center"/>
        <w:outlineLvl w:val="9"/>
        <w:rPr>
          <w:rFonts w:ascii="宋体" w:hAnsi="宋体" w:eastAsia="宋体" w:cs="宋体"/>
          <w:kern w:val="2"/>
          <w:sz w:val="24"/>
          <w:szCs w:val="24"/>
        </w:rPr>
      </w:pPr>
      <w:r>
        <w:rPr>
          <w:rFonts w:hint="eastAsia" w:ascii="宋体" w:hAnsi="宋体" w:eastAsia="宋体" w:cs="宋体"/>
          <w:b/>
          <w:kern w:val="2"/>
          <w:sz w:val="24"/>
          <w:szCs w:val="24"/>
          <w:lang w:val="en-US" w:eastAsia="zh-CN"/>
        </w:rPr>
        <w:t>格式自拟</w:t>
      </w: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outlineLvl w:val="9"/>
        <w:rPr>
          <w:rFonts w:hint="default" w:ascii="宋体" w:hAnsi="宋体" w:eastAsia="宋体" w:cs="宋体"/>
          <w:b/>
          <w:kern w:val="2"/>
          <w:sz w:val="24"/>
          <w:szCs w:val="24"/>
          <w:lang w:val="en-US" w:eastAsia="zh-CN"/>
        </w:rPr>
      </w:pPr>
      <w:r>
        <w:rPr>
          <w:rFonts w:hint="eastAsia" w:ascii="宋体" w:hAnsi="宋体" w:eastAsia="宋体" w:cs="宋体"/>
          <w:b/>
          <w:kern w:val="2"/>
          <w:sz w:val="24"/>
          <w:szCs w:val="24"/>
        </w:rPr>
        <w:br w:type="page"/>
      </w:r>
    </w:p>
    <w:p>
      <w:pPr>
        <w:jc w:val="center"/>
        <w:outlineLvl w:val="9"/>
        <w:rPr>
          <w:rFonts w:ascii="宋体" w:hAnsi="宋体" w:eastAsia="宋体" w:cs="宋体"/>
          <w:b/>
          <w:kern w:val="2"/>
          <w:sz w:val="24"/>
          <w:szCs w:val="24"/>
        </w:rPr>
      </w:pPr>
      <w:bookmarkStart w:id="255" w:name="_Toc13243"/>
      <w:bookmarkStart w:id="256" w:name="_Toc16286"/>
      <w:bookmarkStart w:id="257" w:name="_Toc711"/>
      <w:bookmarkStart w:id="258" w:name="_Toc31634"/>
      <w:bookmarkStart w:id="259" w:name="_Toc3354"/>
      <w:bookmarkStart w:id="260" w:name="_Toc8674"/>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w:t>
      </w:r>
      <w:bookmarkEnd w:id="255"/>
      <w:bookmarkEnd w:id="256"/>
      <w:bookmarkEnd w:id="257"/>
      <w:bookmarkEnd w:id="258"/>
      <w:bookmarkEnd w:id="259"/>
      <w:r>
        <w:rPr>
          <w:rFonts w:hint="eastAsia" w:ascii="宋体" w:hAnsi="宋体" w:eastAsia="宋体" w:cs="宋体"/>
          <w:b/>
          <w:kern w:val="2"/>
          <w:sz w:val="24"/>
          <w:szCs w:val="24"/>
        </w:rPr>
        <w:t>商务偏离表</w:t>
      </w:r>
      <w:bookmarkEnd w:id="260"/>
    </w:p>
    <w:p>
      <w:pPr>
        <w:adjustRightInd/>
        <w:snapToGrid/>
        <w:spacing w:after="0" w:line="360" w:lineRule="auto"/>
        <w:jc w:val="center"/>
        <w:textAlignment w:val="baseline"/>
        <w:outlineLvl w:val="9"/>
        <w:rPr>
          <w:rFonts w:ascii="宋体" w:hAnsi="宋体" w:eastAsia="宋体" w:cs="宋体"/>
          <w:b/>
          <w:kern w:val="2"/>
          <w:sz w:val="24"/>
          <w:szCs w:val="24"/>
        </w:rPr>
      </w:pPr>
    </w:p>
    <w:tbl>
      <w:tblPr>
        <w:tblStyle w:val="28"/>
        <w:tblW w:w="87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2730"/>
        <w:gridCol w:w="2726"/>
        <w:gridCol w:w="1481"/>
        <w:gridCol w:w="1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序号</w:t>
            </w: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招标文件的商务条款</w:t>
            </w: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投标文件的商务条款</w:t>
            </w: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偏离情况</w:t>
            </w: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742"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3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2726"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481" w:type="dxa"/>
            <w:tcBorders>
              <w:top w:val="single" w:color="000000" w:sz="6" w:space="0"/>
              <w:left w:val="single" w:color="000000" w:sz="6" w:space="0"/>
              <w:bottom w:val="single" w:color="000000" w:sz="6" w:space="0"/>
              <w:right w:val="single" w:color="000000" w:sz="4"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c>
          <w:tcPr>
            <w:tcW w:w="1046" w:type="dxa"/>
            <w:tcBorders>
              <w:top w:val="single" w:color="000000" w:sz="6" w:space="0"/>
              <w:left w:val="single" w:color="000000" w:sz="4" w:space="0"/>
              <w:bottom w:val="single" w:color="000000" w:sz="6" w:space="0"/>
              <w:right w:val="single" w:color="000000" w:sz="6" w:space="0"/>
            </w:tcBorders>
            <w:vAlign w:val="center"/>
          </w:tcPr>
          <w:p>
            <w:pPr>
              <w:adjustRightInd/>
              <w:snapToGrid/>
              <w:spacing w:after="0" w:line="360" w:lineRule="auto"/>
              <w:jc w:val="center"/>
              <w:textAlignment w:val="baseline"/>
              <w:outlineLvl w:val="9"/>
              <w:rPr>
                <w:rFonts w:ascii="宋体" w:hAnsi="宋体" w:eastAsia="宋体" w:cs="宋体"/>
                <w:bCs/>
                <w:kern w:val="2"/>
                <w:sz w:val="24"/>
                <w:szCs w:val="24"/>
              </w:rPr>
            </w:pPr>
          </w:p>
        </w:tc>
      </w:tr>
    </w:tbl>
    <w:p>
      <w:pPr>
        <w:adjustRightInd/>
        <w:snapToGrid/>
        <w:spacing w:after="0" w:line="360" w:lineRule="auto"/>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注：除本商务偏离表中所列的偏离内容外，其他所有商务条款均应完全响应“招标文件”中的要求。</w:t>
      </w: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ind w:firstLine="3360" w:firstLineChars="14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w:t>
      </w:r>
      <w:r>
        <w:rPr>
          <w:rFonts w:hint="eastAsia" w:ascii="宋体" w:hAnsi="宋体" w:eastAsia="宋体" w:cs="宋体"/>
          <w:kern w:val="2"/>
          <w:sz w:val="24"/>
          <w:szCs w:val="24"/>
        </w:rPr>
        <w:t>公章</w:t>
      </w:r>
      <w:r>
        <w:rPr>
          <w:rFonts w:hint="eastAsia" w:ascii="宋体" w:hAnsi="宋体" w:eastAsia="宋体" w:cs="宋体"/>
          <w:bCs/>
          <w:kern w:val="2"/>
          <w:sz w:val="24"/>
          <w:szCs w:val="24"/>
        </w:rPr>
        <w:t>）：</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3360" w:firstLineChars="14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u w:val="single"/>
        </w:rPr>
      </w:pPr>
    </w:p>
    <w:p>
      <w:pPr>
        <w:adjustRightInd/>
        <w:spacing w:after="0" w:line="360" w:lineRule="auto"/>
        <w:ind w:firstLine="3360" w:firstLineChars="14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    期：  年    月    日</w:t>
      </w:r>
    </w:p>
    <w:p>
      <w:pPr>
        <w:adjustRightInd/>
        <w:spacing w:after="0" w:line="360" w:lineRule="auto"/>
        <w:ind w:firstLine="5880" w:firstLineChars="2450"/>
        <w:jc w:val="both"/>
        <w:textAlignment w:val="baseline"/>
        <w:outlineLvl w:val="9"/>
        <w:rPr>
          <w:rFonts w:ascii="宋体" w:hAnsi="宋体" w:eastAsia="宋体" w:cs="宋体"/>
          <w:bCs/>
          <w:kern w:val="2"/>
          <w:sz w:val="24"/>
          <w:szCs w:val="24"/>
          <w:u w:val="single"/>
        </w:rPr>
      </w:pPr>
    </w:p>
    <w:p>
      <w:pPr>
        <w:adjustRightInd/>
        <w:spacing w:after="0" w:line="360" w:lineRule="auto"/>
        <w:ind w:firstLine="5880" w:firstLineChars="2450"/>
        <w:jc w:val="both"/>
        <w:textAlignment w:val="baseline"/>
        <w:outlineLvl w:val="9"/>
        <w:rPr>
          <w:rFonts w:ascii="宋体" w:hAnsi="宋体" w:eastAsia="宋体" w:cs="宋体"/>
          <w:bCs/>
          <w:kern w:val="2"/>
          <w:sz w:val="24"/>
          <w:szCs w:val="24"/>
          <w:u w:val="single"/>
        </w:rPr>
      </w:pPr>
    </w:p>
    <w:p>
      <w:pPr>
        <w:adjustRightInd/>
        <w:spacing w:after="0" w:line="360" w:lineRule="auto"/>
        <w:ind w:firstLine="5880" w:firstLineChars="2450"/>
        <w:jc w:val="both"/>
        <w:textAlignment w:val="baseline"/>
        <w:outlineLvl w:val="9"/>
        <w:rPr>
          <w:rFonts w:ascii="宋体" w:hAnsi="宋体" w:eastAsia="宋体" w:cs="宋体"/>
          <w:bCs/>
          <w:kern w:val="2"/>
          <w:sz w:val="24"/>
          <w:szCs w:val="24"/>
          <w:u w:val="single"/>
        </w:rPr>
      </w:pPr>
    </w:p>
    <w:p>
      <w:pPr>
        <w:outlineLvl w:val="9"/>
        <w:rPr>
          <w:rFonts w:ascii="宋体" w:hAnsi="宋体" w:eastAsia="宋体" w:cs="宋体"/>
          <w:sz w:val="24"/>
          <w:szCs w:val="24"/>
        </w:rPr>
      </w:pPr>
      <w:bookmarkStart w:id="261" w:name="_Toc26911"/>
      <w:bookmarkStart w:id="262" w:name="_Toc26546"/>
      <w:bookmarkStart w:id="263" w:name="_Toc1038"/>
      <w:bookmarkStart w:id="264" w:name="_Toc15315"/>
    </w:p>
    <w:p>
      <w:pPr>
        <w:outlineLvl w:val="9"/>
        <w:rPr>
          <w:rFonts w:ascii="宋体" w:hAnsi="宋体" w:eastAsia="宋体" w:cs="宋体"/>
          <w:b/>
          <w:bCs/>
          <w:sz w:val="24"/>
          <w:szCs w:val="24"/>
        </w:rPr>
        <w:sectPr>
          <w:pgSz w:w="11906" w:h="16838"/>
          <w:pgMar w:top="1440" w:right="1080" w:bottom="1440" w:left="1080" w:header="851" w:footer="992" w:gutter="0"/>
          <w:pgNumType w:fmt="decimal"/>
          <w:cols w:space="720" w:num="1"/>
          <w:docGrid w:linePitch="312" w:charSpace="0"/>
        </w:sectPr>
      </w:pPr>
    </w:p>
    <w:bookmarkEnd w:id="261"/>
    <w:bookmarkEnd w:id="262"/>
    <w:bookmarkEnd w:id="263"/>
    <w:bookmarkEnd w:id="264"/>
    <w:p>
      <w:pPr>
        <w:jc w:val="center"/>
        <w:outlineLvl w:val="9"/>
        <w:rPr>
          <w:rFonts w:ascii="宋体" w:hAnsi="宋体" w:eastAsia="宋体" w:cs="宋体"/>
          <w:b/>
          <w:kern w:val="2"/>
          <w:sz w:val="24"/>
          <w:szCs w:val="24"/>
        </w:rPr>
      </w:pPr>
      <w:bookmarkStart w:id="265" w:name="_Toc26075"/>
      <w:bookmarkStart w:id="266" w:name="_Toc10763"/>
      <w:bookmarkStart w:id="267" w:name="_Toc28422"/>
      <w:bookmarkStart w:id="268" w:name="_Toc29639"/>
      <w:bookmarkStart w:id="269" w:name="_Toc11673"/>
      <w:bookmarkStart w:id="270" w:name="_Toc15510"/>
      <w:r>
        <w:rPr>
          <w:rFonts w:hint="eastAsia" w:ascii="宋体" w:hAnsi="宋体" w:eastAsia="宋体" w:cs="宋体"/>
          <w:b/>
          <w:bCs/>
          <w:sz w:val="24"/>
          <w:szCs w:val="24"/>
        </w:rPr>
        <w:t>附件10：</w:t>
      </w:r>
      <w:bookmarkEnd w:id="265"/>
      <w:bookmarkEnd w:id="266"/>
      <w:bookmarkEnd w:id="267"/>
      <w:bookmarkEnd w:id="268"/>
      <w:bookmarkEnd w:id="269"/>
      <w:r>
        <w:rPr>
          <w:rFonts w:hint="eastAsia" w:ascii="宋体" w:hAnsi="宋体" w:eastAsia="宋体" w:cs="宋体"/>
          <w:b/>
          <w:kern w:val="2"/>
          <w:sz w:val="24"/>
          <w:szCs w:val="24"/>
        </w:rPr>
        <w:t>优惠条件承诺书</w:t>
      </w:r>
      <w:bookmarkEnd w:id="270"/>
    </w:p>
    <w:p>
      <w:pPr>
        <w:adjustRightInd/>
        <w:snapToGrid/>
        <w:spacing w:after="0"/>
        <w:jc w:val="center"/>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hint="eastAsia" w:ascii="宋体" w:hAnsi="宋体" w:eastAsia="宋体" w:cs="宋体"/>
          <w:kern w:val="2"/>
          <w:sz w:val="24"/>
          <w:szCs w:val="24"/>
          <w:u w:val="single"/>
          <w:lang w:eastAsia="zh-CN"/>
        </w:rPr>
      </w:pPr>
      <w:r>
        <w:rPr>
          <w:rFonts w:hint="eastAsia" w:ascii="宋体" w:hAnsi="宋体" w:eastAsia="宋体" w:cs="宋体"/>
          <w:kern w:val="2"/>
          <w:sz w:val="24"/>
          <w:szCs w:val="24"/>
        </w:rPr>
        <w:t>致：</w:t>
      </w:r>
      <w:r>
        <w:rPr>
          <w:rFonts w:hint="eastAsia" w:ascii="宋体" w:hAnsi="宋体" w:eastAsia="宋体" w:cs="宋体"/>
          <w:kern w:val="2"/>
          <w:sz w:val="24"/>
          <w:szCs w:val="24"/>
          <w:u w:val="single"/>
          <w:lang w:eastAsia="zh-CN"/>
        </w:rPr>
        <w:t>陇南市武都区核桃产业开发中心</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经仔细阅读你们的招标文件，对所投标项目向贵单位特作如下优惠条件承诺：</w:t>
      </w:r>
    </w:p>
    <w:p>
      <w:pPr>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（1）．．．．．．</w:t>
      </w:r>
    </w:p>
    <w:p>
      <w:pPr>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w:t>
      </w:r>
    </w:p>
    <w:p>
      <w:pPr>
        <w:adjustRightInd/>
        <w:snapToGrid/>
        <w:spacing w:after="0" w:line="360" w:lineRule="auto"/>
        <w:ind w:firstLine="360" w:firstLineChars="15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（3）．．．．．．</w:t>
      </w:r>
    </w:p>
    <w:p>
      <w:pPr>
        <w:adjustRightInd/>
        <w:snapToGrid/>
        <w:spacing w:after="0" w:line="360" w:lineRule="auto"/>
        <w:ind w:firstLine="480" w:firstLineChars="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w:t>
      </w:r>
    </w:p>
    <w:p>
      <w:pPr>
        <w:adjustRightInd/>
        <w:snapToGrid/>
        <w:spacing w:after="0" w:line="360" w:lineRule="auto"/>
        <w:ind w:firstLine="5280" w:firstLineChars="2200"/>
        <w:jc w:val="both"/>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特此承诺！</w:t>
      </w: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jc w:val="both"/>
        <w:textAlignment w:val="baseline"/>
        <w:outlineLvl w:val="9"/>
        <w:rPr>
          <w:rFonts w:ascii="宋体" w:hAnsi="宋体" w:eastAsia="宋体" w:cs="宋体"/>
          <w:kern w:val="2"/>
          <w:sz w:val="24"/>
          <w:szCs w:val="24"/>
        </w:rPr>
      </w:pP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w:t>
      </w:r>
      <w:r>
        <w:rPr>
          <w:rFonts w:hint="eastAsia" w:ascii="宋体" w:hAnsi="宋体" w:eastAsia="宋体" w:cs="宋体"/>
          <w:kern w:val="2"/>
          <w:sz w:val="24"/>
          <w:szCs w:val="24"/>
        </w:rPr>
        <w:t>公章</w:t>
      </w:r>
      <w:r>
        <w:rPr>
          <w:rFonts w:hint="eastAsia" w:ascii="宋体" w:hAnsi="宋体" w:eastAsia="宋体" w:cs="宋体"/>
          <w:bCs/>
          <w:kern w:val="2"/>
          <w:sz w:val="24"/>
          <w:szCs w:val="24"/>
        </w:rPr>
        <w:t>）：</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u w:val="single"/>
        </w:rPr>
      </w:pPr>
    </w:p>
    <w:p>
      <w:pPr>
        <w:adjustRightInd/>
        <w:spacing w:after="0" w:line="360" w:lineRule="auto"/>
        <w:ind w:firstLine="3840" w:firstLineChars="16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pStyle w:val="8"/>
        <w:ind w:firstLine="482"/>
        <w:outlineLvl w:val="9"/>
        <w:rPr>
          <w:rFonts w:hAnsi="宋体" w:eastAsia="宋体" w:cs="宋体"/>
          <w:kern w:val="2"/>
          <w:sz w:val="24"/>
          <w:szCs w:val="24"/>
          <w:lang w:eastAsia="zh-CN"/>
        </w:rPr>
      </w:pPr>
      <w:r>
        <w:rPr>
          <w:rFonts w:hint="eastAsia" w:hAnsi="宋体" w:eastAsia="宋体" w:cs="宋体"/>
          <w:b/>
          <w:kern w:val="2"/>
          <w:sz w:val="24"/>
          <w:szCs w:val="24"/>
          <w:lang w:eastAsia="zh-CN"/>
        </w:rPr>
        <w:br w:type="page"/>
      </w:r>
    </w:p>
    <w:p>
      <w:pPr>
        <w:jc w:val="center"/>
        <w:outlineLvl w:val="9"/>
        <w:rPr>
          <w:rFonts w:ascii="宋体" w:hAnsi="宋体" w:eastAsia="宋体" w:cs="宋体"/>
          <w:b/>
          <w:bCs/>
          <w:kern w:val="2"/>
          <w:sz w:val="24"/>
          <w:szCs w:val="24"/>
        </w:rPr>
      </w:pPr>
      <w:bookmarkStart w:id="271" w:name="_Toc20935"/>
      <w:bookmarkStart w:id="272" w:name="_Toc18946"/>
      <w:bookmarkStart w:id="273" w:name="_Toc3905"/>
      <w:bookmarkStart w:id="274" w:name="_Toc10724"/>
      <w:bookmarkStart w:id="275" w:name="_Toc29492"/>
      <w:bookmarkStart w:id="276" w:name="_Toc6928"/>
      <w:r>
        <w:rPr>
          <w:rFonts w:hint="eastAsia" w:ascii="宋体" w:hAnsi="宋体" w:eastAsia="宋体" w:cs="宋体"/>
          <w:b/>
          <w:bCs/>
          <w:sz w:val="24"/>
          <w:szCs w:val="24"/>
        </w:rPr>
        <w:t>附件11：</w:t>
      </w:r>
      <w:bookmarkEnd w:id="271"/>
      <w:bookmarkEnd w:id="272"/>
      <w:bookmarkEnd w:id="273"/>
      <w:bookmarkEnd w:id="274"/>
      <w:bookmarkEnd w:id="275"/>
      <w:r>
        <w:rPr>
          <w:rFonts w:hint="eastAsia" w:ascii="宋体" w:hAnsi="宋体" w:eastAsia="宋体" w:cs="宋体"/>
          <w:b/>
          <w:bCs/>
          <w:kern w:val="2"/>
          <w:sz w:val="24"/>
          <w:szCs w:val="24"/>
        </w:rPr>
        <w:t>无重大违法记录声明</w:t>
      </w:r>
      <w:bookmarkEnd w:id="276"/>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both"/>
        <w:textAlignment w:val="baseline"/>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rPr>
        <w:t>致：</w:t>
      </w:r>
      <w:r>
        <w:rPr>
          <w:rFonts w:hint="eastAsia" w:ascii="宋体" w:hAnsi="宋体" w:eastAsia="宋体" w:cs="宋体"/>
          <w:kern w:val="2"/>
          <w:sz w:val="24"/>
          <w:szCs w:val="24"/>
          <w:lang w:eastAsia="zh-CN"/>
        </w:rPr>
        <w:t>陇南市武都区核桃产业开发中心</w:t>
      </w:r>
    </w:p>
    <w:p>
      <w:pPr>
        <w:adjustRightInd/>
        <w:snapToGrid/>
        <w:spacing w:after="0" w:line="360" w:lineRule="auto"/>
        <w:ind w:firstLine="48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我单位参加政府采购活动前三年内，在经营活动中没有重大违法记录。</w:t>
      </w:r>
    </w:p>
    <w:p>
      <w:pPr>
        <w:adjustRightInd/>
        <w:snapToGrid/>
        <w:spacing w:after="0" w:line="360" w:lineRule="auto"/>
        <w:ind w:firstLine="48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若采购单位在本项目采购过程中发现我单位近三年内在经营活动中有重大违法记录，我单位将无条件地退出本项目的招标，并承担因此引起的一切后果。</w:t>
      </w:r>
    </w:p>
    <w:p>
      <w:pPr>
        <w:adjustRightInd/>
        <w:snapToGrid/>
        <w:spacing w:after="0" w:line="360" w:lineRule="auto"/>
        <w:ind w:firstLine="480"/>
        <w:jc w:val="both"/>
        <w:textAlignment w:val="baseline"/>
        <w:outlineLvl w:val="9"/>
        <w:rPr>
          <w:rFonts w:ascii="宋体" w:hAnsi="宋体" w:eastAsia="宋体" w:cs="宋体"/>
          <w:bCs/>
          <w:kern w:val="2"/>
          <w:sz w:val="24"/>
          <w:szCs w:val="24"/>
        </w:rPr>
      </w:pPr>
    </w:p>
    <w:p>
      <w:pPr>
        <w:adjustRightInd/>
        <w:snapToGrid/>
        <w:spacing w:after="0" w:line="360" w:lineRule="auto"/>
        <w:ind w:firstLine="480"/>
        <w:jc w:val="both"/>
        <w:textAlignment w:val="baseline"/>
        <w:outlineLvl w:val="9"/>
        <w:rPr>
          <w:rFonts w:ascii="宋体" w:hAnsi="宋体" w:eastAsia="宋体" w:cs="宋体"/>
          <w:bCs/>
          <w:kern w:val="2"/>
          <w:sz w:val="24"/>
          <w:szCs w:val="24"/>
        </w:rPr>
      </w:pPr>
    </w:p>
    <w:p>
      <w:pPr>
        <w:adjustRightInd/>
        <w:snapToGrid/>
        <w:spacing w:after="0" w:line="360" w:lineRule="auto"/>
        <w:ind w:firstLine="48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特此声明!</w:t>
      </w:r>
    </w:p>
    <w:p>
      <w:pPr>
        <w:adjustRightInd/>
        <w:snapToGrid/>
        <w:spacing w:after="0" w:line="360" w:lineRule="auto"/>
        <w:ind w:firstLine="480"/>
        <w:jc w:val="both"/>
        <w:textAlignment w:val="baseline"/>
        <w:outlineLvl w:val="9"/>
        <w:rPr>
          <w:rFonts w:ascii="宋体" w:hAnsi="宋体" w:eastAsia="宋体" w:cs="宋体"/>
          <w:bCs/>
          <w:kern w:val="2"/>
          <w:sz w:val="24"/>
          <w:szCs w:val="24"/>
        </w:rPr>
      </w:pP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pacing w:after="0" w:line="360" w:lineRule="auto"/>
        <w:ind w:firstLine="3840" w:firstLineChars="16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adjustRightInd/>
        <w:snapToGrid/>
        <w:spacing w:after="0"/>
        <w:jc w:val="both"/>
        <w:textAlignment w:val="baseline"/>
        <w:outlineLvl w:val="9"/>
        <w:rPr>
          <w:rFonts w:ascii="宋体" w:hAnsi="宋体" w:eastAsia="宋体" w:cs="宋体"/>
          <w:b/>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outlineLvl w:val="9"/>
        <w:rPr>
          <w:rFonts w:ascii="宋体" w:hAnsi="宋体" w:eastAsia="宋体" w:cs="宋体"/>
          <w:b/>
          <w:bCs/>
          <w:sz w:val="24"/>
          <w:szCs w:val="24"/>
        </w:rPr>
        <w:sectPr>
          <w:headerReference r:id="rId18" w:type="first"/>
          <w:pgSz w:w="11907" w:h="16840"/>
          <w:pgMar w:top="1213" w:right="1514" w:bottom="1247" w:left="1888" w:header="851" w:footer="737" w:gutter="0"/>
          <w:pgNumType w:fmt="decimal"/>
          <w:cols w:space="720" w:num="1"/>
          <w:titlePg/>
          <w:docGrid w:linePitch="312" w:charSpace="0"/>
        </w:sectPr>
      </w:pPr>
      <w:bookmarkStart w:id="277" w:name="_Toc7967"/>
      <w:bookmarkStart w:id="278" w:name="_Toc31242"/>
      <w:bookmarkStart w:id="279" w:name="_Toc25133"/>
      <w:bookmarkStart w:id="280" w:name="_Toc24603"/>
    </w:p>
    <w:p>
      <w:pPr>
        <w:jc w:val="center"/>
        <w:outlineLvl w:val="9"/>
        <w:rPr>
          <w:rFonts w:ascii="宋体" w:hAnsi="宋体" w:eastAsia="宋体" w:cs="宋体"/>
          <w:b/>
          <w:bCs/>
          <w:kern w:val="2"/>
          <w:sz w:val="24"/>
          <w:szCs w:val="24"/>
        </w:rPr>
      </w:pPr>
      <w:bookmarkStart w:id="281" w:name="_Toc19865"/>
      <w:bookmarkStart w:id="282" w:name="_Toc12961"/>
      <w:r>
        <w:rPr>
          <w:rFonts w:hint="eastAsia" w:ascii="宋体" w:hAnsi="宋体" w:eastAsia="宋体" w:cs="宋体"/>
          <w:b/>
          <w:bCs/>
          <w:sz w:val="24"/>
          <w:szCs w:val="24"/>
        </w:rPr>
        <w:t>附件12：</w:t>
      </w:r>
      <w:bookmarkEnd w:id="277"/>
      <w:bookmarkEnd w:id="278"/>
      <w:bookmarkEnd w:id="279"/>
      <w:bookmarkEnd w:id="280"/>
      <w:bookmarkEnd w:id="281"/>
      <w:r>
        <w:rPr>
          <w:rFonts w:hint="eastAsia" w:ascii="宋体" w:hAnsi="宋体" w:eastAsia="宋体" w:cs="宋体"/>
          <w:b/>
          <w:bCs/>
          <w:kern w:val="2"/>
          <w:sz w:val="24"/>
          <w:szCs w:val="24"/>
        </w:rPr>
        <w:t>中小企业声明函</w:t>
      </w:r>
      <w:bookmarkEnd w:id="282"/>
    </w:p>
    <w:p>
      <w:pPr>
        <w:adjustRightInd/>
        <w:snapToGrid/>
        <w:spacing w:after="0" w:line="360" w:lineRule="auto"/>
        <w:jc w:val="center"/>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（非中小企业不适用）</w:t>
      </w:r>
    </w:p>
    <w:p>
      <w:pPr>
        <w:keepNext w:val="0"/>
        <w:keepLines w:val="0"/>
        <w:pageBreakBefore w:val="0"/>
        <w:kinsoku/>
        <w:wordWrap/>
        <w:overflowPunct/>
        <w:topLinePunct w:val="0"/>
        <w:bidi w:val="0"/>
        <w:adjustRightInd/>
        <w:snapToGrid/>
        <w:spacing w:line="360" w:lineRule="auto"/>
        <w:jc w:val="center"/>
        <w:textAlignment w:val="auto"/>
        <w:outlineLvl w:val="9"/>
        <w:rPr>
          <w:rFonts w:hint="eastAsia" w:ascii="宋体" w:hAnsi="宋体" w:eastAsia="宋体" w:cs="宋体"/>
          <w:sz w:val="24"/>
        </w:rPr>
      </w:pPr>
      <w:r>
        <w:rPr>
          <w:rFonts w:hint="eastAsia" w:ascii="宋体" w:hAnsi="宋体" w:eastAsia="宋体" w:cs="宋体"/>
          <w:sz w:val="24"/>
          <w:lang w:val="en-US" w:eastAsia="zh-CN"/>
        </w:rPr>
        <w:t>（1）中小企业声明函（货物）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本公司（联合体）郑重声明，根据《政府采购促进中小企业发展管理办法》（财库﹝2020﹞46号）的规定，本公司（联合体）参加</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（单位名称）</w:t>
      </w:r>
      <w:r>
        <w:rPr>
          <w:rFonts w:hint="eastAsia" w:ascii="宋体" w:hAnsi="宋体" w:eastAsia="宋体" w:cs="宋体"/>
          <w:i w:val="0"/>
          <w:iCs w:val="0"/>
          <w:color w:val="000000"/>
          <w:kern w:val="0"/>
          <w:sz w:val="24"/>
          <w:szCs w:val="24"/>
          <w:lang w:val="en-US" w:eastAsia="zh-CN" w:bidi="ar"/>
        </w:rPr>
        <w:t>的</w:t>
      </w:r>
      <w:r>
        <w:rPr>
          <w:rFonts w:hint="eastAsia" w:ascii="宋体" w:hAnsi="宋体" w:eastAsia="宋体" w:cs="宋体"/>
          <w:i w:val="0"/>
          <w:iCs w:val="0"/>
          <w:color w:val="000000"/>
          <w:kern w:val="0"/>
          <w:sz w:val="24"/>
          <w:szCs w:val="24"/>
          <w:u w:val="single"/>
          <w:lang w:val="en-US" w:eastAsia="zh-CN" w:bidi="ar"/>
        </w:rPr>
        <w:t xml:space="preserve">     （项目名称）</w:t>
      </w:r>
      <w:r>
        <w:rPr>
          <w:rFonts w:hint="eastAsia" w:ascii="宋体" w:hAnsi="宋体" w:eastAsia="宋体" w:cs="宋体"/>
          <w:color w:val="000000"/>
          <w:kern w:val="0"/>
          <w:sz w:val="24"/>
          <w:szCs w:val="24"/>
          <w:lang w:val="en-US" w:eastAsia="zh-CN" w:bidi="ar"/>
        </w:rPr>
        <w:t>采购活动，提供的货物全部由符合政策要求的中小企业制造。相关企业（含联合体中的中小企业、签订分包意向协议的中小企业）的具体情况如下：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i w:val="0"/>
          <w:iCs w:val="0"/>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i/>
          <w:iCs/>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（标的名称）</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 xml:space="preserve">   （采购文件中明确的所属行业）</w:t>
      </w:r>
      <w:r>
        <w:rPr>
          <w:rFonts w:hint="eastAsia" w:ascii="宋体" w:hAnsi="宋体" w:eastAsia="宋体" w:cs="宋体"/>
          <w:i w:val="0"/>
          <w:iCs w:val="0"/>
          <w:color w:val="000000"/>
          <w:kern w:val="0"/>
          <w:sz w:val="24"/>
          <w:szCs w:val="24"/>
          <w:lang w:val="en-US" w:eastAsia="zh-CN" w:bidi="ar"/>
        </w:rPr>
        <w:t>行业；制造商为</w:t>
      </w:r>
      <w:r>
        <w:rPr>
          <w:rFonts w:hint="eastAsia" w:ascii="宋体" w:hAnsi="宋体" w:eastAsia="宋体" w:cs="宋体"/>
          <w:i w:val="0"/>
          <w:iCs w:val="0"/>
          <w:color w:val="000000"/>
          <w:kern w:val="0"/>
          <w:sz w:val="24"/>
          <w:szCs w:val="24"/>
          <w:u w:val="single"/>
          <w:lang w:val="en-US" w:eastAsia="zh-CN" w:bidi="ar"/>
        </w:rPr>
        <w:t xml:space="preserve">    （企业名称）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 xml:space="preserve">   （中型企业、小型企业、微型企业）</w:t>
      </w:r>
      <w:r>
        <w:rPr>
          <w:rFonts w:hint="eastAsia" w:ascii="宋体" w:hAnsi="宋体" w:eastAsia="宋体" w:cs="宋体"/>
          <w:i w:val="0"/>
          <w:iCs w:val="0"/>
          <w:color w:val="000000"/>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i w:val="0"/>
          <w:iCs w:val="0"/>
          <w:color w:val="000000"/>
          <w:kern w:val="0"/>
          <w:sz w:val="24"/>
          <w:szCs w:val="24"/>
          <w:lang w:val="en-US" w:eastAsia="zh-CN" w:bidi="ar"/>
        </w:rPr>
        <w:t>2.</w:t>
      </w:r>
      <w:r>
        <w:rPr>
          <w:rFonts w:hint="eastAsia" w:ascii="宋体" w:hAnsi="宋体" w:eastAsia="宋体" w:cs="宋体"/>
          <w:i w:val="0"/>
          <w:iCs w:val="0"/>
          <w:color w:val="000000"/>
          <w:kern w:val="0"/>
          <w:sz w:val="24"/>
          <w:szCs w:val="24"/>
          <w:u w:val="single"/>
          <w:lang w:val="en-US" w:eastAsia="zh-CN" w:bidi="ar"/>
        </w:rPr>
        <w:t xml:space="preserve">     （标的名称）</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 xml:space="preserve">   （采购文件中明确的所属行业）行业</w:t>
      </w:r>
      <w:r>
        <w:rPr>
          <w:rFonts w:hint="eastAsia" w:ascii="宋体" w:hAnsi="宋体" w:eastAsia="宋体" w:cs="宋体"/>
          <w:i w:val="0"/>
          <w:iCs w:val="0"/>
          <w:color w:val="000000"/>
          <w:kern w:val="0"/>
          <w:sz w:val="24"/>
          <w:szCs w:val="24"/>
          <w:lang w:val="en-US" w:eastAsia="zh-CN" w:bidi="ar"/>
        </w:rPr>
        <w:t>；制造商为</w:t>
      </w:r>
      <w:r>
        <w:rPr>
          <w:rFonts w:hint="eastAsia" w:ascii="宋体" w:hAnsi="宋体" w:eastAsia="宋体" w:cs="宋体"/>
          <w:i w:val="0"/>
          <w:iCs w:val="0"/>
          <w:color w:val="000000"/>
          <w:kern w:val="0"/>
          <w:sz w:val="24"/>
          <w:szCs w:val="24"/>
          <w:u w:val="single"/>
          <w:lang w:val="en-US" w:eastAsia="zh-CN" w:bidi="ar"/>
        </w:rPr>
        <w:t xml:space="preserve">    （企业名称）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本企业对上述声明内容的真实性负责。如有虚假，将依法承担相应责任。</w:t>
      </w:r>
    </w:p>
    <w:p>
      <w:pPr>
        <w:keepNext w:val="0"/>
        <w:keepLines w:val="0"/>
        <w:pageBreakBefore w:val="0"/>
        <w:widowControl/>
        <w:suppressLineNumbers w:val="0"/>
        <w:kinsoku/>
        <w:wordWrap/>
        <w:overflowPunct/>
        <w:topLinePunct w:val="0"/>
        <w:bidi w:val="0"/>
        <w:adjustRightInd/>
        <w:snapToGrid/>
        <w:spacing w:line="360" w:lineRule="auto"/>
        <w:ind w:firstLine="2640" w:firstLineChars="1100"/>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firstLine="2640" w:firstLineChars="1100"/>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bidi w:val="0"/>
        <w:adjustRightInd/>
        <w:snapToGrid/>
        <w:spacing w:line="360" w:lineRule="auto"/>
        <w:ind w:firstLine="2640" w:firstLineChars="1100"/>
        <w:jc w:val="left"/>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企业名称（盖章）：</w:t>
      </w:r>
    </w:p>
    <w:p>
      <w:pPr>
        <w:keepNext w:val="0"/>
        <w:keepLines w:val="0"/>
        <w:pageBreakBefore w:val="0"/>
        <w:kinsoku/>
        <w:wordWrap/>
        <w:overflowPunct/>
        <w:topLinePunct w:val="0"/>
        <w:bidi w:val="0"/>
        <w:adjustRightInd/>
        <w:snapToGrid/>
        <w:spacing w:line="360" w:lineRule="auto"/>
        <w:ind w:firstLine="4080" w:firstLineChars="1700"/>
        <w:textAlignment w:val="auto"/>
        <w:outlineLvl w:val="9"/>
        <w:rPr>
          <w:rFonts w:ascii="宋体" w:hAnsi="宋体" w:eastAsia="宋体" w:cs="宋体"/>
        </w:rPr>
        <w:sectPr>
          <w:headerReference r:id="rId21" w:type="first"/>
          <w:headerReference r:id="rId19" w:type="default"/>
          <w:footerReference r:id="rId22" w:type="default"/>
          <w:headerReference r:id="rId20" w:type="even"/>
          <w:pgSz w:w="11850" w:h="16790"/>
          <w:pgMar w:top="1660" w:right="1580" w:bottom="1240" w:left="1660" w:header="1194" w:footer="1059"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color w:val="000000"/>
          <w:kern w:val="0"/>
          <w:sz w:val="24"/>
          <w:szCs w:val="24"/>
          <w:lang w:val="en-US" w:eastAsia="zh-CN" w:bidi="ar"/>
        </w:rPr>
        <w:t>日期：</w:t>
      </w:r>
    </w:p>
    <w:p>
      <w:pPr>
        <w:adjustRightInd/>
        <w:snapToGrid/>
        <w:spacing w:after="0" w:line="360" w:lineRule="auto"/>
        <w:jc w:val="center"/>
        <w:textAlignment w:val="baseline"/>
        <w:outlineLvl w:val="9"/>
        <w:rPr>
          <w:rFonts w:ascii="宋体" w:hAnsi="宋体" w:eastAsia="宋体" w:cs="宋体"/>
          <w:b/>
          <w:bCs/>
          <w:kern w:val="2"/>
          <w:sz w:val="24"/>
          <w:szCs w:val="24"/>
        </w:rPr>
      </w:pPr>
      <w:bookmarkStart w:id="283" w:name="_Toc31678"/>
      <w:bookmarkStart w:id="284" w:name="_Toc11915"/>
      <w:bookmarkStart w:id="285" w:name="_Toc15833"/>
      <w:bookmarkStart w:id="286" w:name="_Toc11793"/>
      <w:bookmarkStart w:id="287" w:name="_Toc30876"/>
      <w:r>
        <w:rPr>
          <w:rFonts w:hint="eastAsia" w:ascii="宋体" w:hAnsi="宋体" w:eastAsia="宋体" w:cs="宋体"/>
          <w:b/>
          <w:bCs/>
          <w:sz w:val="24"/>
          <w:szCs w:val="24"/>
        </w:rPr>
        <w:t>附件13：</w:t>
      </w:r>
      <w:bookmarkEnd w:id="283"/>
      <w:bookmarkEnd w:id="284"/>
      <w:bookmarkEnd w:id="285"/>
      <w:bookmarkEnd w:id="286"/>
      <w:bookmarkEnd w:id="287"/>
      <w:bookmarkStart w:id="288" w:name="_Toc4641_WPSOffice_Level2"/>
      <w:bookmarkStart w:id="289" w:name="_Toc13691_WPSOffice_Level2"/>
      <w:r>
        <w:rPr>
          <w:rFonts w:hint="eastAsia" w:ascii="宋体" w:hAnsi="宋体" w:eastAsia="宋体" w:cs="宋体"/>
          <w:b/>
          <w:bCs/>
          <w:kern w:val="2"/>
          <w:sz w:val="24"/>
          <w:szCs w:val="24"/>
        </w:rPr>
        <w:t>同意招标文件条款声明</w:t>
      </w:r>
      <w:bookmarkEnd w:id="288"/>
      <w:bookmarkEnd w:id="289"/>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spacing w:line="500" w:lineRule="exact"/>
        <w:jc w:val="both"/>
        <w:outlineLvl w:val="9"/>
        <w:rPr>
          <w:rFonts w:ascii="宋体" w:hAnsi="宋体" w:eastAsia="宋体" w:cs="宋体"/>
          <w:bCs/>
          <w:kern w:val="2"/>
          <w:sz w:val="24"/>
          <w:szCs w:val="24"/>
          <w:lang w:bidi="zh-CN"/>
        </w:rPr>
      </w:pPr>
      <w:r>
        <w:rPr>
          <w:rFonts w:hint="eastAsia" w:ascii="宋体" w:hAnsi="宋体" w:eastAsia="宋体" w:cs="宋体"/>
          <w:bCs/>
          <w:kern w:val="2"/>
          <w:sz w:val="24"/>
          <w:szCs w:val="24"/>
          <w:lang w:bidi="zh-CN"/>
        </w:rPr>
        <w:t>致：陇南市武都区核桃产业开发中心</w:t>
      </w:r>
    </w:p>
    <w:p>
      <w:pPr>
        <w:spacing w:line="500" w:lineRule="exact"/>
        <w:ind w:firstLine="480"/>
        <w:jc w:val="both"/>
        <w:outlineLvl w:val="9"/>
        <w:rPr>
          <w:rFonts w:ascii="宋体" w:hAnsi="宋体" w:eastAsia="宋体" w:cs="宋体"/>
          <w:bCs/>
          <w:kern w:val="2"/>
          <w:sz w:val="24"/>
          <w:szCs w:val="24"/>
          <w:lang w:bidi="zh-CN"/>
        </w:rPr>
      </w:pPr>
      <w:r>
        <w:rPr>
          <w:rFonts w:hint="eastAsia" w:ascii="宋体" w:hAnsi="宋体" w:eastAsia="宋体" w:cs="宋体"/>
          <w:bCs/>
          <w:kern w:val="2"/>
          <w:sz w:val="24"/>
          <w:szCs w:val="24"/>
          <w:lang w:bidi="zh-CN"/>
        </w:rPr>
        <w:t>为响应你方组织的项目的招标采购，招标编号为：</w:t>
      </w:r>
      <w:r>
        <w:rPr>
          <w:rFonts w:hint="eastAsia" w:ascii="宋体" w:hAnsi="宋体" w:eastAsia="宋体" w:cs="宋体"/>
          <w:bCs/>
          <w:kern w:val="2"/>
          <w:sz w:val="24"/>
          <w:szCs w:val="24"/>
          <w:u w:val="single"/>
          <w:lang w:val="en-US" w:bidi="zh-CN"/>
        </w:rPr>
        <w:t xml:space="preserve">    </w:t>
      </w:r>
      <w:r>
        <w:rPr>
          <w:rFonts w:hint="eastAsia" w:ascii="宋体" w:hAnsi="宋体" w:eastAsia="宋体" w:cs="宋体"/>
          <w:bCs/>
          <w:kern w:val="2"/>
          <w:sz w:val="24"/>
          <w:szCs w:val="24"/>
          <w:lang w:bidi="zh-CN"/>
        </w:rPr>
        <w:t>，我方在参与投标前已详细研究了招标文件的所有内容，包括修改或更改（正）文件（如果有的话）和所有已提供的参考资料以及有关附件，我方完全明白并认为此招标文件没有倾向性，也没有存在排斥潜在供应商的内容，我方同意招标文件的相关条款并承诺参与投标后不再对招标文件的任何条款提出质疑或异议。</w:t>
      </w:r>
    </w:p>
    <w:p>
      <w:pPr>
        <w:spacing w:line="500" w:lineRule="exact"/>
        <w:ind w:left="480"/>
        <w:outlineLvl w:val="9"/>
        <w:rPr>
          <w:rFonts w:ascii="宋体" w:hAnsi="宋体" w:eastAsia="宋体" w:cs="宋体"/>
          <w:sz w:val="24"/>
          <w:szCs w:val="24"/>
        </w:rPr>
      </w:pPr>
    </w:p>
    <w:p>
      <w:pPr>
        <w:spacing w:line="500" w:lineRule="exact"/>
        <w:ind w:left="480" w:firstLine="3360" w:firstLineChars="1400"/>
        <w:outlineLvl w:val="9"/>
        <w:rPr>
          <w:rFonts w:ascii="宋体" w:hAnsi="宋体" w:eastAsia="宋体" w:cs="宋体"/>
          <w:sz w:val="24"/>
          <w:szCs w:val="24"/>
        </w:rPr>
      </w:pPr>
      <w:r>
        <w:rPr>
          <w:rFonts w:hint="eastAsia" w:ascii="宋体" w:hAnsi="宋体" w:eastAsia="宋体" w:cs="宋体"/>
          <w:sz w:val="24"/>
          <w:szCs w:val="24"/>
        </w:rPr>
        <w:t>特此声明。</w:t>
      </w: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ind w:firstLine="4560" w:firstLineChars="19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4560" w:firstLineChars="19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pacing w:after="0" w:line="360" w:lineRule="auto"/>
        <w:ind w:firstLine="4560" w:firstLineChars="19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adjustRightInd/>
        <w:snapToGrid/>
        <w:spacing w:after="0" w:line="360" w:lineRule="auto"/>
        <w:jc w:val="both"/>
        <w:textAlignment w:val="baseline"/>
        <w:outlineLvl w:val="9"/>
        <w:rPr>
          <w:rFonts w:ascii="宋体" w:hAnsi="宋体" w:eastAsia="宋体" w:cs="宋体"/>
          <w:b/>
          <w:kern w:val="2"/>
          <w:sz w:val="24"/>
          <w:szCs w:val="24"/>
          <w:lang w:bidi="zh-CN"/>
        </w:rPr>
      </w:pPr>
    </w:p>
    <w:p>
      <w:pPr>
        <w:outlineLvl w:val="9"/>
        <w:rPr>
          <w:rFonts w:ascii="宋体" w:hAnsi="宋体" w:eastAsia="宋体" w:cs="宋体"/>
          <w:sz w:val="24"/>
          <w:szCs w:val="24"/>
        </w:rPr>
      </w:pPr>
    </w:p>
    <w:p>
      <w:pPr>
        <w:pStyle w:val="8"/>
        <w:ind w:firstLine="480"/>
        <w:outlineLvl w:val="9"/>
        <w:rPr>
          <w:rFonts w:hAnsi="宋体" w:eastAsia="宋体" w:cs="宋体"/>
          <w:sz w:val="24"/>
          <w:szCs w:val="24"/>
          <w:lang w:eastAsia="zh-CN"/>
        </w:rPr>
      </w:pPr>
    </w:p>
    <w:p>
      <w:pPr>
        <w:spacing w:line="0" w:lineRule="atLeast"/>
        <w:outlineLvl w:val="9"/>
        <w:rPr>
          <w:rFonts w:ascii="宋体" w:hAnsi="宋体" w:eastAsia="宋体" w:cs="宋体"/>
          <w:b/>
          <w:sz w:val="24"/>
          <w:szCs w:val="24"/>
        </w:rPr>
      </w:pPr>
    </w:p>
    <w:p>
      <w:pPr>
        <w:adjustRightInd/>
        <w:snapToGrid/>
        <w:spacing w:after="0" w:line="360" w:lineRule="auto"/>
        <w:jc w:val="both"/>
        <w:textAlignment w:val="baseline"/>
        <w:outlineLvl w:val="9"/>
        <w:rPr>
          <w:rFonts w:ascii="宋体" w:hAnsi="宋体" w:eastAsia="宋体" w:cs="宋体"/>
          <w:b/>
          <w:bCs/>
          <w:sz w:val="24"/>
          <w:szCs w:val="24"/>
        </w:rPr>
        <w:sectPr>
          <w:headerReference r:id="rId23" w:type="default"/>
          <w:pgSz w:w="11906" w:h="16838"/>
          <w:pgMar w:top="1440" w:right="1080" w:bottom="1440" w:left="1080" w:header="851" w:footer="992" w:gutter="0"/>
          <w:pgNumType w:fmt="decimal"/>
          <w:cols w:space="720" w:num="1"/>
          <w:docGrid w:linePitch="312" w:charSpace="0"/>
        </w:sectPr>
      </w:pPr>
      <w:bookmarkStart w:id="290" w:name="_Toc14876"/>
      <w:bookmarkStart w:id="291" w:name="_Toc19955"/>
      <w:bookmarkStart w:id="292" w:name="_Toc2421"/>
      <w:bookmarkStart w:id="293" w:name="_Toc31382"/>
      <w:bookmarkStart w:id="294" w:name="_Toc6785"/>
    </w:p>
    <w:p>
      <w:pPr>
        <w:adjustRightInd/>
        <w:snapToGrid/>
        <w:spacing w:after="0" w:line="360" w:lineRule="auto"/>
        <w:jc w:val="center"/>
        <w:textAlignment w:val="baseline"/>
        <w:outlineLvl w:val="9"/>
        <w:rPr>
          <w:rFonts w:ascii="宋体" w:hAnsi="宋体" w:eastAsia="宋体" w:cs="宋体"/>
          <w:b/>
          <w:bCs/>
          <w:kern w:val="2"/>
          <w:sz w:val="24"/>
          <w:szCs w:val="24"/>
        </w:rPr>
      </w:pPr>
      <w:bookmarkStart w:id="295" w:name="_Toc2880"/>
      <w:bookmarkStart w:id="296" w:name="_Toc24602"/>
      <w:r>
        <w:rPr>
          <w:rFonts w:hint="eastAsia" w:ascii="宋体" w:hAnsi="宋体" w:eastAsia="宋体" w:cs="宋体"/>
          <w:b/>
          <w:bCs/>
          <w:sz w:val="24"/>
          <w:szCs w:val="24"/>
        </w:rPr>
        <w:t>附件14：</w:t>
      </w:r>
      <w:bookmarkEnd w:id="290"/>
      <w:bookmarkEnd w:id="291"/>
      <w:bookmarkEnd w:id="292"/>
      <w:bookmarkEnd w:id="293"/>
      <w:bookmarkEnd w:id="294"/>
      <w:bookmarkEnd w:id="295"/>
      <w:bookmarkStart w:id="297" w:name="_Toc9518_WPSOffice_Level2"/>
      <w:bookmarkStart w:id="298" w:name="_Toc1879_WPSOffice_Level2"/>
      <w:r>
        <w:rPr>
          <w:rFonts w:hint="eastAsia" w:ascii="宋体" w:hAnsi="宋体" w:eastAsia="宋体" w:cs="宋体"/>
          <w:b/>
          <w:bCs/>
          <w:kern w:val="2"/>
          <w:sz w:val="24"/>
          <w:szCs w:val="24"/>
        </w:rPr>
        <w:t>虚假应标承担责任声明</w:t>
      </w:r>
      <w:bookmarkEnd w:id="296"/>
      <w:bookmarkEnd w:id="297"/>
      <w:bookmarkEnd w:id="298"/>
    </w:p>
    <w:p>
      <w:pPr>
        <w:adjustRightInd/>
        <w:snapToGrid/>
        <w:spacing w:after="0" w:line="360" w:lineRule="auto"/>
        <w:jc w:val="both"/>
        <w:textAlignment w:val="baseline"/>
        <w:outlineLvl w:val="9"/>
        <w:rPr>
          <w:rFonts w:ascii="宋体" w:hAnsi="宋体" w:eastAsia="宋体" w:cs="宋体"/>
          <w:bCs/>
          <w:kern w:val="2"/>
          <w:sz w:val="24"/>
          <w:szCs w:val="24"/>
        </w:rPr>
      </w:pPr>
    </w:p>
    <w:p>
      <w:pPr>
        <w:spacing w:line="500" w:lineRule="exact"/>
        <w:jc w:val="both"/>
        <w:outlineLvl w:val="9"/>
        <w:rPr>
          <w:rFonts w:hint="eastAsia" w:ascii="宋体" w:hAnsi="宋体" w:eastAsia="宋体" w:cs="宋体"/>
          <w:bCs/>
          <w:kern w:val="2"/>
          <w:sz w:val="24"/>
          <w:szCs w:val="24"/>
          <w:lang w:eastAsia="zh-CN"/>
        </w:rPr>
      </w:pPr>
      <w:r>
        <w:rPr>
          <w:rFonts w:hint="eastAsia" w:ascii="宋体" w:hAnsi="宋体" w:eastAsia="宋体" w:cs="宋体"/>
          <w:bCs/>
          <w:kern w:val="2"/>
          <w:sz w:val="24"/>
          <w:szCs w:val="24"/>
        </w:rPr>
        <w:t>致：</w:t>
      </w:r>
      <w:r>
        <w:rPr>
          <w:rFonts w:hint="eastAsia" w:ascii="宋体" w:hAnsi="宋体" w:eastAsia="宋体" w:cs="宋体"/>
          <w:bCs/>
          <w:kern w:val="2"/>
          <w:sz w:val="24"/>
          <w:szCs w:val="24"/>
          <w:lang w:eastAsia="zh-CN"/>
        </w:rPr>
        <w:t>陇南市武都区核桃产业开发中心</w:t>
      </w:r>
    </w:p>
    <w:p>
      <w:pPr>
        <w:spacing w:line="500" w:lineRule="exact"/>
        <w:ind w:firstLine="480"/>
        <w:jc w:val="both"/>
        <w:outlineLvl w:val="9"/>
        <w:rPr>
          <w:rFonts w:ascii="宋体" w:hAnsi="宋体" w:eastAsia="宋体" w:cs="宋体"/>
          <w:bCs/>
          <w:kern w:val="2"/>
          <w:sz w:val="24"/>
          <w:szCs w:val="24"/>
          <w:lang w:bidi="zh-CN"/>
        </w:rPr>
      </w:pPr>
      <w:r>
        <w:rPr>
          <w:rFonts w:hint="eastAsia" w:ascii="宋体" w:hAnsi="宋体" w:eastAsia="宋体" w:cs="宋体"/>
          <w:bCs/>
          <w:kern w:val="2"/>
          <w:sz w:val="24"/>
          <w:szCs w:val="24"/>
          <w:lang w:bidi="zh-CN"/>
        </w:rPr>
        <w:t>我公司承诺所提供的投标文件（包括一切技术资料、技术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spacing w:line="500" w:lineRule="exact"/>
        <w:outlineLvl w:val="9"/>
        <w:rPr>
          <w:rFonts w:ascii="宋体" w:hAnsi="宋体" w:eastAsia="宋体" w:cs="宋体"/>
          <w:sz w:val="24"/>
          <w:szCs w:val="24"/>
        </w:rPr>
      </w:pPr>
    </w:p>
    <w:p>
      <w:pPr>
        <w:spacing w:line="500" w:lineRule="exact"/>
        <w:ind w:left="480" w:firstLine="3360" w:firstLineChars="1400"/>
        <w:outlineLvl w:val="9"/>
        <w:rPr>
          <w:rFonts w:ascii="宋体" w:hAnsi="宋体" w:eastAsia="宋体" w:cs="宋体"/>
          <w:sz w:val="24"/>
          <w:szCs w:val="24"/>
        </w:rPr>
      </w:pPr>
      <w:r>
        <w:rPr>
          <w:rFonts w:hint="eastAsia" w:ascii="宋体" w:hAnsi="宋体" w:eastAsia="宋体" w:cs="宋体"/>
          <w:sz w:val="24"/>
          <w:szCs w:val="24"/>
        </w:rPr>
        <w:t>特此声明。</w:t>
      </w:r>
    </w:p>
    <w:p>
      <w:pPr>
        <w:spacing w:line="500" w:lineRule="exact"/>
        <w:outlineLvl w:val="9"/>
        <w:rPr>
          <w:rFonts w:ascii="宋体" w:hAnsi="宋体" w:eastAsia="宋体" w:cs="宋体"/>
          <w:sz w:val="24"/>
          <w:szCs w:val="24"/>
        </w:rPr>
      </w:pPr>
    </w:p>
    <w:p>
      <w:pPr>
        <w:adjustRightInd/>
        <w:snapToGrid/>
        <w:spacing w:after="0" w:line="360" w:lineRule="auto"/>
        <w:ind w:firstLine="4080" w:firstLineChars="17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4080" w:firstLineChars="17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pacing w:after="0" w:line="360" w:lineRule="auto"/>
        <w:ind w:firstLine="4080" w:firstLineChars="17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spacing w:line="500" w:lineRule="exact"/>
        <w:outlineLvl w:val="9"/>
        <w:rPr>
          <w:rFonts w:ascii="宋体" w:hAnsi="宋体" w:eastAsia="宋体" w:cs="宋体"/>
          <w:sz w:val="24"/>
          <w:szCs w:val="24"/>
        </w:rPr>
      </w:pPr>
    </w:p>
    <w:p>
      <w:pPr>
        <w:spacing w:line="500" w:lineRule="exact"/>
        <w:outlineLvl w:val="9"/>
        <w:rPr>
          <w:rFonts w:ascii="宋体" w:hAnsi="宋体" w:eastAsia="宋体" w:cs="宋体"/>
          <w:sz w:val="24"/>
          <w:szCs w:val="24"/>
        </w:rPr>
      </w:pPr>
    </w:p>
    <w:p>
      <w:pPr>
        <w:spacing w:line="0" w:lineRule="atLeast"/>
        <w:outlineLvl w:val="9"/>
        <w:rPr>
          <w:rFonts w:ascii="宋体" w:hAnsi="宋体" w:eastAsia="宋体" w:cs="宋体"/>
          <w:b/>
          <w:sz w:val="24"/>
          <w:szCs w:val="24"/>
        </w:rPr>
      </w:pPr>
    </w:p>
    <w:p>
      <w:pPr>
        <w:pStyle w:val="24"/>
        <w:outlineLvl w:val="9"/>
        <w:rPr>
          <w:sz w:val="24"/>
          <w:szCs w:val="24"/>
        </w:rPr>
      </w:pPr>
    </w:p>
    <w:p>
      <w:pPr>
        <w:adjustRightInd/>
        <w:snapToGrid/>
        <w:spacing w:after="0"/>
        <w:outlineLvl w:val="9"/>
        <w:rPr>
          <w:rFonts w:ascii="宋体" w:hAnsi="宋体" w:eastAsia="宋体" w:cs="宋体"/>
          <w:b/>
          <w:sz w:val="24"/>
          <w:szCs w:val="24"/>
        </w:rPr>
      </w:pPr>
      <w:r>
        <w:rPr>
          <w:rFonts w:hint="eastAsia" w:ascii="宋体" w:hAnsi="宋体" w:eastAsia="宋体" w:cs="宋体"/>
          <w:b/>
          <w:sz w:val="24"/>
          <w:szCs w:val="24"/>
        </w:rPr>
        <w:br w:type="page"/>
      </w:r>
    </w:p>
    <w:p>
      <w:pPr>
        <w:adjustRightInd/>
        <w:snapToGrid/>
        <w:spacing w:after="0" w:line="360" w:lineRule="auto"/>
        <w:jc w:val="center"/>
        <w:textAlignment w:val="baseline"/>
        <w:outlineLvl w:val="9"/>
        <w:rPr>
          <w:rFonts w:ascii="宋体" w:hAnsi="宋体" w:eastAsia="宋体" w:cs="宋体"/>
          <w:b/>
          <w:bCs/>
          <w:kern w:val="2"/>
          <w:sz w:val="24"/>
          <w:szCs w:val="24"/>
        </w:rPr>
      </w:pPr>
      <w:bookmarkStart w:id="299" w:name="_Toc14565"/>
      <w:bookmarkStart w:id="300" w:name="_Toc9957"/>
      <w:bookmarkStart w:id="301" w:name="_Toc15060"/>
      <w:bookmarkStart w:id="302" w:name="_Toc12812"/>
      <w:bookmarkStart w:id="303" w:name="_Toc15351"/>
      <w:r>
        <w:rPr>
          <w:rFonts w:hint="eastAsia" w:ascii="宋体" w:hAnsi="宋体" w:eastAsia="宋体" w:cs="宋体"/>
          <w:b/>
          <w:bCs/>
          <w:sz w:val="24"/>
          <w:szCs w:val="24"/>
        </w:rPr>
        <w:t>附件15：</w:t>
      </w:r>
      <w:bookmarkEnd w:id="299"/>
      <w:bookmarkEnd w:id="300"/>
      <w:bookmarkEnd w:id="301"/>
      <w:bookmarkEnd w:id="302"/>
      <w:bookmarkStart w:id="304" w:name="_Toc28915_WPSOffice_Level2"/>
      <w:bookmarkStart w:id="305" w:name="_Toc7391_WPSOffice_Level2"/>
      <w:r>
        <w:rPr>
          <w:rFonts w:hint="eastAsia" w:ascii="宋体" w:hAnsi="宋体" w:eastAsia="宋体" w:cs="宋体"/>
          <w:b/>
          <w:bCs/>
          <w:kern w:val="2"/>
          <w:sz w:val="24"/>
          <w:szCs w:val="24"/>
        </w:rPr>
        <w:t>代理服务费确认书</w:t>
      </w:r>
      <w:bookmarkEnd w:id="303"/>
      <w:bookmarkEnd w:id="304"/>
      <w:bookmarkEnd w:id="305"/>
    </w:p>
    <w:p>
      <w:pPr>
        <w:spacing w:line="0" w:lineRule="atLeast"/>
        <w:outlineLvl w:val="9"/>
        <w:rPr>
          <w:rFonts w:ascii="宋体" w:hAnsi="宋体" w:eastAsia="宋体" w:cs="宋体"/>
          <w:b/>
          <w:sz w:val="24"/>
          <w:szCs w:val="24"/>
        </w:rPr>
      </w:pPr>
    </w:p>
    <w:p>
      <w:pPr>
        <w:spacing w:line="500" w:lineRule="exact"/>
        <w:jc w:val="both"/>
        <w:outlineLvl w:val="9"/>
        <w:rPr>
          <w:rFonts w:hint="eastAsia" w:ascii="宋体" w:hAnsi="宋体" w:eastAsia="宋体" w:cs="宋体"/>
          <w:bCs/>
          <w:kern w:val="2"/>
          <w:sz w:val="24"/>
          <w:szCs w:val="24"/>
          <w:lang w:eastAsia="zh-CN"/>
        </w:rPr>
      </w:pPr>
      <w:r>
        <w:rPr>
          <w:rFonts w:hint="eastAsia" w:ascii="宋体" w:hAnsi="宋体" w:eastAsia="宋体" w:cs="宋体"/>
          <w:bCs/>
          <w:kern w:val="2"/>
          <w:sz w:val="24"/>
          <w:szCs w:val="24"/>
        </w:rPr>
        <w:t>致：</w:t>
      </w:r>
      <w:r>
        <w:rPr>
          <w:rFonts w:hint="eastAsia" w:ascii="宋体" w:hAnsi="宋体" w:eastAsia="宋体" w:cs="宋体"/>
          <w:bCs/>
          <w:kern w:val="2"/>
          <w:sz w:val="24"/>
          <w:szCs w:val="24"/>
          <w:lang w:eastAsia="zh-CN"/>
        </w:rPr>
        <w:t>陇南子午线招标代理有限公司</w:t>
      </w:r>
    </w:p>
    <w:p>
      <w:pPr>
        <w:spacing w:line="500" w:lineRule="exact"/>
        <w:ind w:firstLine="480"/>
        <w:jc w:val="both"/>
        <w:outlineLvl w:val="9"/>
        <w:rPr>
          <w:rFonts w:ascii="宋体" w:hAnsi="宋体" w:eastAsia="宋体" w:cs="宋体"/>
          <w:bCs/>
          <w:kern w:val="2"/>
          <w:sz w:val="24"/>
          <w:szCs w:val="24"/>
          <w:lang w:bidi="zh-CN"/>
        </w:rPr>
      </w:pPr>
      <w:r>
        <w:rPr>
          <w:rFonts w:hint="eastAsia" w:ascii="宋体" w:hAnsi="宋体" w:eastAsia="宋体" w:cs="宋体"/>
          <w:bCs/>
          <w:kern w:val="2"/>
          <w:sz w:val="24"/>
          <w:szCs w:val="24"/>
          <w:lang w:bidi="zh-CN"/>
        </w:rPr>
        <w:t>参照国家计委《招标代理服务收费管理暂行办法》（计价格[2002]1980 号）和国家发改委《国家发展改革委办公厅关于招标代理服务费有关问题的通知》（发改办价格[2003]857 号）文件的有关规定，经采购人、采购代理机构协商，本次招标项目（招标编号：）的招标服务费向中标方收取。若我单位中标，将按照国家规定标准向贵公司缴纳招标代理服务费。</w:t>
      </w:r>
    </w:p>
    <w:p>
      <w:pPr>
        <w:spacing w:line="0" w:lineRule="atLeast"/>
        <w:ind w:left="480"/>
        <w:outlineLvl w:val="9"/>
        <w:rPr>
          <w:rFonts w:ascii="宋体" w:hAnsi="宋体" w:eastAsia="宋体" w:cs="宋体"/>
          <w:sz w:val="24"/>
          <w:szCs w:val="24"/>
          <w:u w:val="single"/>
        </w:rPr>
      </w:pPr>
    </w:p>
    <w:p>
      <w:pPr>
        <w:spacing w:line="200" w:lineRule="exact"/>
        <w:outlineLvl w:val="9"/>
        <w:rPr>
          <w:rFonts w:ascii="宋体" w:hAnsi="宋体" w:eastAsia="宋体" w:cs="宋体"/>
          <w:sz w:val="24"/>
          <w:szCs w:val="24"/>
          <w:u w:val="single"/>
        </w:rPr>
      </w:pPr>
    </w:p>
    <w:p>
      <w:pPr>
        <w:spacing w:line="200" w:lineRule="exact"/>
        <w:outlineLvl w:val="9"/>
        <w:rPr>
          <w:rFonts w:ascii="宋体" w:hAnsi="宋体" w:eastAsia="宋体" w:cs="宋体"/>
          <w:sz w:val="24"/>
          <w:szCs w:val="24"/>
        </w:rPr>
      </w:pPr>
    </w:p>
    <w:p>
      <w:pPr>
        <w:spacing w:line="239" w:lineRule="exact"/>
        <w:outlineLvl w:val="9"/>
        <w:rPr>
          <w:rFonts w:ascii="宋体" w:hAnsi="宋体" w:eastAsia="宋体" w:cs="宋体"/>
          <w:sz w:val="24"/>
          <w:szCs w:val="24"/>
        </w:rPr>
      </w:pPr>
    </w:p>
    <w:p>
      <w:pPr>
        <w:adjustRightInd/>
        <w:snapToGrid/>
        <w:spacing w:after="0" w:line="360" w:lineRule="auto"/>
        <w:ind w:firstLine="4560" w:firstLineChars="19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4560" w:firstLineChars="19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pacing w:after="0" w:line="360" w:lineRule="auto"/>
        <w:ind w:firstLine="4560" w:firstLineChars="19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tabs>
          <w:tab w:val="left" w:pos="6580"/>
          <w:tab w:val="left" w:pos="7420"/>
        </w:tabs>
        <w:spacing w:line="0" w:lineRule="atLeast"/>
        <w:outlineLvl w:val="9"/>
        <w:rPr>
          <w:rFonts w:ascii="宋体" w:hAnsi="宋体" w:eastAsia="宋体" w:cs="宋体"/>
          <w:sz w:val="24"/>
          <w:szCs w:val="24"/>
        </w:rPr>
      </w:pPr>
    </w:p>
    <w:p>
      <w:pPr>
        <w:tabs>
          <w:tab w:val="left" w:pos="6580"/>
          <w:tab w:val="left" w:pos="7420"/>
        </w:tabs>
        <w:spacing w:line="0" w:lineRule="atLeast"/>
        <w:outlineLvl w:val="9"/>
        <w:rPr>
          <w:rFonts w:ascii="宋体" w:hAnsi="宋体" w:eastAsia="宋体" w:cs="宋体"/>
          <w:sz w:val="24"/>
          <w:szCs w:val="24"/>
        </w:rPr>
      </w:pPr>
    </w:p>
    <w:p>
      <w:pPr>
        <w:tabs>
          <w:tab w:val="left" w:pos="6580"/>
          <w:tab w:val="left" w:pos="7420"/>
        </w:tabs>
        <w:spacing w:line="0" w:lineRule="atLeast"/>
        <w:outlineLvl w:val="9"/>
        <w:rPr>
          <w:rFonts w:ascii="宋体" w:hAnsi="宋体" w:eastAsia="宋体" w:cs="宋体"/>
          <w:sz w:val="24"/>
          <w:szCs w:val="24"/>
        </w:rPr>
      </w:pPr>
    </w:p>
    <w:p>
      <w:pPr>
        <w:tabs>
          <w:tab w:val="left" w:pos="6580"/>
          <w:tab w:val="left" w:pos="7420"/>
        </w:tabs>
        <w:spacing w:line="0" w:lineRule="atLeast"/>
        <w:outlineLvl w:val="9"/>
        <w:rPr>
          <w:rFonts w:ascii="宋体" w:hAnsi="宋体" w:eastAsia="宋体" w:cs="宋体"/>
          <w:sz w:val="24"/>
          <w:szCs w:val="24"/>
        </w:rPr>
      </w:pPr>
    </w:p>
    <w:p>
      <w:pPr>
        <w:tabs>
          <w:tab w:val="left" w:pos="6580"/>
          <w:tab w:val="left" w:pos="7420"/>
        </w:tabs>
        <w:spacing w:line="0" w:lineRule="atLeast"/>
        <w:outlineLvl w:val="9"/>
        <w:rPr>
          <w:rFonts w:ascii="宋体" w:hAnsi="宋体" w:eastAsia="宋体" w:cs="宋体"/>
          <w:sz w:val="24"/>
          <w:szCs w:val="24"/>
        </w:rPr>
      </w:pPr>
    </w:p>
    <w:p>
      <w:pPr>
        <w:outlineLvl w:val="9"/>
        <w:rPr>
          <w:rFonts w:ascii="宋体" w:hAnsi="宋体" w:eastAsia="宋体" w:cs="宋体"/>
          <w:sz w:val="24"/>
          <w:szCs w:val="24"/>
        </w:rPr>
      </w:pPr>
    </w:p>
    <w:p>
      <w:pPr>
        <w:pStyle w:val="8"/>
        <w:ind w:firstLine="480"/>
        <w:outlineLvl w:val="9"/>
        <w:rPr>
          <w:rFonts w:hAnsi="宋体" w:eastAsia="宋体" w:cs="宋体"/>
          <w:sz w:val="24"/>
          <w:szCs w:val="24"/>
          <w:lang w:eastAsia="zh-CN"/>
        </w:rPr>
      </w:pPr>
    </w:p>
    <w:p>
      <w:pPr>
        <w:outlineLvl w:val="9"/>
        <w:rPr>
          <w:rFonts w:ascii="宋体" w:hAnsi="宋体" w:eastAsia="宋体" w:cs="宋体"/>
          <w:sz w:val="24"/>
          <w:szCs w:val="24"/>
        </w:rPr>
      </w:pPr>
    </w:p>
    <w:p>
      <w:pPr>
        <w:adjustRightInd/>
        <w:snapToGrid/>
        <w:spacing w:after="0" w:line="360" w:lineRule="auto"/>
        <w:jc w:val="both"/>
        <w:textAlignment w:val="baseline"/>
        <w:outlineLvl w:val="9"/>
        <w:rPr>
          <w:rFonts w:ascii="宋体" w:hAnsi="宋体" w:eastAsia="宋体" w:cs="宋体"/>
          <w:b/>
          <w:bCs/>
          <w:sz w:val="24"/>
          <w:szCs w:val="24"/>
        </w:rPr>
        <w:sectPr>
          <w:pgSz w:w="11906" w:h="16838"/>
          <w:pgMar w:top="1440" w:right="1080" w:bottom="1440" w:left="1080" w:header="851" w:footer="992" w:gutter="0"/>
          <w:pgNumType w:fmt="decimal"/>
          <w:cols w:space="720" w:num="1"/>
          <w:docGrid w:linePitch="312" w:charSpace="0"/>
        </w:sectPr>
      </w:pPr>
      <w:bookmarkStart w:id="306" w:name="_Toc28693"/>
      <w:bookmarkStart w:id="307" w:name="_Toc6821"/>
      <w:bookmarkStart w:id="308" w:name="_Toc29791"/>
      <w:bookmarkStart w:id="309" w:name="_Toc31172"/>
    </w:p>
    <w:p>
      <w:pPr>
        <w:adjustRightInd/>
        <w:snapToGrid/>
        <w:spacing w:after="0" w:line="360" w:lineRule="auto"/>
        <w:jc w:val="center"/>
        <w:textAlignment w:val="baseline"/>
        <w:outlineLvl w:val="9"/>
        <w:rPr>
          <w:rFonts w:eastAsia="宋体"/>
          <w:b/>
          <w:spacing w:val="6"/>
          <w:kern w:val="2"/>
          <w:szCs w:val="24"/>
        </w:rPr>
      </w:pPr>
      <w:bookmarkStart w:id="310" w:name="_Toc10582"/>
      <w:bookmarkStart w:id="311" w:name="_Toc22059"/>
      <w:r>
        <w:rPr>
          <w:rFonts w:hint="eastAsia" w:ascii="宋体" w:hAnsi="宋体" w:eastAsia="宋体" w:cs="宋体"/>
          <w:b/>
          <w:bCs/>
          <w:sz w:val="24"/>
          <w:szCs w:val="24"/>
        </w:rPr>
        <w:t>附件16：</w:t>
      </w:r>
      <w:bookmarkEnd w:id="306"/>
      <w:bookmarkEnd w:id="307"/>
      <w:bookmarkEnd w:id="308"/>
      <w:bookmarkEnd w:id="309"/>
      <w:bookmarkEnd w:id="310"/>
      <w:r>
        <w:rPr>
          <w:rFonts w:hint="eastAsia" w:eastAsia="宋体"/>
          <w:b/>
          <w:spacing w:val="6"/>
          <w:kern w:val="2"/>
          <w:szCs w:val="24"/>
        </w:rPr>
        <w:t>代理服务费承诺书</w:t>
      </w:r>
      <w:bookmarkEnd w:id="311"/>
    </w:p>
    <w:p>
      <w:pPr>
        <w:pStyle w:val="112"/>
        <w:widowControl w:val="0"/>
        <w:adjustRightInd/>
        <w:snapToGrid/>
        <w:ind w:firstLine="0" w:firstLineChars="0"/>
        <w:outlineLvl w:val="9"/>
        <w:rPr>
          <w:rFonts w:eastAsia="宋体"/>
          <w:b/>
          <w:bCs/>
          <w:szCs w:val="24"/>
        </w:rPr>
      </w:pPr>
    </w:p>
    <w:p>
      <w:pPr>
        <w:pStyle w:val="112"/>
        <w:widowControl w:val="0"/>
        <w:adjustRightInd/>
        <w:snapToGrid/>
        <w:ind w:firstLine="0" w:firstLineChars="0"/>
        <w:outlineLvl w:val="9"/>
        <w:rPr>
          <w:rFonts w:hint="eastAsia" w:eastAsia="宋体"/>
          <w:b/>
          <w:bCs/>
          <w:szCs w:val="24"/>
          <w:lang w:eastAsia="zh-CN"/>
        </w:rPr>
      </w:pPr>
      <w:r>
        <w:rPr>
          <w:rFonts w:hint="eastAsia" w:eastAsia="宋体"/>
          <w:b/>
          <w:bCs/>
          <w:szCs w:val="24"/>
        </w:rPr>
        <w:t>致：</w:t>
      </w:r>
      <w:r>
        <w:rPr>
          <w:rFonts w:hint="eastAsia" w:eastAsia="宋体"/>
          <w:b/>
          <w:bCs/>
          <w:szCs w:val="24"/>
          <w:lang w:eastAsia="zh-CN"/>
        </w:rPr>
        <w:t>陇南子午线招标代理有限公司</w:t>
      </w:r>
    </w:p>
    <w:p>
      <w:pPr>
        <w:pStyle w:val="112"/>
        <w:widowControl w:val="0"/>
        <w:adjustRightInd/>
        <w:snapToGrid/>
        <w:outlineLvl w:val="9"/>
        <w:rPr>
          <w:rFonts w:eastAsia="宋体"/>
          <w:szCs w:val="24"/>
        </w:rPr>
      </w:pPr>
      <w:r>
        <w:rPr>
          <w:rFonts w:hint="eastAsia" w:eastAsia="宋体"/>
          <w:szCs w:val="24"/>
        </w:rPr>
        <w:t>我们在贵公司组织的项目（</w:t>
      </w:r>
      <w:r>
        <w:rPr>
          <w:rFonts w:hint="eastAsia" w:eastAsia="宋体"/>
          <w:szCs w:val="24"/>
          <w:lang w:val="en-US" w:eastAsia="zh-CN"/>
        </w:rPr>
        <w:t>项目</w:t>
      </w:r>
      <w:r>
        <w:rPr>
          <w:rFonts w:hint="eastAsia" w:eastAsia="宋体"/>
          <w:szCs w:val="24"/>
        </w:rPr>
        <w:t>编号：），如获成交，我们保证按照招标文件相关规定自愿以电汇、转支支付、现金等方式，向招标公司缴纳代理服务费。</w:t>
      </w:r>
    </w:p>
    <w:p>
      <w:pPr>
        <w:pStyle w:val="112"/>
        <w:widowControl w:val="0"/>
        <w:adjustRightInd/>
        <w:snapToGrid/>
        <w:ind w:firstLine="720" w:firstLineChars="300"/>
        <w:outlineLvl w:val="9"/>
        <w:rPr>
          <w:rFonts w:eastAsia="宋体"/>
          <w:szCs w:val="24"/>
        </w:rPr>
      </w:pPr>
    </w:p>
    <w:p>
      <w:pPr>
        <w:pStyle w:val="112"/>
        <w:widowControl w:val="0"/>
        <w:adjustRightInd/>
        <w:snapToGrid/>
        <w:ind w:firstLine="0" w:firstLineChars="0"/>
        <w:outlineLvl w:val="9"/>
        <w:rPr>
          <w:rFonts w:eastAsia="宋体"/>
          <w:szCs w:val="24"/>
        </w:rPr>
      </w:pPr>
    </w:p>
    <w:p>
      <w:pPr>
        <w:pStyle w:val="112"/>
        <w:widowControl w:val="0"/>
        <w:adjustRightInd/>
        <w:snapToGrid/>
        <w:ind w:firstLine="720" w:firstLineChars="300"/>
        <w:outlineLvl w:val="9"/>
        <w:rPr>
          <w:rFonts w:eastAsia="宋体"/>
          <w:szCs w:val="24"/>
        </w:rPr>
      </w:pPr>
      <w:r>
        <w:rPr>
          <w:rFonts w:hint="eastAsia" w:eastAsia="宋体"/>
          <w:szCs w:val="24"/>
        </w:rPr>
        <w:t xml:space="preserve"> 特此承诺！ </w:t>
      </w:r>
    </w:p>
    <w:p>
      <w:pPr>
        <w:pStyle w:val="112"/>
        <w:widowControl w:val="0"/>
        <w:adjustRightInd/>
        <w:snapToGrid/>
        <w:ind w:firstLine="4560" w:firstLineChars="1900"/>
        <w:outlineLvl w:val="9"/>
        <w:rPr>
          <w:rFonts w:eastAsia="宋体"/>
          <w:szCs w:val="24"/>
          <w:u w:val="single"/>
        </w:rPr>
      </w:pPr>
      <w:r>
        <w:rPr>
          <w:rFonts w:hint="eastAsia" w:eastAsia="宋体"/>
          <w:szCs w:val="24"/>
        </w:rPr>
        <w:t>投标人（盖章）：</w:t>
      </w:r>
    </w:p>
    <w:p>
      <w:pPr>
        <w:pStyle w:val="112"/>
        <w:widowControl w:val="0"/>
        <w:adjustRightInd/>
        <w:snapToGrid/>
        <w:ind w:firstLine="4560" w:firstLineChars="1900"/>
        <w:outlineLvl w:val="9"/>
        <w:rPr>
          <w:rFonts w:eastAsia="宋体"/>
          <w:szCs w:val="24"/>
          <w:u w:val="single"/>
        </w:rPr>
      </w:pPr>
      <w:r>
        <w:rPr>
          <w:rFonts w:hint="eastAsia" w:eastAsia="宋体"/>
          <w:szCs w:val="24"/>
        </w:rPr>
        <w:t>法定代表人或被授权人(签字)：</w:t>
      </w:r>
    </w:p>
    <w:p>
      <w:pPr>
        <w:pStyle w:val="112"/>
        <w:widowControl w:val="0"/>
        <w:adjustRightInd/>
        <w:snapToGrid/>
        <w:ind w:firstLine="3600" w:firstLineChars="1500"/>
        <w:outlineLvl w:val="9"/>
        <w:rPr>
          <w:rFonts w:eastAsia="宋体"/>
          <w:szCs w:val="24"/>
        </w:rPr>
      </w:pPr>
      <w:r>
        <w:rPr>
          <w:rFonts w:hint="eastAsia" w:eastAsia="宋体"/>
          <w:szCs w:val="24"/>
        </w:rPr>
        <w:t xml:space="preserve">        日 期：年月日</w:t>
      </w:r>
    </w:p>
    <w:p>
      <w:pPr>
        <w:pStyle w:val="112"/>
        <w:ind w:firstLine="0" w:firstLineChars="0"/>
        <w:outlineLvl w:val="9"/>
        <w:rPr>
          <w:rFonts w:eastAsia="宋体"/>
          <w:szCs w:val="24"/>
        </w:rPr>
      </w:pPr>
    </w:p>
    <w:p>
      <w:pPr>
        <w:adjustRightInd/>
        <w:snapToGrid/>
        <w:spacing w:after="0" w:line="360" w:lineRule="auto"/>
        <w:jc w:val="both"/>
        <w:textAlignment w:val="baseline"/>
        <w:outlineLvl w:val="9"/>
        <w:rPr>
          <w:rFonts w:ascii="宋体" w:hAnsi="宋体" w:eastAsia="宋体" w:cs="宋体"/>
          <w:b/>
          <w:bCs/>
          <w:sz w:val="24"/>
          <w:szCs w:val="24"/>
        </w:rPr>
      </w:pPr>
      <w:bookmarkStart w:id="312" w:name="_Toc6833"/>
      <w:bookmarkStart w:id="313" w:name="_Toc8331"/>
      <w:bookmarkStart w:id="314" w:name="_Toc7450"/>
      <w:bookmarkStart w:id="315" w:name="_Toc16493"/>
      <w:bookmarkStart w:id="316" w:name="_Toc10941"/>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adjustRightInd/>
        <w:snapToGrid/>
        <w:spacing w:after="0" w:line="360" w:lineRule="auto"/>
        <w:jc w:val="both"/>
        <w:textAlignment w:val="baseline"/>
        <w:outlineLvl w:val="9"/>
        <w:rPr>
          <w:rFonts w:ascii="宋体" w:hAnsi="宋体" w:eastAsia="宋体" w:cs="宋体"/>
          <w:b/>
          <w:bCs/>
          <w:sz w:val="24"/>
          <w:szCs w:val="24"/>
        </w:rPr>
      </w:pPr>
    </w:p>
    <w:p>
      <w:pPr>
        <w:outlineLvl w:val="9"/>
        <w:rPr>
          <w:rFonts w:ascii="宋体" w:hAnsi="宋体" w:eastAsia="宋体" w:cs="宋体"/>
          <w:b/>
          <w:bCs/>
          <w:sz w:val="24"/>
          <w:szCs w:val="24"/>
        </w:rPr>
      </w:pPr>
      <w:bookmarkStart w:id="317" w:name="_Toc26711"/>
      <w:r>
        <w:rPr>
          <w:rFonts w:hint="eastAsia" w:ascii="宋体" w:hAnsi="宋体" w:eastAsia="宋体" w:cs="宋体"/>
          <w:b/>
          <w:bCs/>
          <w:sz w:val="24"/>
          <w:szCs w:val="24"/>
        </w:rPr>
        <w:br w:type="page"/>
      </w:r>
    </w:p>
    <w:p>
      <w:pPr>
        <w:adjustRightInd/>
        <w:snapToGrid/>
        <w:spacing w:after="0" w:line="360" w:lineRule="auto"/>
        <w:jc w:val="center"/>
        <w:textAlignment w:val="baseline"/>
        <w:outlineLvl w:val="9"/>
        <w:rPr>
          <w:rFonts w:ascii="宋体" w:hAnsi="宋体" w:eastAsia="宋体" w:cs="宋体"/>
          <w:b/>
          <w:spacing w:val="6"/>
          <w:kern w:val="2"/>
          <w:sz w:val="24"/>
          <w:szCs w:val="24"/>
        </w:rPr>
      </w:pPr>
      <w:bookmarkStart w:id="318" w:name="_Toc31238"/>
      <w:r>
        <w:rPr>
          <w:rFonts w:hint="eastAsia" w:ascii="宋体" w:hAnsi="宋体" w:eastAsia="宋体" w:cs="宋体"/>
          <w:b/>
          <w:bCs/>
          <w:sz w:val="24"/>
          <w:szCs w:val="24"/>
        </w:rPr>
        <w:t>附件17：</w:t>
      </w:r>
      <w:bookmarkEnd w:id="312"/>
      <w:bookmarkEnd w:id="313"/>
      <w:bookmarkEnd w:id="314"/>
      <w:bookmarkEnd w:id="315"/>
      <w:bookmarkEnd w:id="316"/>
      <w:bookmarkEnd w:id="317"/>
      <w:r>
        <w:rPr>
          <w:rFonts w:hint="eastAsia" w:ascii="宋体" w:hAnsi="宋体" w:eastAsia="宋体" w:cs="宋体"/>
          <w:b/>
          <w:spacing w:val="6"/>
          <w:kern w:val="2"/>
          <w:sz w:val="24"/>
          <w:szCs w:val="24"/>
        </w:rPr>
        <w:t>残疾人福利性单位声明函</w:t>
      </w:r>
      <w:bookmarkEnd w:id="318"/>
    </w:p>
    <w:p>
      <w:pPr>
        <w:adjustRightInd/>
        <w:snapToGrid/>
        <w:spacing w:after="0" w:line="360" w:lineRule="auto"/>
        <w:jc w:val="center"/>
        <w:textAlignment w:val="baseline"/>
        <w:outlineLvl w:val="9"/>
        <w:rPr>
          <w:rFonts w:ascii="宋体" w:hAnsi="宋体" w:eastAsia="宋体" w:cs="宋体"/>
          <w:spacing w:val="6"/>
          <w:kern w:val="2"/>
          <w:sz w:val="24"/>
          <w:szCs w:val="24"/>
        </w:rPr>
      </w:pPr>
      <w:r>
        <w:rPr>
          <w:rFonts w:hint="eastAsia" w:ascii="宋体" w:hAnsi="宋体" w:eastAsia="宋体" w:cs="宋体"/>
          <w:spacing w:val="6"/>
          <w:kern w:val="2"/>
          <w:sz w:val="24"/>
          <w:szCs w:val="24"/>
        </w:rPr>
        <w:t>（非残疾人福利性单位不适用）</w:t>
      </w:r>
    </w:p>
    <w:p>
      <w:pPr>
        <w:adjustRightInd/>
        <w:snapToGrid/>
        <w:spacing w:after="0" w:line="360" w:lineRule="auto"/>
        <w:jc w:val="both"/>
        <w:textAlignment w:val="baseline"/>
        <w:outlineLvl w:val="9"/>
        <w:rPr>
          <w:rFonts w:ascii="宋体" w:hAnsi="宋体" w:eastAsia="宋体" w:cs="宋体"/>
          <w:b/>
          <w:spacing w:val="6"/>
          <w:kern w:val="2"/>
          <w:sz w:val="24"/>
          <w:szCs w:val="24"/>
        </w:rPr>
      </w:pPr>
    </w:p>
    <w:p>
      <w:pPr>
        <w:adjustRightInd/>
        <w:snapToGrid/>
        <w:spacing w:after="0" w:line="360" w:lineRule="auto"/>
        <w:ind w:firstLine="504" w:firstLineChars="200"/>
        <w:jc w:val="both"/>
        <w:textAlignment w:val="baseline"/>
        <w:outlineLvl w:val="9"/>
        <w:rPr>
          <w:rFonts w:ascii="宋体" w:hAnsi="宋体" w:eastAsia="宋体" w:cs="宋体"/>
          <w:spacing w:val="6"/>
          <w:kern w:val="2"/>
          <w:sz w:val="24"/>
          <w:szCs w:val="24"/>
        </w:rPr>
      </w:pPr>
      <w:r>
        <w:rPr>
          <w:rFonts w:hint="eastAsia" w:ascii="宋体" w:hAnsi="宋体" w:eastAsia="宋体" w:cs="宋体"/>
          <w:spacing w:val="6"/>
          <w:kern w:val="2"/>
          <w:sz w:val="24"/>
          <w:szCs w:val="24"/>
        </w:rPr>
        <w:t>本单位郑重声明，根据《财政部 民政部 中国残疾人联合会关于促进残疾人就业政府采购政策的通知》（财库</w:t>
      </w:r>
      <w:r>
        <w:rPr>
          <w:rFonts w:hint="eastAsia" w:ascii="宋体" w:hAnsi="宋体" w:eastAsia="宋体" w:cs="宋体"/>
          <w:kern w:val="2"/>
          <w:sz w:val="24"/>
          <w:szCs w:val="24"/>
        </w:rPr>
        <w:t>〔2017〕141</w:t>
      </w:r>
      <w:r>
        <w:rPr>
          <w:rFonts w:hint="eastAsia" w:ascii="宋体" w:hAnsi="宋体" w:eastAsia="宋体" w:cs="宋体"/>
          <w:spacing w:val="6"/>
          <w:kern w:val="2"/>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snapToGrid/>
        <w:spacing w:after="0" w:line="360" w:lineRule="auto"/>
        <w:ind w:firstLine="504" w:firstLineChars="200"/>
        <w:jc w:val="both"/>
        <w:textAlignment w:val="baseline"/>
        <w:outlineLvl w:val="9"/>
        <w:rPr>
          <w:rFonts w:ascii="宋体" w:hAnsi="宋体" w:eastAsia="宋体" w:cs="宋体"/>
          <w:spacing w:val="6"/>
          <w:kern w:val="2"/>
          <w:sz w:val="24"/>
          <w:szCs w:val="24"/>
        </w:rPr>
      </w:pPr>
      <w:r>
        <w:rPr>
          <w:rFonts w:hint="eastAsia" w:ascii="宋体" w:hAnsi="宋体" w:eastAsia="宋体" w:cs="宋体"/>
          <w:spacing w:val="6"/>
          <w:kern w:val="2"/>
          <w:sz w:val="24"/>
          <w:szCs w:val="24"/>
        </w:rPr>
        <w:t>本单位对上述声明的真实性负责。如有虚假，将依法承担相应责任。</w:t>
      </w:r>
    </w:p>
    <w:p>
      <w:pPr>
        <w:adjustRightInd/>
        <w:snapToGrid/>
        <w:spacing w:after="0" w:line="360" w:lineRule="auto"/>
        <w:ind w:firstLine="504" w:firstLineChars="200"/>
        <w:jc w:val="both"/>
        <w:textAlignment w:val="baseline"/>
        <w:outlineLvl w:val="9"/>
        <w:rPr>
          <w:rFonts w:ascii="宋体" w:hAnsi="宋体" w:eastAsia="宋体" w:cs="宋体"/>
          <w:spacing w:val="6"/>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p>
    <w:p>
      <w:pPr>
        <w:adjustRightInd/>
        <w:snapToGrid/>
        <w:spacing w:after="0" w:line="360" w:lineRule="auto"/>
        <w:ind w:firstLine="3600" w:firstLineChars="15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投标人名称（公章）：</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napToGrid/>
        <w:spacing w:after="0" w:line="360" w:lineRule="auto"/>
        <w:ind w:firstLine="3600" w:firstLineChars="1500"/>
        <w:jc w:val="both"/>
        <w:textAlignment w:val="baseline"/>
        <w:outlineLvl w:val="9"/>
        <w:rPr>
          <w:rFonts w:ascii="宋体" w:hAnsi="宋体" w:eastAsia="宋体" w:cs="宋体"/>
          <w:bCs/>
          <w:kern w:val="2"/>
          <w:sz w:val="24"/>
          <w:szCs w:val="24"/>
          <w:u w:val="single"/>
        </w:rPr>
      </w:pPr>
      <w:r>
        <w:rPr>
          <w:rFonts w:hint="eastAsia" w:ascii="宋体" w:hAnsi="宋体" w:eastAsia="宋体" w:cs="宋体"/>
          <w:bCs/>
          <w:kern w:val="2"/>
          <w:sz w:val="24"/>
          <w:szCs w:val="24"/>
        </w:rPr>
        <w:t>法定代表人或授权代表人（签字）：</w:t>
      </w:r>
    </w:p>
    <w:p>
      <w:pPr>
        <w:adjustRightInd/>
        <w:snapToGrid/>
        <w:spacing w:after="0" w:line="360" w:lineRule="auto"/>
        <w:jc w:val="both"/>
        <w:textAlignment w:val="baseline"/>
        <w:outlineLvl w:val="9"/>
        <w:rPr>
          <w:rFonts w:ascii="宋体" w:hAnsi="宋体" w:eastAsia="宋体" w:cs="宋体"/>
          <w:bCs/>
          <w:kern w:val="2"/>
          <w:sz w:val="24"/>
          <w:szCs w:val="24"/>
        </w:rPr>
      </w:pPr>
    </w:p>
    <w:p>
      <w:pPr>
        <w:adjustRightInd/>
        <w:spacing w:after="0" w:line="360" w:lineRule="auto"/>
        <w:ind w:firstLine="3600" w:firstLineChars="1500"/>
        <w:jc w:val="both"/>
        <w:textAlignment w:val="baseline"/>
        <w:outlineLvl w:val="9"/>
        <w:rPr>
          <w:rFonts w:ascii="宋体" w:hAnsi="宋体" w:eastAsia="宋体" w:cs="宋体"/>
          <w:b/>
          <w:bCs/>
          <w:kern w:val="2"/>
          <w:sz w:val="24"/>
          <w:szCs w:val="24"/>
        </w:rPr>
      </w:pPr>
      <w:r>
        <w:rPr>
          <w:rFonts w:hint="eastAsia" w:ascii="宋体" w:hAnsi="宋体" w:eastAsia="宋体" w:cs="宋体"/>
          <w:bCs/>
          <w:kern w:val="2"/>
          <w:sz w:val="24"/>
          <w:szCs w:val="24"/>
        </w:rPr>
        <w:t>日期：   年   月   日</w:t>
      </w:r>
    </w:p>
    <w:p>
      <w:pPr>
        <w:adjustRightInd/>
        <w:snapToGrid/>
        <w:spacing w:after="0" w:line="360" w:lineRule="auto"/>
        <w:jc w:val="center"/>
        <w:textAlignment w:val="baseline"/>
        <w:outlineLvl w:val="9"/>
        <w:rPr>
          <w:rFonts w:ascii="宋体" w:hAnsi="宋体" w:eastAsia="宋体" w:cs="宋体"/>
          <w:b/>
          <w:kern w:val="2"/>
          <w:sz w:val="24"/>
          <w:szCs w:val="24"/>
        </w:rPr>
      </w:pPr>
    </w:p>
    <w:p>
      <w:pPr>
        <w:adjustRightInd/>
        <w:snapToGrid/>
        <w:spacing w:after="0" w:line="360" w:lineRule="auto"/>
        <w:jc w:val="center"/>
        <w:textAlignment w:val="baseline"/>
        <w:outlineLvl w:val="9"/>
        <w:rPr>
          <w:rFonts w:ascii="宋体" w:hAnsi="宋体" w:eastAsia="宋体" w:cs="宋体"/>
          <w:b/>
          <w:kern w:val="2"/>
          <w:sz w:val="24"/>
          <w:szCs w:val="24"/>
        </w:rPr>
      </w:pPr>
    </w:p>
    <w:p>
      <w:pPr>
        <w:pStyle w:val="8"/>
        <w:ind w:firstLine="0" w:firstLineChars="0"/>
        <w:outlineLvl w:val="9"/>
        <w:rPr>
          <w:rFonts w:hAnsi="宋体" w:eastAsia="宋体" w:cs="宋体"/>
          <w:sz w:val="24"/>
          <w:szCs w:val="24"/>
          <w:lang w:eastAsia="zh-CN"/>
        </w:rPr>
      </w:pPr>
    </w:p>
    <w:p>
      <w:pPr>
        <w:adjustRightInd/>
        <w:snapToGrid/>
        <w:spacing w:after="0" w:line="360" w:lineRule="auto"/>
        <w:jc w:val="both"/>
        <w:textAlignment w:val="baseline"/>
        <w:outlineLvl w:val="9"/>
        <w:rPr>
          <w:rFonts w:ascii="宋体" w:hAnsi="宋体" w:eastAsia="宋体" w:cs="宋体"/>
          <w:b/>
          <w:bCs/>
          <w:sz w:val="24"/>
          <w:szCs w:val="24"/>
        </w:rPr>
        <w:sectPr>
          <w:pgSz w:w="11907" w:h="16840"/>
          <w:pgMar w:top="1213" w:right="1514" w:bottom="1247" w:left="1888" w:header="851" w:footer="590" w:gutter="0"/>
          <w:pgNumType w:fmt="decimal"/>
          <w:cols w:space="720" w:num="1"/>
          <w:titlePg/>
          <w:docGrid w:linePitch="312" w:charSpace="0"/>
        </w:sectPr>
      </w:pPr>
      <w:bookmarkStart w:id="319" w:name="_Toc18689"/>
      <w:bookmarkStart w:id="320" w:name="_Toc18583"/>
      <w:bookmarkStart w:id="321" w:name="_Toc22950"/>
      <w:bookmarkStart w:id="322" w:name="_Toc12286"/>
      <w:bookmarkStart w:id="323" w:name="_Toc9322"/>
    </w:p>
    <w:p>
      <w:pPr>
        <w:adjustRightInd/>
        <w:snapToGrid/>
        <w:spacing w:after="0" w:line="360" w:lineRule="auto"/>
        <w:textAlignment w:val="baseline"/>
        <w:outlineLvl w:val="9"/>
        <w:rPr>
          <w:rFonts w:ascii="宋体" w:hAnsi="宋体" w:eastAsia="宋体" w:cs="宋体"/>
          <w:b/>
          <w:kern w:val="2"/>
          <w:sz w:val="24"/>
          <w:szCs w:val="24"/>
        </w:rPr>
      </w:pPr>
      <w:bookmarkStart w:id="324" w:name="_Toc17673"/>
      <w:bookmarkStart w:id="325" w:name="_Toc29311"/>
      <w:r>
        <w:rPr>
          <w:rFonts w:hint="eastAsia" w:ascii="宋体" w:hAnsi="宋体" w:eastAsia="宋体" w:cs="宋体"/>
          <w:b/>
          <w:bCs/>
          <w:sz w:val="24"/>
          <w:szCs w:val="24"/>
        </w:rPr>
        <w:t>附件18：</w:t>
      </w:r>
      <w:bookmarkEnd w:id="319"/>
      <w:bookmarkEnd w:id="320"/>
      <w:bookmarkEnd w:id="321"/>
      <w:bookmarkEnd w:id="322"/>
      <w:bookmarkEnd w:id="323"/>
      <w:bookmarkEnd w:id="324"/>
      <w:r>
        <w:rPr>
          <w:rFonts w:hint="eastAsia" w:ascii="宋体" w:hAnsi="宋体" w:eastAsia="宋体" w:cs="宋体"/>
          <w:b/>
          <w:kern w:val="2"/>
          <w:sz w:val="24"/>
          <w:szCs w:val="24"/>
        </w:rPr>
        <w:t>关于印发《政府采购促进中小企业发展管理办法》的通知</w:t>
      </w:r>
      <w:bookmarkEnd w:id="325"/>
    </w:p>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财库〔2020〕46号</w:t>
      </w:r>
    </w:p>
    <w:p>
      <w:pPr>
        <w:adjustRightInd/>
        <w:snapToGrid/>
        <w:spacing w:after="0" w:line="360" w:lineRule="auto"/>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各中央预算单位办公厅（室），各省、自治区、直辖市、计划单列市财政厅（局）、工业和信息化主管部门，新疆生产建设兵团财政局、工业和信息化主管部门：</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政府采购促进中小企业发展管理办法</w:t>
      </w:r>
    </w:p>
    <w:p>
      <w:pPr>
        <w:pStyle w:val="8"/>
        <w:ind w:firstLine="480"/>
        <w:outlineLvl w:val="9"/>
        <w:rPr>
          <w:rFonts w:hAnsi="宋体" w:eastAsia="宋体" w:cs="宋体"/>
          <w:sz w:val="24"/>
          <w:szCs w:val="24"/>
          <w:lang w:eastAsia="zh-CN"/>
        </w:rPr>
      </w:pPr>
    </w:p>
    <w:p>
      <w:pPr>
        <w:adjustRightInd/>
        <w:snapToGrid/>
        <w:spacing w:after="0" w:line="360" w:lineRule="auto"/>
        <w:ind w:firstLine="4320" w:firstLineChars="18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财 政 部</w:t>
      </w: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工业和信息化部</w:t>
      </w:r>
    </w:p>
    <w:p>
      <w:pPr>
        <w:adjustRightInd/>
        <w:snapToGrid/>
        <w:spacing w:after="0" w:line="360" w:lineRule="auto"/>
        <w:ind w:firstLine="3840" w:firstLineChars="16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2020年12月18日</w:t>
      </w: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both"/>
        <w:textAlignment w:val="baseline"/>
        <w:outlineLvl w:val="9"/>
        <w:rPr>
          <w:rFonts w:ascii="宋体" w:hAnsi="宋体" w:eastAsia="宋体" w:cs="宋体"/>
          <w:b/>
          <w:kern w:val="2"/>
          <w:sz w:val="24"/>
          <w:szCs w:val="24"/>
        </w:rPr>
        <w:sectPr>
          <w:pgSz w:w="11907" w:h="16840"/>
          <w:pgMar w:top="1213" w:right="1514" w:bottom="1247" w:left="1888" w:header="851" w:footer="590" w:gutter="0"/>
          <w:pgNumType w:fmt="decimal"/>
          <w:cols w:space="720" w:num="1"/>
          <w:titlePg/>
          <w:docGrid w:linePitch="312" w:charSpace="0"/>
        </w:sectPr>
      </w:pPr>
    </w:p>
    <w:p>
      <w:pPr>
        <w:adjustRightInd/>
        <w:snapToGrid/>
        <w:spacing w:after="0" w:line="360" w:lineRule="auto"/>
        <w:jc w:val="both"/>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附件：</w:t>
      </w:r>
    </w:p>
    <w:p>
      <w:pPr>
        <w:adjustRightInd/>
        <w:snapToGrid/>
        <w:spacing w:after="0" w:line="360" w:lineRule="auto"/>
        <w:jc w:val="center"/>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政府采购促进中小企业发展管理办法</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第一条 为了发挥政府采购的政策功能，促进中小企业健康发展，根据《中华人民共和国政府采购法》、《中华人民共和国中小企业促进法》等有关法律法规，制定本办法。</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第三条 采购人在政府采购活动中应当通过加强采购需求管理，落实预留采购份额、价格评审优惠、优先采购等措施，提高中小企业在政府采购中的份额，支持中小企业发展。</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第四条 在政府采购活动中，供应商提供的货物、工程或者服务符合下列情形的，享受本办法规定的中小企业扶持政策：</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（一）在货物采购项目中，货物由中小企业制造，即货 物由中小企业生产且使用该中小企业商号或者注册商标；</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（二）在工程采购项目中，工程由中小企业承建，即工程施工单位为中小企业；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（三）在服务采购项目中，服务由中小企业承接，即提供服务的人员为中小企业依照《中华人民共和国劳动合同法》订立劳动合同的从业人员。</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在货物采购项目中，供应商提供的货物既有中小企业制造货物，也有大型企业制造货物的，不享受本办法规定的中小企业扶持政策。</w:t>
      </w:r>
    </w:p>
    <w:p>
      <w:pPr>
        <w:adjustRightInd/>
        <w:snapToGrid/>
        <w:spacing w:after="0" w:line="360" w:lineRule="auto"/>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以联合体形式参加政府采购活动，联合体各方均为中小企业的，联合体视同中小企业。其中，联合体各方均为小微企业的，联合体视同小微企业。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符合下列情形之一的，可不专门面向中小企业预留采购份额：</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（一）法律法规和国家有关政策明确规定优先或者应当面向事业单位、社会组织等非企业主体采购的；</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（二）因确需使用不可替代的专利、专有技术，基础设施限制，或者提供特定公共服务等原因，只能从中小企业之外的供应商处采购的；</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（三）按照本办法规定预留采购份额无法确保充分供应、充分竞争，或者存在可能影响政府采购目标实现的情形；</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（四）框架协议采购项目；</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（五）省级以上人民政府财政部门规定的其他情形。 除上述情形外，其他均为适宜由中小企业提供的情形。</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第七条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采购限额标准以上，200 万元以下的货物和服务采购项目、400 万元以下的工程采购项目，适宜由中小企业提供的，采购人应当专门面向中小企业采购。</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第八条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（一）将采购项目整体或者设置采购包专门面向中小企业采购；</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（二）要求供应商以联合体形式参加采购活动，且联合体中中小企业承担的部分达到一定比例；</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（三）要求获得采购合同的供应商将采购项目中的一定比例分包给一家或者多家中小企业。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组成联合体或者接受分包合同的中小企业与联合体内 其他企业、分包企业之间不得存在直接控股、管理关系。</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 3%—5%作为其价格分。</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第十一条 中小企业参加政府采购活动，应当出具本办法规定的《中小企业声明函》（附 1），否则不得享受相关中小企业扶持政策。任何单位和个人不得要求供应商提供《中 小企业声明函》之外的中小企业身份证明文件。</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第十二条 采购项目涉及中小企业采购的，采购文件应当明确以下内容：</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（一）预留份额的采购项目或者采购包，明确该项目或相关采购包专门面向中小企业采购，以及相关标的及预算金额；</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（二）要求以联合体形式参加或者合同分包的，明确联合协议或者分包意向协议中中小企业合同金额应当达到的比例，并作为供应商资格条件；</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（三）非预留份额的采购项目或者采购包，明确有关价格扣除比例或者价格分加分比例；</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（四）规定依据本办法规定享受扶持政策获得政府采购合同的，小微企业不得将合同分包给大中型企业，中型企业不得将合同分包给大型企业；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（五）采购人认为具备相关条件的，明确对中小企业在资金支付期限、预付款比例等方面的优惠措施；</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（六）明确采购标的对应的中小企业划分标准所属行业；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（七）法律法规和省级以上人民政府财政部门规定的其他事项。</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lang w:val="zh-CN"/>
        </w:rPr>
        <w:t>第十三条</w:t>
      </w:r>
      <w:r>
        <w:rPr>
          <w:rFonts w:hint="eastAsia" w:ascii="宋体" w:hAnsi="宋体" w:eastAsia="宋体" w:cs="宋体"/>
          <w:bCs/>
          <w:kern w:val="2"/>
          <w:sz w:val="24"/>
          <w:szCs w:val="24"/>
          <w:lang w:val="zh-CN"/>
        </w:rPr>
        <w:tab/>
      </w:r>
      <w:r>
        <w:rPr>
          <w:rFonts w:hint="eastAsia" w:ascii="宋体" w:hAnsi="宋体" w:eastAsia="宋体" w:cs="宋体"/>
          <w:bCs/>
          <w:kern w:val="2"/>
          <w:sz w:val="24"/>
          <w:szCs w:val="24"/>
          <w:lang w:val="zh-CN"/>
        </w:rPr>
        <w:t>中标、成交供应商享受本办法规定的中小企业扶持政策的，采购人、采购代理机构应当随中标、成交结果公开中标、成交供应商的《中小企业声明函》。</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适用招标投标法的政府采购工程建设项目，应当在公示中标候选人时公开中标候选人的《中小企业声明函》。</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第十五条 鼓励各地区、各部门在采购活动中允许中小企业引入信用担保手段，为中小企业在投标（响应）保证、履约保证等方面提供专业化服务。鼓励中小企业依法合规通过政府采购合同融资。</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第十六条 政府采购监督检查、投诉处理及政府采购行政处罚中对中小企业的认定，由货物制造商或者工程、服务供应商注册登记所在地的县级以上人民政府中小企业主管 部门负责。</w:t>
      </w:r>
    </w:p>
    <w:p>
      <w:pPr>
        <w:adjustRightInd/>
        <w:snapToGrid/>
        <w:spacing w:after="0" w:line="360" w:lineRule="auto"/>
        <w:ind w:firstLine="720" w:firstLineChars="3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中小企业主管部门应当在收到财政部门或者有关招标 投标行政监督部门关于协助开展中小企业认定函后 10 个工作日内做出书面答复。</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第十七条</w:t>
      </w:r>
      <w:r>
        <w:rPr>
          <w:rFonts w:hint="eastAsia" w:ascii="宋体" w:hAnsi="宋体" w:eastAsia="宋体" w:cs="宋体"/>
          <w:bCs/>
          <w:kern w:val="2"/>
          <w:sz w:val="24"/>
          <w:szCs w:val="24"/>
        </w:rPr>
        <w:t xml:space="preserve"> </w:t>
      </w:r>
      <w:r>
        <w:rPr>
          <w:rFonts w:hint="eastAsia" w:ascii="宋体" w:hAnsi="宋体" w:eastAsia="宋体" w:cs="宋体"/>
          <w:bCs/>
          <w:kern w:val="2"/>
          <w:sz w:val="24"/>
          <w:szCs w:val="24"/>
          <w:lang w:val="zh-CN"/>
        </w:rPr>
        <w:t>各地区、各部门应当对涉及中小企业采购的 预算项目实施全过程绩效管理，合理设置绩效目标和指标， 落实扶持中小企业有关政策要求，定期开展绩效监控和评价，强化绩效评价结果应用。</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第十八条</w:t>
      </w:r>
      <w:r>
        <w:rPr>
          <w:rFonts w:hint="eastAsia" w:ascii="宋体" w:hAnsi="宋体" w:eastAsia="宋体" w:cs="宋体"/>
          <w:bCs/>
          <w:kern w:val="2"/>
          <w:sz w:val="24"/>
          <w:szCs w:val="24"/>
        </w:rPr>
        <w:t xml:space="preserve">  </w:t>
      </w:r>
      <w:r>
        <w:rPr>
          <w:rFonts w:hint="eastAsia" w:ascii="宋体" w:hAnsi="宋体" w:eastAsia="宋体" w:cs="宋体"/>
          <w:bCs/>
          <w:kern w:val="2"/>
          <w:sz w:val="24"/>
          <w:szCs w:val="24"/>
          <w:lang w:val="zh-CN"/>
        </w:rPr>
        <w:t xml:space="preserve">主管预算单位应当自 2022 年起向同级财政部门报告本部门上一年度面向中小企业预留份额和采购的具体情况，并在中国政府采购网公开预留项目执行情况(附 2)。未达到本办法规定的预留份额比例的，应当作出说明。 </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第十九条</w:t>
      </w:r>
      <w:r>
        <w:rPr>
          <w:rFonts w:hint="eastAsia" w:ascii="宋体" w:hAnsi="宋体" w:eastAsia="宋体" w:cs="宋体"/>
          <w:bCs/>
          <w:kern w:val="2"/>
          <w:sz w:val="24"/>
          <w:szCs w:val="24"/>
          <w:lang w:val="en-US" w:eastAsia="zh-CN"/>
        </w:rPr>
        <w:t xml:space="preserve">  </w:t>
      </w:r>
      <w:r>
        <w:rPr>
          <w:rFonts w:hint="eastAsia" w:ascii="宋体" w:hAnsi="宋体" w:eastAsia="宋体" w:cs="宋体"/>
          <w:bCs/>
          <w:kern w:val="2"/>
          <w:sz w:val="24"/>
          <w:szCs w:val="24"/>
          <w:lang w:val="zh-CN"/>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第二十条 供应商按照本办法规定提供声明函内容不实的，属于提供虚假材料谋取中标、成交，依照《中华人民共和国政府采购法》等国家有关规定追究相应责任。</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适用招标投标法的政府采购工程建设项目，投标人按照 本办法规定提供声明函内容不实的，属于弄虚作假骗取中标， 依照《中华人民共和国招标投标法》等国家有关规定追究相应责任。</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有关规定追究相应责任；涉嫌犯罪的，依法移送有关国家机关处理。</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第二十二条 对外援助项目、国家相关资格或者资质管理制度另有规定的项目，不适用本办法。</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第二十三条 关于视同中小企业的其他主体的政府采购扶持政策，由财政部会同有关部门另行规定。</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lang w:val="zh-CN"/>
        </w:rPr>
      </w:pPr>
      <w:r>
        <w:rPr>
          <w:rFonts w:hint="eastAsia" w:ascii="宋体" w:hAnsi="宋体" w:eastAsia="宋体" w:cs="宋体"/>
          <w:bCs/>
          <w:kern w:val="2"/>
          <w:sz w:val="24"/>
          <w:szCs w:val="24"/>
          <w:lang w:val="zh-CN"/>
        </w:rPr>
        <w:t>第二十四条 省级财政部门可以会同中小企业主管部门根据本办法的规定制定具体实施办法。</w:t>
      </w:r>
    </w:p>
    <w:p>
      <w:pPr>
        <w:adjustRightInd/>
        <w:snapToGrid/>
        <w:spacing w:after="0" w:line="360" w:lineRule="auto"/>
        <w:ind w:firstLine="480" w:firstLineChars="200"/>
        <w:jc w:val="both"/>
        <w:textAlignment w:val="baseline"/>
        <w:outlineLvl w:val="9"/>
        <w:rPr>
          <w:rFonts w:ascii="宋体" w:hAnsi="宋体" w:eastAsia="宋体" w:cs="宋体"/>
          <w:b/>
          <w:kern w:val="2"/>
          <w:sz w:val="24"/>
          <w:szCs w:val="24"/>
          <w:lang w:val="zh-CN"/>
        </w:rPr>
      </w:pPr>
      <w:r>
        <w:rPr>
          <w:rFonts w:hint="eastAsia" w:ascii="宋体" w:hAnsi="宋体" w:eastAsia="宋体" w:cs="宋体"/>
          <w:bCs/>
          <w:kern w:val="2"/>
          <w:sz w:val="24"/>
          <w:szCs w:val="24"/>
          <w:lang w:val="zh-CN"/>
        </w:rPr>
        <w:t>第二十五条 本办法自 2021 年 1 月 1 日起施行。《财政部工业和信息化部关于印发〈政府采购促进中小企业发展管理办法〉的通知》（财库﹝2011﹞181 号）同时废止。</w:t>
      </w:r>
    </w:p>
    <w:p>
      <w:pPr>
        <w:adjustRightInd/>
        <w:snapToGrid/>
        <w:spacing w:after="0" w:line="360" w:lineRule="auto"/>
        <w:jc w:val="both"/>
        <w:textAlignment w:val="baseline"/>
        <w:outlineLvl w:val="9"/>
        <w:rPr>
          <w:rFonts w:ascii="宋体" w:hAnsi="宋体" w:eastAsia="宋体" w:cs="宋体"/>
          <w:b/>
          <w:kern w:val="2"/>
          <w:sz w:val="24"/>
          <w:szCs w:val="24"/>
        </w:rPr>
        <w:sectPr>
          <w:pgSz w:w="11907" w:h="16840"/>
          <w:pgMar w:top="1213" w:right="1514" w:bottom="1247" w:left="1888" w:header="851" w:footer="590" w:gutter="0"/>
          <w:pgNumType w:fmt="decimal"/>
          <w:cols w:space="720" w:num="1"/>
          <w:titlePg/>
          <w:docGrid w:linePitch="312" w:charSpace="0"/>
        </w:sectPr>
      </w:pPr>
    </w:p>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财政部关于进一步加大政府采购支持中小企业力度的通知</w:t>
      </w:r>
    </w:p>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t>财库〔2022〕19号</w:t>
      </w:r>
    </w:p>
    <w:p>
      <w:pPr>
        <w:adjustRightInd/>
        <w:snapToGrid/>
        <w:spacing w:after="0" w:line="360" w:lineRule="auto"/>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各中央预算单位，各省、自治区、直辖市、计划单列市财政厅（局），新疆生产建设兵团财政局：</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为贯彻落实《</w:t>
      </w:r>
      <w:r>
        <w:fldChar w:fldCharType="begin"/>
      </w:r>
      <w:r>
        <w:instrText xml:space="preserve"> HYPERLINK "https://www.waizi.org.cn/doc/132590.html" \t "https://www.waizi.org.cn/doc/_blank" \o "国发〔2022〕12号《国务院关于印发扎实稳住经济一揽子政策措施的通知》" </w:instrText>
      </w:r>
      <w:r>
        <w:fldChar w:fldCharType="separate"/>
      </w:r>
      <w:r>
        <w:rPr>
          <w:rFonts w:hint="eastAsia" w:ascii="宋体" w:hAnsi="宋体" w:eastAsia="宋体" w:cs="宋体"/>
          <w:bCs/>
          <w:kern w:val="2"/>
          <w:sz w:val="24"/>
          <w:szCs w:val="24"/>
        </w:rPr>
        <w:t>国务院关于印发扎实稳住经济一揽子政策措施的通知</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w:t>
      </w:r>
      <w:r>
        <w:fldChar w:fldCharType="begin"/>
      </w:r>
      <w:r>
        <w:instrText xml:space="preserve"> HYPERLINK "https://www.waizi.org.cn/doc/132590.html" \t "https://www.waizi.org.cn/doc/_blank" \o "国发〔2022〕12号《国务院关于印发扎实稳住经济一揽子政策措施的通知》" </w:instrText>
      </w:r>
      <w:r>
        <w:fldChar w:fldCharType="separate"/>
      </w:r>
      <w:r>
        <w:rPr>
          <w:rFonts w:hint="eastAsia" w:ascii="宋体" w:hAnsi="宋体" w:eastAsia="宋体" w:cs="宋体"/>
          <w:bCs/>
          <w:kern w:val="2"/>
          <w:sz w:val="24"/>
          <w:szCs w:val="24"/>
        </w:rPr>
        <w:t>国发〔2022〕12号</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）有关要求，做好财政政策支持中小企业纾困解难工作，助力经济平稳健康发展，现就加大政府采购支持中小企业力度有关事项通知如下：</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一、严格落实支持中小企业政府采购政策。各地区、各部门要按照国务院的统一部署，认真落实《</w:t>
      </w:r>
      <w:r>
        <w:fldChar w:fldCharType="begin"/>
      </w:r>
      <w:r>
        <w:instrText xml:space="preserve"> HYPERLINK "https://www.waizi.org.cn/doc/97301.html" \t "https://www.waizi.org.cn/doc/_blank" \o "财库〔2020〕46号《财政部工业和信息化部关于印发〈政府采购促进中小企业发展管理办法〉的通知》" </w:instrText>
      </w:r>
      <w:r>
        <w:fldChar w:fldCharType="separate"/>
      </w:r>
      <w:r>
        <w:rPr>
          <w:rFonts w:hint="eastAsia" w:ascii="宋体" w:hAnsi="宋体" w:eastAsia="宋体" w:cs="宋体"/>
          <w:bCs/>
          <w:kern w:val="2"/>
          <w:sz w:val="24"/>
          <w:szCs w:val="24"/>
        </w:rPr>
        <w:t>政府采购促进中小企业发展管理办法</w:t>
      </w:r>
      <w:r>
        <w:rPr>
          <w:rFonts w:hint="eastAsia" w:ascii="宋体" w:hAnsi="宋体" w:eastAsia="宋体" w:cs="宋体"/>
          <w:bCs/>
          <w:kern w:val="2"/>
          <w:sz w:val="24"/>
          <w:szCs w:val="24"/>
        </w:rPr>
        <w:fldChar w:fldCharType="end"/>
      </w:r>
      <w:r>
        <w:rPr>
          <w:rFonts w:hint="eastAsia" w:ascii="宋体" w:hAnsi="宋体" w:eastAsia="宋体" w:cs="宋体"/>
          <w:bCs/>
          <w:kern w:val="2"/>
          <w:sz w:val="24"/>
          <w:szCs w:val="24"/>
        </w:rPr>
        <w:t>》（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四、认真做好组织实施。各地区、各部门应当加强组织领导，明确工作责任，细化执行要求，强化监督检查，确保国务院部署落实到位，对通知执行中出现的问题要及时向财政部报告。</w:t>
      </w:r>
    </w:p>
    <w:p>
      <w:pPr>
        <w:adjustRightInd/>
        <w:snapToGrid/>
        <w:spacing w:after="0" w:line="360" w:lineRule="auto"/>
        <w:ind w:firstLine="480" w:firstLineChars="200"/>
        <w:jc w:val="both"/>
        <w:textAlignment w:val="baseline"/>
        <w:outlineLvl w:val="9"/>
        <w:rPr>
          <w:rFonts w:ascii="宋体" w:hAnsi="宋体" w:eastAsia="宋体" w:cs="宋体"/>
          <w:bCs/>
          <w:kern w:val="2"/>
          <w:sz w:val="24"/>
          <w:szCs w:val="24"/>
        </w:rPr>
      </w:pPr>
      <w:r>
        <w:rPr>
          <w:rFonts w:hint="eastAsia" w:ascii="宋体" w:hAnsi="宋体" w:eastAsia="宋体" w:cs="宋体"/>
          <w:bCs/>
          <w:kern w:val="2"/>
          <w:sz w:val="24"/>
          <w:szCs w:val="24"/>
        </w:rPr>
        <w:t>本通知自2022年7月1日起执行。</w:t>
      </w:r>
    </w:p>
    <w:p>
      <w:pPr>
        <w:adjustRightInd/>
        <w:snapToGrid/>
        <w:spacing w:after="0" w:line="360" w:lineRule="auto"/>
        <w:jc w:val="both"/>
        <w:textAlignment w:val="baseline"/>
        <w:outlineLvl w:val="9"/>
        <w:rPr>
          <w:rFonts w:ascii="宋体" w:hAnsi="宋体" w:eastAsia="宋体" w:cs="宋体"/>
          <w:b/>
          <w:kern w:val="2"/>
          <w:sz w:val="24"/>
          <w:szCs w:val="24"/>
        </w:rPr>
      </w:pPr>
    </w:p>
    <w:p>
      <w:pPr>
        <w:adjustRightInd/>
        <w:snapToGrid/>
        <w:spacing w:after="0" w:line="360" w:lineRule="auto"/>
        <w:jc w:val="center"/>
        <w:textAlignment w:val="baseline"/>
        <w:outlineLvl w:val="9"/>
        <w:rPr>
          <w:rFonts w:ascii="宋体" w:hAnsi="宋体" w:eastAsia="宋体" w:cs="宋体"/>
          <w:b/>
          <w:kern w:val="2"/>
          <w:sz w:val="24"/>
          <w:szCs w:val="24"/>
        </w:rPr>
      </w:pPr>
      <w:r>
        <w:rPr>
          <w:rFonts w:hint="eastAsia" w:ascii="宋体" w:hAnsi="宋体" w:eastAsia="宋体" w:cs="宋体"/>
          <w:b/>
          <w:kern w:val="2"/>
          <w:sz w:val="24"/>
          <w:szCs w:val="24"/>
        </w:rPr>
        <w:br w:type="page"/>
      </w:r>
      <w:bookmarkStart w:id="326" w:name="_Toc27177"/>
      <w:bookmarkStart w:id="327" w:name="_Toc23489"/>
      <w:bookmarkStart w:id="328" w:name="_Toc2021"/>
      <w:bookmarkStart w:id="329" w:name="_Toc21815"/>
      <w:bookmarkStart w:id="330" w:name="_Toc14241"/>
      <w:bookmarkStart w:id="331" w:name="_Toc9693"/>
      <w:bookmarkStart w:id="332" w:name="_Toc27308"/>
      <w:r>
        <w:rPr>
          <w:rFonts w:hint="eastAsia" w:ascii="宋体" w:hAnsi="宋体" w:eastAsia="宋体" w:cs="宋体"/>
          <w:b/>
          <w:bCs/>
          <w:sz w:val="24"/>
          <w:szCs w:val="24"/>
        </w:rPr>
        <w:t>附件19：</w:t>
      </w:r>
      <w:bookmarkEnd w:id="326"/>
      <w:bookmarkEnd w:id="327"/>
      <w:bookmarkEnd w:id="328"/>
      <w:bookmarkEnd w:id="329"/>
      <w:bookmarkEnd w:id="330"/>
      <w:bookmarkEnd w:id="331"/>
      <w:r>
        <w:rPr>
          <w:rFonts w:hint="eastAsia" w:ascii="宋体" w:hAnsi="宋体" w:eastAsia="宋体" w:cs="宋体"/>
          <w:b/>
          <w:kern w:val="2"/>
          <w:sz w:val="24"/>
          <w:szCs w:val="24"/>
        </w:rPr>
        <w:t>中小企业划型标准规定</w:t>
      </w:r>
      <w:bookmarkEnd w:id="332"/>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一、根据《中华人民共和国中小企业促进法》和《国务院关于进一步促进中小企业发展的若干意见》(国发〔2009〕36号)，制定本规定。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二、中小企业划分为中型、小型、微型三种类型，具体标准根据企业从业人员、营业收入、资产总额等指标，结合行业特点制定。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它未列明行业（包括科学研究和技术服务业，水利、环境和公共设施管理业，居民服务、修理和其它服务业，社会工作，文化、体育和娱乐业等）。</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四、各行业划型标准为：</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（一）农、林、牧、渔业。营业收入20000万元以下的为中小微型企业。其中，营业收入500万元及以上的为中型企业，营业收入50万元及以上的为小型企业，营业收入50万元以下的为微型企业。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（十六）其它未列明行业。从业人员300人以下的为中小微型企业。其中，从业人员100人及以上的为中型企业；从业人员10人及以上的为小型企业；从业人员10人以下的为微型企业。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五、企业类型的划分以统计部门的统计数据为依据。</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六、本规定适用于在中华人民共和国境内依法设立的各类所有制和各种组织形式的企业。个体工商户和本规定以外的行业，参照本规定进行划型。</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八、本规定由工业和信息化部、国家统计局会同有关部门根据《国民经济行业分类》修订情况和企业发展变化情况适时修订。</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九、本规定由工业和信息化部、国家统计局会同有关部门负责解释。</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十、本规定自发布之日起执行，原国家经贸委、原国家计委、财政部和国家统计局2003年颁布的《中小企业标准暂行规定》同时废止。</w:t>
      </w:r>
    </w:p>
    <w:p>
      <w:pPr>
        <w:pStyle w:val="8"/>
        <w:ind w:firstLine="0" w:firstLineChars="0"/>
        <w:outlineLvl w:val="9"/>
        <w:rPr>
          <w:rFonts w:hAnsi="宋体" w:eastAsia="宋体" w:cs="宋体"/>
          <w:kern w:val="2"/>
          <w:sz w:val="24"/>
          <w:szCs w:val="24"/>
          <w:lang w:eastAsia="zh-CN"/>
        </w:rPr>
      </w:pPr>
    </w:p>
    <w:p>
      <w:pPr>
        <w:adjustRightInd/>
        <w:snapToGrid/>
        <w:spacing w:after="0" w:line="360" w:lineRule="auto"/>
        <w:jc w:val="center"/>
        <w:textAlignment w:val="baseline"/>
        <w:outlineLvl w:val="9"/>
        <w:rPr>
          <w:rFonts w:ascii="宋体" w:hAnsi="宋体" w:eastAsia="宋体" w:cs="宋体"/>
          <w:b/>
          <w:kern w:val="2"/>
          <w:sz w:val="24"/>
          <w:szCs w:val="24"/>
        </w:rPr>
      </w:pPr>
      <w:bookmarkStart w:id="333" w:name="_Toc25438"/>
      <w:bookmarkStart w:id="334" w:name="_Toc13080"/>
      <w:bookmarkStart w:id="335" w:name="_Toc6932"/>
      <w:bookmarkStart w:id="336" w:name="_Toc14193"/>
      <w:bookmarkStart w:id="337" w:name="_Toc1484"/>
      <w:bookmarkStart w:id="338" w:name="_Toc21569"/>
      <w:bookmarkStart w:id="339" w:name="_Toc29769"/>
      <w:r>
        <w:rPr>
          <w:rFonts w:hint="eastAsia" w:ascii="宋体" w:hAnsi="宋体" w:eastAsia="宋体" w:cs="宋体"/>
          <w:b/>
          <w:bCs/>
          <w:sz w:val="24"/>
          <w:szCs w:val="24"/>
        </w:rPr>
        <w:t>附件20：</w:t>
      </w:r>
      <w:bookmarkEnd w:id="333"/>
      <w:bookmarkEnd w:id="334"/>
      <w:bookmarkEnd w:id="335"/>
      <w:bookmarkEnd w:id="336"/>
      <w:bookmarkEnd w:id="337"/>
      <w:bookmarkEnd w:id="338"/>
      <w:r>
        <w:rPr>
          <w:rFonts w:hint="eastAsia" w:ascii="宋体" w:hAnsi="宋体" w:eastAsia="宋体" w:cs="宋体"/>
          <w:b/>
          <w:kern w:val="2"/>
          <w:sz w:val="24"/>
          <w:szCs w:val="24"/>
        </w:rPr>
        <w:t>三部门联合发布关于促进残疾人就业政府采购政策的通知</w:t>
      </w:r>
      <w:bookmarkEnd w:id="339"/>
    </w:p>
    <w:p>
      <w:pPr>
        <w:adjustRightInd/>
        <w:snapToGrid/>
        <w:spacing w:after="0" w:line="360" w:lineRule="auto"/>
        <w:ind w:firstLine="480" w:firstLineChars="20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财库〔2017〕141号</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 、民政局、残疾人联合会：</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为了发挥政府采购促进残疾人就业的作用，进一步保障残疾人权益，依照《政府采购法》、《残疾人保障法》等法律法规及相关规定，现就促进残疾人就业政府采购政策通知如下：</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一、享受政府采购支持政策的残疾人福利性单位应当同时满足以下条件：</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（一）安置的残疾人占本单位在职职工人数的比例不低于25%（含25%），并且安置的残疾人人数不少于10人（含10人）；</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（二）依法与安置的每位残疾人签订了一年以上（含一年）的劳动合同或服务协议；</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（三）为安置的每位残疾人按月足额缴纳了基本养老保险、基本医疗保险、失业保险、工伤保险和生育保险等社会保险费；</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（四）通过银行等金融机构向安置的每位残疾人，按月支付了不低于单位所在区县适用的经省级人民政府批准的月最低工资标准的工资；</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（五）提供本单位制造的货物、承担的工程或者服务（以下简称产品），或者提供其他残疾人福利性单位制造的货物（不包括使用非残疾人福利性单位注册商标的货物）。</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中标、成交供应商为残疾人福利性单位的，采购人或者其委托的采购代理机构应当随中标、成交结果同时公告其《残疾人福利性单位声明函》，接受社会监督。</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供应商提供的《残疾人福利性单位声明函》与事实不符的，依照《政府采购法》第七十七条第一款的规定追究法律责任。</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四、采购人采购公开招标数额标准以上的货物或者服务，因落实促进残疾人就业政策的需要，依法履行有关报批程序后，可采用公开招标以外的采购方式。</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七、本通知自2017年10月1日起执行。</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3120" w:firstLineChars="13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财政部 民政部 中国残疾人联合会</w:t>
      </w:r>
    </w:p>
    <w:p>
      <w:pPr>
        <w:adjustRightInd/>
        <w:snapToGrid/>
        <w:spacing w:after="0" w:line="360" w:lineRule="auto"/>
        <w:ind w:firstLine="4560" w:firstLineChars="19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2017年8月22日</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textAlignment w:val="baseline"/>
        <w:outlineLvl w:val="9"/>
        <w:rPr>
          <w:rFonts w:ascii="宋体" w:hAnsi="宋体" w:eastAsia="宋体" w:cs="宋体"/>
          <w:kern w:val="2"/>
          <w:sz w:val="24"/>
          <w:szCs w:val="24"/>
        </w:rPr>
      </w:pPr>
    </w:p>
    <w:p>
      <w:pPr>
        <w:adjustRightInd/>
        <w:snapToGrid/>
        <w:spacing w:after="0" w:line="360" w:lineRule="auto"/>
        <w:jc w:val="center"/>
        <w:textAlignment w:val="baseline"/>
        <w:outlineLvl w:val="9"/>
        <w:rPr>
          <w:rFonts w:ascii="宋体" w:hAnsi="宋体" w:eastAsia="宋体" w:cs="宋体"/>
          <w:b/>
          <w:bCs/>
          <w:kern w:val="2"/>
          <w:sz w:val="24"/>
          <w:szCs w:val="24"/>
        </w:rPr>
      </w:pPr>
      <w:bookmarkStart w:id="340" w:name="_Toc12972"/>
      <w:bookmarkStart w:id="341" w:name="_Toc16332"/>
      <w:bookmarkStart w:id="342" w:name="_Toc9600"/>
      <w:bookmarkStart w:id="343" w:name="_Toc2395"/>
      <w:bookmarkStart w:id="344" w:name="_Toc5570"/>
      <w:bookmarkStart w:id="345" w:name="_Toc18180"/>
      <w:bookmarkStart w:id="346" w:name="_Toc31795"/>
      <w:r>
        <w:rPr>
          <w:rFonts w:hint="eastAsia" w:ascii="宋体" w:hAnsi="宋体" w:eastAsia="宋体" w:cs="宋体"/>
          <w:b/>
          <w:bCs/>
          <w:sz w:val="24"/>
          <w:szCs w:val="24"/>
        </w:rPr>
        <w:t>附件21：</w:t>
      </w:r>
      <w:bookmarkEnd w:id="340"/>
      <w:bookmarkEnd w:id="341"/>
      <w:bookmarkEnd w:id="342"/>
      <w:bookmarkEnd w:id="343"/>
      <w:bookmarkEnd w:id="344"/>
      <w:bookmarkEnd w:id="345"/>
      <w:bookmarkStart w:id="347" w:name="_Toc15225"/>
      <w:bookmarkStart w:id="348" w:name="_Toc4234"/>
      <w:bookmarkStart w:id="349" w:name="_Toc19799"/>
      <w:bookmarkStart w:id="350" w:name="_Toc30996"/>
      <w:r>
        <w:rPr>
          <w:rFonts w:hint="eastAsia" w:ascii="宋体" w:hAnsi="宋体" w:eastAsia="宋体" w:cs="宋体"/>
          <w:b/>
          <w:bCs/>
          <w:kern w:val="2"/>
          <w:sz w:val="24"/>
          <w:szCs w:val="24"/>
        </w:rPr>
        <w:t>关于政府采购支持监狱企业发展有关问题的通知</w:t>
      </w:r>
      <w:bookmarkEnd w:id="346"/>
      <w:bookmarkEnd w:id="347"/>
      <w:bookmarkEnd w:id="348"/>
      <w:bookmarkEnd w:id="349"/>
      <w:bookmarkEnd w:id="350"/>
    </w:p>
    <w:p>
      <w:pPr>
        <w:adjustRightInd/>
        <w:snapToGrid/>
        <w:spacing w:after="0" w:line="360" w:lineRule="auto"/>
        <w:ind w:firstLine="480" w:firstLineChars="200"/>
        <w:jc w:val="center"/>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财库[2014]68号</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党中央有关部门，国务院各部委、各直属机构， 全国人大常委会办公厅 ， 全国政协办公厅，高法院，高检院，有关人民团 体， 中央国家机关政府采购中心，中共中央直属机关采购中心，全国人大机关采购中心，各省、自治区、直辖市、计划单列市财政厅(局)、司法厅(局)，新疆生产建设兵团财务局、司法局、监狱管理局:</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二、在政府采购活动中，监狱企业视同小型、微型企业，享受预留份额、评审中价格扣除等政府采购促进中小企业发展的政府采购政策。向监狱企业采购的金额，计入面向中小企业采购的统计数据。</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四、各地区可以结合本地区实际，对监狱企业生产的办公用品、家具用具、车辆维修和提供的保养服务、消防产品等，提出预留份额等政府采购支持措施，加大对监狱企业产品的采购力度。</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firstLine="480" w:firstLineChars="200"/>
        <w:textAlignment w:val="baseline"/>
        <w:outlineLvl w:val="9"/>
        <w:rPr>
          <w:rFonts w:ascii="宋体" w:hAnsi="宋体" w:eastAsia="宋体" w:cs="宋体"/>
          <w:kern w:val="2"/>
          <w:sz w:val="24"/>
          <w:szCs w:val="24"/>
        </w:rPr>
      </w:pPr>
    </w:p>
    <w:p>
      <w:pPr>
        <w:adjustRightInd/>
        <w:snapToGrid/>
        <w:spacing w:after="0" w:line="360" w:lineRule="auto"/>
        <w:ind w:right="120" w:firstLine="480" w:firstLineChars="200"/>
        <w:jc w:val="right"/>
        <w:textAlignment w:val="baseline"/>
        <w:outlineLvl w:val="9"/>
        <w:rPr>
          <w:rFonts w:ascii="宋体" w:hAnsi="宋体" w:eastAsia="宋体" w:cs="宋体"/>
          <w:kern w:val="2"/>
          <w:sz w:val="24"/>
          <w:szCs w:val="24"/>
        </w:rPr>
      </w:pPr>
      <w:r>
        <w:rPr>
          <w:rFonts w:hint="eastAsia" w:ascii="宋体" w:hAnsi="宋体" w:eastAsia="宋体" w:cs="宋体"/>
          <w:kern w:val="2"/>
          <w:sz w:val="24"/>
          <w:szCs w:val="24"/>
        </w:rPr>
        <w:t>财政部 司法部</w:t>
      </w:r>
    </w:p>
    <w:p>
      <w:pPr>
        <w:adjustRightInd/>
        <w:snapToGrid/>
        <w:spacing w:after="0" w:line="360" w:lineRule="auto"/>
        <w:ind w:firstLine="480" w:firstLineChars="200"/>
        <w:jc w:val="right"/>
        <w:textAlignment w:val="baseline"/>
        <w:outlineLvl w:val="9"/>
        <w:rPr>
          <w:lang w:val="en-US"/>
        </w:rPr>
      </w:pPr>
      <w:r>
        <w:rPr>
          <w:rFonts w:hint="eastAsia" w:ascii="宋体" w:hAnsi="宋体" w:eastAsia="宋体" w:cs="宋体"/>
          <w:kern w:val="2"/>
          <w:sz w:val="24"/>
          <w:szCs w:val="24"/>
        </w:rPr>
        <w:t>2014年6月10日</w:t>
      </w:r>
    </w:p>
    <w:p>
      <w:pPr>
        <w:pStyle w:val="18"/>
        <w:spacing w:line="220" w:lineRule="atLeast"/>
        <w:outlineLvl w:val="9"/>
        <w:rPr>
          <w:rFonts w:ascii="宋体" w:hAnsi="宋体" w:eastAsia="宋体" w:cs="仿宋"/>
        </w:rPr>
      </w:pPr>
    </w:p>
    <w:sectPr>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42D3B29-619F-4AC2-A2E4-434886DFE0F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6592D6B-249B-4BDA-AEB0-91CCA19958B6}"/>
  </w:font>
  <w:font w:name="Tahoma">
    <w:panose1 w:val="020B0604030504040204"/>
    <w:charset w:val="00"/>
    <w:family w:val="swiss"/>
    <w:pitch w:val="default"/>
    <w:sig w:usb0="E1002EFF" w:usb1="C000605B" w:usb2="00000029" w:usb3="00000000" w:csb0="200101FF" w:csb1="20280000"/>
    <w:embedRegular r:id="rId3" w:fontKey="{F083390C-33AC-4480-B80C-6EB656F2C136}"/>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4" w:fontKey="{C59532E9-CD00-4865-BD6D-DB53F841B47D}"/>
  </w:font>
  <w:font w:name="monospace">
    <w:altName w:val="Segoe Print"/>
    <w:panose1 w:val="00000000000000000000"/>
    <w:charset w:val="00"/>
    <w:family w:val="auto"/>
    <w:pitch w:val="default"/>
    <w:sig w:usb0="00000000" w:usb1="00000000" w:usb2="00000000" w:usb3="00000000" w:csb0="0004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5" w:fontKey="{5756B735-03EC-4404-9976-BC10E1D0DDB7}"/>
  </w:font>
  <w:font w:name="华文楷体">
    <w:panose1 w:val="02010600040101010101"/>
    <w:charset w:val="86"/>
    <w:family w:val="auto"/>
    <w:pitch w:val="default"/>
    <w:sig w:usb0="00000287" w:usb1="080F0000" w:usb2="00000000" w:usb3="00000000" w:csb0="0004009F" w:csb1="DFD70000"/>
    <w:embedRegular r:id="rId6" w:fontKey="{676661F4-6B01-4867-B2C8-0D086C08F205}"/>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264795"/>
              <wp:effectExtent l="0" t="0" r="0" b="0"/>
              <wp:wrapNone/>
              <wp:docPr id="9" name="文本框 19"/>
              <wp:cNvGraphicFramePr/>
              <a:graphic xmlns:a="http://schemas.openxmlformats.org/drawingml/2006/main">
                <a:graphicData uri="http://schemas.microsoft.com/office/word/2010/wordprocessingShape">
                  <wps:wsp>
                    <wps:cNvSpPr/>
                    <wps:spPr>
                      <a:xfrm>
                        <a:off x="0" y="0"/>
                        <a:ext cx="114935" cy="264795"/>
                      </a:xfrm>
                      <a:prstGeom prst="rect">
                        <a:avLst/>
                      </a:prstGeom>
                      <a:noFill/>
                      <a:ln>
                        <a:noFill/>
                      </a:ln>
                    </wps:spPr>
                    <wps:txbx>
                      <w:txbxContent>
                        <w:p>
                          <w:pPr>
                            <w:pStyle w:val="20"/>
                          </w:pPr>
                        </w:p>
                      </w:txbxContent>
                    </wps:txbx>
                    <wps:bodyPr wrap="none" lIns="0" tIns="0" rIns="0" bIns="0" upright="1">
                      <a:spAutoFit/>
                    </wps:bodyPr>
                  </wps:wsp>
                </a:graphicData>
              </a:graphic>
            </wp:anchor>
          </w:drawing>
        </mc:Choice>
        <mc:Fallback>
          <w:pict>
            <v:rect id="文本框 19" o:spid="_x0000_s1026" o:spt="1" style="position:absolute;left:0pt;margin-top:0pt;height:20.85pt;width:9.05pt;mso-position-horizontal:center;mso-position-horizontal-relative:margin;mso-wrap-style:none;z-index:251663360;mso-width-relative:page;mso-height-relative:page;" filled="f" stroked="f" coordsize="21600,21600" o:gfxdata="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SBiFHRAAAAAwEAAA8AAAAAAAAAAQAgAAAAIgAAAGRycy9kb3ducmV2&#10;LnhtbFBLAQIUABQAAAAIAIdO4kCODitHygEAAI4DAAAOAAAAAAAAAAEAIAAAACABAABkcnMvZTJv&#10;RG9jLnhtbFBLBQYAAAAABgAGAFkBAABcBQAAAAA=&#10;">
              <v:fill on="f" focussize="0,0"/>
              <v:stroke on="f"/>
              <v:imagedata o:title=""/>
              <o:lock v:ext="edit" aspectratio="f"/>
              <v:textbox inset="0mm,0mm,0mm,0mm" style="mso-fit-shape-to-text:t;">
                <w:txbxContent>
                  <w:p>
                    <w:pPr>
                      <w:pStyle w:val="2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Z3D0nEAQAAkA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KDlzwtKNX75/u/z4dfn5&#10;lb1N/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Z3D0nEAQAAkAMAAA4AAAAAAAAAAQAgAAAAHwEAAGRycy9lMm9Eb2MueG1s&#10;UEsFBgAAAAAGAAYAWQEAAFU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20</w:t>
                    </w:r>
                    <w:r>
                      <w:fldChar w:fldCharType="end"/>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264795"/>
              <wp:effectExtent l="0" t="0" r="0" b="0"/>
              <wp:wrapNone/>
              <wp:docPr id="10" name="文本框 4"/>
              <wp:cNvGraphicFramePr/>
              <a:graphic xmlns:a="http://schemas.openxmlformats.org/drawingml/2006/main">
                <a:graphicData uri="http://schemas.microsoft.com/office/word/2010/wordprocessingShape">
                  <wps:wsp>
                    <wps:cNvSpPr/>
                    <wps:spPr>
                      <a:xfrm>
                        <a:off x="0" y="0"/>
                        <a:ext cx="114935" cy="264795"/>
                      </a:xfrm>
                      <a:prstGeom prst="rect">
                        <a:avLst/>
                      </a:prstGeom>
                      <a:noFill/>
                      <a:ln>
                        <a:noFill/>
                      </a:ln>
                    </wps:spPr>
                    <wps:txbx>
                      <w:txbxContent>
                        <w:p>
                          <w:pPr>
                            <w:pStyle w:val="20"/>
                          </w:pPr>
                        </w:p>
                      </w:txbxContent>
                    </wps:txbx>
                    <wps:bodyPr wrap="none" lIns="0" tIns="0" rIns="0" bIns="0" upright="1">
                      <a:spAutoFit/>
                    </wps:bodyPr>
                  </wps:wsp>
                </a:graphicData>
              </a:graphic>
            </wp:anchor>
          </w:drawing>
        </mc:Choice>
        <mc:Fallback>
          <w:pict>
            <v:rect id="文本框 4" o:spid="_x0000_s1026" o:spt="1" style="position:absolute;left:0pt;margin-top:0pt;height:20.85pt;width:9.05pt;mso-position-horizontal:center;mso-position-horizontal-relative:margin;mso-wrap-style:none;z-index:251664384;mso-width-relative:page;mso-height-relative:page;" filled="f" stroked="f" coordsize="21600,21600" o:gfxdata="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SBiFHRAAAAAwEAAA8AAAAAAAAAAQAgAAAAIgAAAGRycy9kb3ducmV2&#10;LnhtbFBLAQIUABQAAAAIAIdO4kD6r4MjygEAAI4DAAAOAAAAAAAAAAEAIAAAACABAABkcnMvZTJv&#10;RG9jLnhtbFBLBQYAAAAABgAGAFkBAABcBQAAAAA=&#10;">
              <v:fill on="f" focussize="0,0"/>
              <v:stroke on="f"/>
              <v:imagedata o:title=""/>
              <o:lock v:ext="edit" aspectratio="f"/>
              <v:textbox inset="0mm,0mm,0mm,0mm" style="mso-fit-shape-to-text:t;">
                <w:txbxContent>
                  <w:p>
                    <w:pPr>
                      <w:pStyle w:val="2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kf7pzEAQAAkAMAAA4AAABkcnMvZTJvRG9jLnhtbK1TzY7TMBC+I/EO&#10;lu80aS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Vpw5YenGL9+/XX78uvz8&#10;yt4mf/qAFbU9hgeYMqQwiR1asOlNMtiQPT1fPVVDZJKKy/VqvS7Jbklnc0I4xdPnATDeK29ZCmoO&#10;dGnZS3H6gHFsnVvSNOfvtDFUF5VxfxUIM1WKxHjkmKI47IeJ+N43Z5Lb033X3NF6c2beO7IzrcYc&#10;wBzs5+AYQB86orb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kf7pzEAQAAkAMAAA4AAAAAAAAAAQAgAAAAHwEAAGRycy9lMm9Eb2MueG1s&#10;UEsFBgAAAAAGAAYAWQEAAFU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spacing w:after="0" w:line="188" w:lineRule="auto"/>
      <w:ind w:left="4078"/>
      <w:textAlignment w:val="baseline"/>
      <w:rPr>
        <w:rFonts w:eastAsia="Tahoma" w:cs="Tahoma"/>
        <w:snapToGrid w:val="0"/>
        <w:color w:val="000000"/>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posOffset>2583815</wp:posOffset>
              </wp:positionH>
              <wp:positionV relativeFrom="paragraph">
                <wp:posOffset>-202565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45pt;margin-top:-15.95pt;height:144pt;width:144pt;mso-position-horizontal-relative:margin;mso-wrap-style:none;z-index:251670528;mso-width-relative:page;mso-height-relative:page;" filled="f" stroked="f" coordsize="21600,21600" o:gfxdata="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dZi92AAAAAsBAAAPAAAAAAAAAAEAIAAAACIAAABkcnMvZG93bnJldi54&#10;bWxQSwECFAAUAAAACACHTuJAYa2EcjMCAABjBAAADgAAAAAAAAABACAAAAAnAQAAZHJzL2Uyb0Rv&#10;Yy54bWxQSwUGAAAAAAYABgBZAQAAzA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84"/>
      <w:rPr>
        <w:rFonts w:ascii="Times New Roman" w:hAnsi="Times New Roman" w:eastAsia="Times New Roman" w:cs="Times New Roman"/>
        <w:sz w:val="23"/>
        <w:szCs w:val="23"/>
      </w:rPr>
    </w:pPr>
    <w:r>
      <w:rPr>
        <w:sz w:val="23"/>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- 42 -</w:t>
                    </w:r>
                    <w:r>
                      <w:rPr>
                        <w:rFonts w:hint="eastAsia" w:ascii="宋体" w:hAnsi="宋体" w:eastAsia="宋体" w:cs="宋体"/>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735"/>
      <w:rPr>
        <w:rFonts w:ascii="Times New Roman" w:hAnsi="Times New Roman" w:eastAsia="Times New Roman" w:cs="Times New Roman"/>
        <w:sz w:val="23"/>
        <w:szCs w:val="23"/>
      </w:rPr>
    </w:pPr>
    <w:r>
      <w:rPr>
        <w:sz w:val="23"/>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- 37 -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- 37 -</w:t>
                    </w:r>
                    <w:r>
                      <w:rPr>
                        <w:rFonts w:hint="eastAsia" w:ascii="宋体" w:hAnsi="宋体" w:eastAsia="宋体" w:cs="宋体"/>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84"/>
      <w:rPr>
        <w:rFonts w:ascii="Times New Roman" w:hAnsi="Times New Roman" w:eastAsia="Times New Roman" w:cs="Times New Roman"/>
        <w:sz w:val="23"/>
        <w:szCs w:val="23"/>
      </w:rPr>
    </w:pPr>
    <w:r>
      <w:rPr>
        <w:sz w:val="23"/>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- 38 -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- 38 -</w:t>
                    </w:r>
                    <w:r>
                      <w:rPr>
                        <w:rFonts w:hint="eastAsia" w:ascii="宋体" w:hAnsi="宋体" w:eastAsia="宋体" w:cs="宋体"/>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b w:val="0"/>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224790" cy="139700"/>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a:effectLst/>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120</w:t>
                          </w:r>
                          <w:r>
                            <w:fldChar w:fldCharType="end"/>
                          </w:r>
                        </w:p>
                      </w:txbxContent>
                    </wps:txbx>
                    <wps:bodyPr lIns="0" tIns="0" rIns="0" bIns="0" upright="1"/>
                  </wps:wsp>
                </a:graphicData>
              </a:graphic>
            </wp:anchor>
          </w:drawing>
        </mc:Choice>
        <mc:Fallback>
          <w:pict>
            <v:shape id="文本框 37" o:spid="_x0000_s1026" o:spt="202" type="#_x0000_t202" style="position:absolute;left:0pt;margin-top:0pt;height:11pt;width:17.7pt;mso-position-horizontal:center;mso-position-horizontal-relative:margin;z-index:251667456;mso-width-relative:page;mso-height-relative:page;" filled="f" stroked="f" coordsize="21600,21600" o:gfxdata="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RM9vUAAAAAwEAAA8AAAAAAAAAAQAgAAAAIgAAAGRycy9kb3ducmV2LnhtbFBL&#10;AQIUABQAAAAIAIdO4kAbUYSbwQEAAIEDAAAOAAAAAAAAAAEAIAAAACMBAABkcnMvZTJvRG9jLnht&#10;bFBLBQYAAAAABgAGAFkBAABW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firstLine="105" w:firstLineChars="50"/>
      <w:jc w:val="left"/>
      <w:rPr>
        <w:rStyle w:val="34"/>
        <w:rFonts w:ascii="华文楷体" w:hAnsi="华文楷体" w:eastAsia="华文楷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pPr>
    <w:r>
      <mc:AlternateContent>
        <mc:Choice Requires="wpg">
          <w:drawing>
            <wp:anchor distT="0" distB="0" distL="114300" distR="114300" simplePos="0" relativeHeight="251659264" behindDoc="1" locked="0" layoutInCell="1" allowOverlap="1">
              <wp:simplePos x="0" y="0"/>
              <wp:positionH relativeFrom="page">
                <wp:posOffset>1424305</wp:posOffset>
              </wp:positionH>
              <wp:positionV relativeFrom="page">
                <wp:posOffset>96520</wp:posOffset>
              </wp:positionV>
              <wp:extent cx="21590" cy="20955"/>
              <wp:effectExtent l="4445" t="4445" r="12065" b="12700"/>
              <wp:wrapNone/>
              <wp:docPr id="3" name="组合 8"/>
              <wp:cNvGraphicFramePr/>
              <a:graphic xmlns:a="http://schemas.openxmlformats.org/drawingml/2006/main">
                <a:graphicData uri="http://schemas.microsoft.com/office/word/2010/wordprocessingGroup">
                  <wpg:wgp>
                    <wpg:cNvGrpSpPr/>
                    <wpg:grpSpPr>
                      <a:xfrm>
                        <a:off x="0" y="0"/>
                        <a:ext cx="21590" cy="20955"/>
                        <a:chOff x="2244" y="152"/>
                        <a:chExt cx="33" cy="33"/>
                      </a:xfrm>
                    </wpg:grpSpPr>
                    <wps:wsp>
                      <wps:cNvPr id="1" name="任意多边形 6"/>
                      <wps:cNvSpPr/>
                      <wps:spPr>
                        <a:xfrm>
                          <a:off x="2244" y="152"/>
                          <a:ext cx="33" cy="33"/>
                        </a:xfrm>
                        <a:custGeom>
                          <a:avLst/>
                          <a:gdLst/>
                          <a:ahLst/>
                          <a:cxnLst/>
                          <a:rect l="0" t="0" r="0" b="0"/>
                          <a:pathLst>
                            <a:path w="33" h="33">
                              <a:moveTo>
                                <a:pt x="32" y="17"/>
                              </a:moveTo>
                              <a:lnTo>
                                <a:pt x="32" y="8"/>
                              </a:lnTo>
                              <a:lnTo>
                                <a:pt x="25" y="0"/>
                              </a:lnTo>
                              <a:lnTo>
                                <a:pt x="16" y="0"/>
                              </a:lnTo>
                              <a:lnTo>
                                <a:pt x="7" y="0"/>
                              </a:lnTo>
                              <a:lnTo>
                                <a:pt x="0" y="8"/>
                              </a:lnTo>
                              <a:lnTo>
                                <a:pt x="0" y="17"/>
                              </a:lnTo>
                              <a:lnTo>
                                <a:pt x="0" y="26"/>
                              </a:lnTo>
                              <a:lnTo>
                                <a:pt x="7" y="33"/>
                              </a:lnTo>
                              <a:lnTo>
                                <a:pt x="16" y="33"/>
                              </a:lnTo>
                              <a:lnTo>
                                <a:pt x="25" y="33"/>
                              </a:lnTo>
                              <a:lnTo>
                                <a:pt x="32" y="26"/>
                              </a:lnTo>
                              <a:lnTo>
                                <a:pt x="32" y="17"/>
                              </a:lnTo>
                              <a:close/>
                            </a:path>
                          </a:pathLst>
                        </a:custGeom>
                        <a:noFill/>
                        <a:ln w="9525" cap="flat" cmpd="sng">
                          <a:solidFill>
                            <a:srgbClr val="000000"/>
                          </a:solidFill>
                          <a:prstDash val="solid"/>
                          <a:headEnd type="none" w="med" len="med"/>
                          <a:tailEnd type="none" w="med" len="med"/>
                        </a:ln>
                      </wps:spPr>
                      <wps:bodyPr upright="1"/>
                    </wps:wsp>
                    <wps:wsp>
                      <wps:cNvPr id="2" name="直接连接符 7"/>
                      <wps:cNvCnPr/>
                      <wps:spPr>
                        <a:xfrm>
                          <a:off x="2244" y="169"/>
                          <a:ext cx="33" cy="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8" o:spid="_x0000_s1026" o:spt="203" style="position:absolute;left:0pt;margin-left:112.15pt;margin-top:7.6pt;height:1.65pt;width:1.7pt;mso-position-horizontal-relative:page;mso-position-vertical-relative:page;z-index:-251657216;mso-width-relative:page;mso-height-relative:page;" coordorigin="2244,152" coordsize="33,33" o:gfxdata="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h+1VZ2QAAAAkBAAAPAAAAAAAAAAEAIAAAACIAAABkcnMvZG93bnJldi54bWxQSwECFAAUAAAA&#10;CACHTuJAKzdvr0MDAABuCQAADgAAAAAAAAABACAAAAAoAQAAZHJzL2Uyb0RvYy54bWxQSwUGAAAA&#10;AAYABgBZAQAA3QYAAAAA&#10;">
              <o:lock v:ext="edit" aspectratio="f"/>
              <v:shape id="任意多边形 6" o:spid="_x0000_s1026" o:spt="100" style="position:absolute;left:2244;top:152;height:33;width:33;" filled="f" stroked="t" coordsize="33,33" o:gfxdata="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RNdugAAANoA&#10;AAAPAAAAAAAAAAEAIAAAACIAAABkcnMvZG93bnJldi54bWxQSwECFAAUAAAACACHTuJAMy8FnjsA&#10;AAA5AAAAEAAAAAAAAAABACAAAAAJAQAAZHJzL3NoYXBleG1sLnhtbFBLBQYAAAAABgAGAFsBAACz&#10;AwAAAAA=&#10;" path="m32,17l32,8,25,0,16,0,7,0,0,8,0,17,0,26,7,33,16,33,25,33,32,26,32,17xe">
                <v:fill on="f" focussize="0,0"/>
                <v:stroke color="#000000" joinstyle="round"/>
                <v:imagedata o:title=""/>
                <o:lock v:ext="edit" aspectratio="f"/>
              </v:shape>
              <v:line id="直接连接符 7" o:spid="_x0000_s1026" o:spt="20" style="position:absolute;left:2244;top:169;height:0;width:33;"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335280</wp:posOffset>
              </wp:positionV>
              <wp:extent cx="533400" cy="170815"/>
              <wp:effectExtent l="0" t="0" r="0" b="0"/>
              <wp:wrapNone/>
              <wp:docPr id="4" name="文本框 1"/>
              <wp:cNvGraphicFramePr/>
              <a:graphic xmlns:a="http://schemas.openxmlformats.org/drawingml/2006/main">
                <a:graphicData uri="http://schemas.microsoft.com/office/word/2010/wordprocessingShape">
                  <wps:wsp>
                    <wps:cNvSpPr/>
                    <wps:spPr>
                      <a:xfrm>
                        <a:off x="0" y="0"/>
                        <a:ext cx="533400" cy="170815"/>
                      </a:xfrm>
                      <a:prstGeom prst="rect">
                        <a:avLst/>
                      </a:prstGeom>
                      <a:noFill/>
                      <a:ln>
                        <a:noFill/>
                      </a:ln>
                    </wps:spPr>
                    <wps:txbx>
                      <w:txbxContent>
                        <w:p>
                          <w:pPr>
                            <w:pStyle w:val="13"/>
                            <w:spacing w:line="248" w:lineRule="exact"/>
                          </w:pPr>
                        </w:p>
                      </w:txbxContent>
                    </wps:txbx>
                    <wps:bodyPr lIns="0" tIns="0" rIns="0" bIns="0" upright="1"/>
                  </wps:wsp>
                </a:graphicData>
              </a:graphic>
            </wp:anchor>
          </w:drawing>
        </mc:Choice>
        <mc:Fallback>
          <w:pict>
            <v:rect id="文本框 1" o:spid="_x0000_s1026" o:spt="1" style="position:absolute;left:0pt;margin-left:35pt;margin-top:26.4pt;height:13.45pt;width:42pt;mso-position-horizontal-relative:page;mso-position-vertical-relative:page;z-index:-251656192;mso-width-relative:page;mso-height-relative:page;" filled="f" stroked="f" coordsize="21600,21600" o:gfxdata="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tz5uNgAAAAIAQAADwAAAAAAAAABACAAAAAiAAAAZHJzL2Rvd25yZXYueG1sUEsBAhQAFAAAAAgA&#10;h07iQHGVpLmzAQAAZwMAAA4AAAAAAAAAAQAgAAAAJwEAAGRycy9lMm9Eb2MueG1sUEsFBgAAAAAG&#10;AAYAWQEAAEwFAAAAAA==&#10;">
              <v:fill on="f" focussize="0,0"/>
              <v:stroke on="f"/>
              <v:imagedata o:title=""/>
              <o:lock v:ext="edit" aspectratio="f"/>
              <v:textbox inset="0mm,0mm,0mm,0mm">
                <w:txbxContent>
                  <w:p>
                    <w:pPr>
                      <w:pStyle w:val="13"/>
                      <w:spacing w:line="248" w:lineRule="exact"/>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pPr>
    <w:r>
      <mc:AlternateContent>
        <mc:Choice Requires="wpg">
          <w:drawing>
            <wp:anchor distT="0" distB="0" distL="114300" distR="114300" simplePos="0" relativeHeight="251661312" behindDoc="1" locked="0" layoutInCell="1" allowOverlap="1">
              <wp:simplePos x="0" y="0"/>
              <wp:positionH relativeFrom="page">
                <wp:posOffset>1424305</wp:posOffset>
              </wp:positionH>
              <wp:positionV relativeFrom="page">
                <wp:posOffset>96520</wp:posOffset>
              </wp:positionV>
              <wp:extent cx="21590" cy="20955"/>
              <wp:effectExtent l="4445" t="4445" r="12065" b="12700"/>
              <wp:wrapNone/>
              <wp:docPr id="7" name="组合 111"/>
              <wp:cNvGraphicFramePr/>
              <a:graphic xmlns:a="http://schemas.openxmlformats.org/drawingml/2006/main">
                <a:graphicData uri="http://schemas.microsoft.com/office/word/2010/wordprocessingGroup">
                  <wpg:wgp>
                    <wpg:cNvGrpSpPr/>
                    <wpg:grpSpPr>
                      <a:xfrm>
                        <a:off x="0" y="0"/>
                        <a:ext cx="21590" cy="20955"/>
                        <a:chOff x="2244" y="152"/>
                        <a:chExt cx="33" cy="33"/>
                      </a:xfrm>
                    </wpg:grpSpPr>
                    <wps:wsp>
                      <wps:cNvPr id="5" name="任意多边形 109"/>
                      <wps:cNvSpPr/>
                      <wps:spPr>
                        <a:xfrm>
                          <a:off x="2244" y="152"/>
                          <a:ext cx="33" cy="33"/>
                        </a:xfrm>
                        <a:custGeom>
                          <a:avLst/>
                          <a:gdLst/>
                          <a:ahLst/>
                          <a:cxnLst/>
                          <a:rect l="0" t="0" r="0" b="0"/>
                          <a:pathLst>
                            <a:path w="33" h="33">
                              <a:moveTo>
                                <a:pt x="32" y="17"/>
                              </a:moveTo>
                              <a:lnTo>
                                <a:pt x="32" y="8"/>
                              </a:lnTo>
                              <a:lnTo>
                                <a:pt x="25" y="0"/>
                              </a:lnTo>
                              <a:lnTo>
                                <a:pt x="16" y="0"/>
                              </a:lnTo>
                              <a:lnTo>
                                <a:pt x="7" y="0"/>
                              </a:lnTo>
                              <a:lnTo>
                                <a:pt x="0" y="8"/>
                              </a:lnTo>
                              <a:lnTo>
                                <a:pt x="0" y="17"/>
                              </a:lnTo>
                              <a:lnTo>
                                <a:pt x="0" y="26"/>
                              </a:lnTo>
                              <a:lnTo>
                                <a:pt x="7" y="33"/>
                              </a:lnTo>
                              <a:lnTo>
                                <a:pt x="16" y="33"/>
                              </a:lnTo>
                              <a:lnTo>
                                <a:pt x="25" y="33"/>
                              </a:lnTo>
                              <a:lnTo>
                                <a:pt x="32" y="26"/>
                              </a:lnTo>
                              <a:lnTo>
                                <a:pt x="32" y="17"/>
                              </a:lnTo>
                              <a:close/>
                            </a:path>
                          </a:pathLst>
                        </a:custGeom>
                        <a:noFill/>
                        <a:ln w="9525" cap="flat" cmpd="sng">
                          <a:solidFill>
                            <a:srgbClr val="000000"/>
                          </a:solidFill>
                          <a:prstDash val="solid"/>
                          <a:headEnd type="none" w="med" len="med"/>
                          <a:tailEnd type="none" w="med" len="med"/>
                        </a:ln>
                      </wps:spPr>
                      <wps:bodyPr upright="1"/>
                    </wps:wsp>
                    <wps:wsp>
                      <wps:cNvPr id="6" name="直接连接符 110"/>
                      <wps:cNvCnPr/>
                      <wps:spPr>
                        <a:xfrm>
                          <a:off x="2244" y="169"/>
                          <a:ext cx="33" cy="0"/>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111" o:spid="_x0000_s1026" o:spt="203" style="position:absolute;left:0pt;margin-left:112.15pt;margin-top:7.6pt;height:1.65pt;width:1.7pt;mso-position-horizontal-relative:page;mso-position-vertical-relative:page;z-index:-251655168;mso-width-relative:page;mso-height-relative:page;" coordorigin="2244,152" coordsize="33,33" o:gfxdata="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IftVWdkAAAAJAQAADwAAAAAAAAABACAAAAAiAAAAZHJzL2Rvd25yZXYueG1s&#10;UEsBAhQAFAAAAAgAh07iQN93UCtNAwAAdAkAAA4AAAAAAAAAAQAgAAAAKAEAAGRycy9lMm9Eb2Mu&#10;eG1sUEsFBgAAAAAGAAYAWQEAAOcGAAAAAA==&#10;">
              <o:lock v:ext="edit" aspectratio="f"/>
              <v:shape id="任意多边形 109" o:spid="_x0000_s1026" o:spt="100" style="position:absolute;left:2244;top:152;height:33;width:33;" filled="f" stroked="t" coordsize="33,33" o:gfxdata="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FV68AAAA&#10;2gAAAA8AAAAAAAAAAQAgAAAAIgAAAGRycy9kb3ducmV2LnhtbFBLAQIUABQAAAAIAIdO4kAzLwWe&#10;OwAAADkAAAAQAAAAAAAAAAEAIAAAAAsBAABkcnMvc2hhcGV4bWwueG1sUEsFBgAAAAAGAAYAWwEA&#10;ALUDAAAAAA==&#10;" path="m32,17l32,8,25,0,16,0,7,0,0,8,0,17,0,26,7,33,16,33,25,33,32,26,32,17xe">
                <v:fill on="f" focussize="0,0"/>
                <v:stroke color="#000000" joinstyle="round"/>
                <v:imagedata o:title=""/>
                <o:lock v:ext="edit" aspectratio="f"/>
              </v:shape>
              <v:line id="直接连接符 110" o:spid="_x0000_s1026" o:spt="20" style="position:absolute;left:2244;top:169;height:0;width:33;"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335280</wp:posOffset>
              </wp:positionV>
              <wp:extent cx="533400" cy="170815"/>
              <wp:effectExtent l="0" t="0" r="0" b="0"/>
              <wp:wrapNone/>
              <wp:docPr id="8" name="文本框 113"/>
              <wp:cNvGraphicFramePr/>
              <a:graphic xmlns:a="http://schemas.openxmlformats.org/drawingml/2006/main">
                <a:graphicData uri="http://schemas.microsoft.com/office/word/2010/wordprocessingShape">
                  <wps:wsp>
                    <wps:cNvSpPr/>
                    <wps:spPr>
                      <a:xfrm>
                        <a:off x="0" y="0"/>
                        <a:ext cx="533400" cy="170815"/>
                      </a:xfrm>
                      <a:prstGeom prst="rect">
                        <a:avLst/>
                      </a:prstGeom>
                      <a:noFill/>
                      <a:ln>
                        <a:noFill/>
                      </a:ln>
                    </wps:spPr>
                    <wps:txbx>
                      <w:txbxContent>
                        <w:p>
                          <w:pPr>
                            <w:pStyle w:val="13"/>
                            <w:spacing w:line="248" w:lineRule="exact"/>
                          </w:pPr>
                        </w:p>
                      </w:txbxContent>
                    </wps:txbx>
                    <wps:bodyPr lIns="0" tIns="0" rIns="0" bIns="0" upright="1"/>
                  </wps:wsp>
                </a:graphicData>
              </a:graphic>
            </wp:anchor>
          </w:drawing>
        </mc:Choice>
        <mc:Fallback>
          <w:pict>
            <v:rect id="文本框 113" o:spid="_x0000_s1026" o:spt="1" style="position:absolute;left:0pt;margin-left:35pt;margin-top:26.4pt;height:13.45pt;width:42pt;mso-position-horizontal-relative:page;mso-position-vertical-relative:page;z-index:-251654144;mso-width-relative:page;mso-height-relative:page;" filled="f" stroked="f" coordsize="21600,21600" o:gfxdata="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C3Pm42AAAAAgBAAAPAAAAAAAAAAEAIAAAACIAAABkcnMvZG93bnJldi54bWxQSwECFAAUAAAA&#10;CACHTuJAII5UHLUBAABpAwAADgAAAAAAAAABACAAAAAnAQAAZHJzL2Uyb0RvYy54bWxQSwUGAAAA&#10;AAYABgBZAQAATgUAAAAA&#10;">
              <v:fill on="f" focussize="0,0"/>
              <v:stroke on="f"/>
              <v:imagedata o:title=""/>
              <o:lock v:ext="edit" aspectratio="f"/>
              <v:textbox inset="0mm,0mm,0mm,0mm">
                <w:txbxContent>
                  <w:p>
                    <w:pPr>
                      <w:pStyle w:val="13"/>
                      <w:spacing w:line="248" w:lineRule="exact"/>
                    </w:pP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00243"/>
    <w:multiLevelType w:val="singleLevel"/>
    <w:tmpl w:val="F3400243"/>
    <w:lvl w:ilvl="0" w:tentative="0">
      <w:start w:val="1"/>
      <w:numFmt w:val="decimal"/>
      <w:suff w:val="nothing"/>
      <w:lvlText w:val="（%1）"/>
      <w:lvlJc w:val="left"/>
    </w:lvl>
  </w:abstractNum>
  <w:abstractNum w:abstractNumId="1">
    <w:nsid w:val="13C5FC44"/>
    <w:multiLevelType w:val="singleLevel"/>
    <w:tmpl w:val="13C5FC44"/>
    <w:lvl w:ilvl="0" w:tentative="0">
      <w:start w:val="1"/>
      <w:numFmt w:val="decimal"/>
      <w:suff w:val="nothing"/>
      <w:lvlText w:val="%1）"/>
      <w:lvlJc w:val="left"/>
      <w:rPr>
        <w:rFonts w:hint="default"/>
        <w:b/>
        <w:bCs/>
      </w:rPr>
    </w:lvl>
  </w:abstractNum>
  <w:abstractNum w:abstractNumId="2">
    <w:nsid w:val="246319BB"/>
    <w:multiLevelType w:val="multilevel"/>
    <w:tmpl w:val="246319BB"/>
    <w:lvl w:ilvl="0" w:tentative="0">
      <w:start w:val="1"/>
      <w:numFmt w:val="decimalEnclosedParen"/>
      <w:lvlText w:val="%1"/>
      <w:lvlJc w:val="left"/>
      <w:pPr>
        <w:ind w:left="840" w:hanging="360"/>
      </w:pPr>
    </w:lvl>
    <w:lvl w:ilvl="1" w:tentative="0">
      <w:start w:val="1"/>
      <w:numFmt w:val="lowerLetter"/>
      <w:lvlText w:val="%1)"/>
      <w:lvlJc w:val="left"/>
      <w:pPr>
        <w:ind w:left="1320" w:hanging="420"/>
      </w:pPr>
    </w:lvl>
    <w:lvl w:ilvl="2" w:tentative="0">
      <w:start w:val="1"/>
      <w:numFmt w:val="lowerRoman"/>
      <w:lvlText w:val="%1."/>
      <w:lvlJc w:val="right"/>
      <w:pPr>
        <w:ind w:left="1740" w:hanging="420"/>
      </w:pPr>
    </w:lvl>
    <w:lvl w:ilvl="3" w:tentative="0">
      <w:start w:val="1"/>
      <w:numFmt w:val="decimal"/>
      <w:lvlText w:val="%1."/>
      <w:lvlJc w:val="left"/>
      <w:pPr>
        <w:ind w:left="2160" w:hanging="420"/>
      </w:pPr>
    </w:lvl>
    <w:lvl w:ilvl="4" w:tentative="0">
      <w:start w:val="1"/>
      <w:numFmt w:val="lowerLetter"/>
      <w:lvlText w:val="%1)"/>
      <w:lvlJc w:val="left"/>
      <w:pPr>
        <w:ind w:left="2580" w:hanging="420"/>
      </w:pPr>
    </w:lvl>
    <w:lvl w:ilvl="5" w:tentative="0">
      <w:start w:val="1"/>
      <w:numFmt w:val="lowerRoman"/>
      <w:lvlText w:val="%1."/>
      <w:lvlJc w:val="right"/>
      <w:pPr>
        <w:ind w:left="3000" w:hanging="420"/>
      </w:pPr>
    </w:lvl>
    <w:lvl w:ilvl="6" w:tentative="0">
      <w:start w:val="1"/>
      <w:numFmt w:val="decimal"/>
      <w:lvlText w:val="%1."/>
      <w:lvlJc w:val="left"/>
      <w:pPr>
        <w:ind w:left="3420" w:hanging="420"/>
      </w:pPr>
    </w:lvl>
    <w:lvl w:ilvl="7" w:tentative="0">
      <w:start w:val="1"/>
      <w:numFmt w:val="lowerLetter"/>
      <w:lvlText w:val="%1)"/>
      <w:lvlJc w:val="left"/>
      <w:pPr>
        <w:ind w:left="3840" w:hanging="420"/>
      </w:pPr>
    </w:lvl>
    <w:lvl w:ilvl="8" w:tentative="0">
      <w:start w:val="1"/>
      <w:numFmt w:val="lowerRoman"/>
      <w:lvlText w:val="%1."/>
      <w:lvlJc w:val="right"/>
      <w:pPr>
        <w:ind w:left="4260" w:hanging="420"/>
      </w:pPr>
    </w:lvl>
  </w:abstractNum>
  <w:abstractNum w:abstractNumId="3">
    <w:nsid w:val="39C573BC"/>
    <w:multiLevelType w:val="singleLevel"/>
    <w:tmpl w:val="39C573BC"/>
    <w:lvl w:ilvl="0" w:tentative="0">
      <w:start w:val="1"/>
      <w:numFmt w:val="chineseCounting"/>
      <w:suff w:val="nothing"/>
      <w:lvlText w:val="%1、"/>
      <w:lvlJc w:val="left"/>
      <w:rPr>
        <w:rFonts w:hint="eastAsia"/>
      </w:rPr>
    </w:lvl>
  </w:abstractNum>
  <w:abstractNum w:abstractNumId="4">
    <w:nsid w:val="4010644F"/>
    <w:multiLevelType w:val="multilevel"/>
    <w:tmpl w:val="4010644F"/>
    <w:lvl w:ilvl="0" w:tentative="0">
      <w:start w:val="1"/>
      <w:numFmt w:val="decimal"/>
      <w:lvlText w:val="（%1）"/>
      <w:lvlJc w:val="left"/>
      <w:pPr>
        <w:ind w:left="956" w:hanging="720"/>
      </w:pPr>
    </w:lvl>
    <w:lvl w:ilvl="1" w:tentative="0">
      <w:start w:val="1"/>
      <w:numFmt w:val="lowerLetter"/>
      <w:lvlText w:val="%1)"/>
      <w:lvlJc w:val="left"/>
      <w:pPr>
        <w:ind w:left="1076" w:hanging="420"/>
      </w:pPr>
    </w:lvl>
    <w:lvl w:ilvl="2" w:tentative="0">
      <w:start w:val="1"/>
      <w:numFmt w:val="lowerRoman"/>
      <w:lvlText w:val="%1."/>
      <w:lvlJc w:val="right"/>
      <w:pPr>
        <w:ind w:left="1496" w:hanging="420"/>
      </w:pPr>
    </w:lvl>
    <w:lvl w:ilvl="3" w:tentative="0">
      <w:start w:val="1"/>
      <w:numFmt w:val="decimal"/>
      <w:lvlText w:val="%1."/>
      <w:lvlJc w:val="left"/>
      <w:pPr>
        <w:ind w:left="1916" w:hanging="420"/>
      </w:pPr>
    </w:lvl>
    <w:lvl w:ilvl="4" w:tentative="0">
      <w:start w:val="1"/>
      <w:numFmt w:val="lowerLetter"/>
      <w:lvlText w:val="%1)"/>
      <w:lvlJc w:val="left"/>
      <w:pPr>
        <w:ind w:left="2336" w:hanging="420"/>
      </w:pPr>
    </w:lvl>
    <w:lvl w:ilvl="5" w:tentative="0">
      <w:start w:val="1"/>
      <w:numFmt w:val="lowerRoman"/>
      <w:lvlText w:val="%1."/>
      <w:lvlJc w:val="right"/>
      <w:pPr>
        <w:ind w:left="2756" w:hanging="420"/>
      </w:pPr>
    </w:lvl>
    <w:lvl w:ilvl="6" w:tentative="0">
      <w:start w:val="1"/>
      <w:numFmt w:val="decimal"/>
      <w:lvlText w:val="%1."/>
      <w:lvlJc w:val="left"/>
      <w:pPr>
        <w:ind w:left="3176" w:hanging="420"/>
      </w:pPr>
    </w:lvl>
    <w:lvl w:ilvl="7" w:tentative="0">
      <w:start w:val="1"/>
      <w:numFmt w:val="lowerLetter"/>
      <w:lvlText w:val="%1)"/>
      <w:lvlJc w:val="left"/>
      <w:pPr>
        <w:ind w:left="3596" w:hanging="420"/>
      </w:pPr>
    </w:lvl>
    <w:lvl w:ilvl="8" w:tentative="0">
      <w:start w:val="1"/>
      <w:numFmt w:val="lowerRoman"/>
      <w:lvlText w:val="%1."/>
      <w:lvlJc w:val="right"/>
      <w:pPr>
        <w:ind w:left="4016" w:hanging="420"/>
      </w:pPr>
    </w:lvl>
  </w:abstractNum>
  <w:abstractNum w:abstractNumId="5">
    <w:nsid w:val="5DAE3407"/>
    <w:multiLevelType w:val="multilevel"/>
    <w:tmpl w:val="5DAE3407"/>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33152BE"/>
    <w:multiLevelType w:val="singleLevel"/>
    <w:tmpl w:val="633152BE"/>
    <w:lvl w:ilvl="0" w:tentative="0">
      <w:start w:val="1"/>
      <w:numFmt w:val="decimal"/>
      <w:suff w:val="nothing"/>
      <w:lvlText w:val="(%1)"/>
      <w:lvlJc w:val="left"/>
    </w:lvl>
  </w:abstractNum>
  <w:abstractNum w:abstractNumId="7">
    <w:nsid w:val="63339EE2"/>
    <w:multiLevelType w:val="singleLevel"/>
    <w:tmpl w:val="63339EE2"/>
    <w:lvl w:ilvl="0" w:tentative="0">
      <w:start w:val="1"/>
      <w:numFmt w:val="decimal"/>
      <w:suff w:val="nothing"/>
      <w:lvlText w:val="%1）"/>
      <w:lvlJc w:val="left"/>
    </w:lvl>
  </w:abstractNum>
  <w:abstractNum w:abstractNumId="8">
    <w:nsid w:val="6B5C1975"/>
    <w:multiLevelType w:val="singleLevel"/>
    <w:tmpl w:val="6B5C1975"/>
    <w:lvl w:ilvl="0" w:tentative="0">
      <w:start w:val="1"/>
      <w:numFmt w:val="decimal"/>
      <w:suff w:val="nothing"/>
      <w:lvlText w:val="%1、"/>
      <w:lvlJc w:val="left"/>
    </w:lvl>
  </w:abstractNum>
  <w:abstractNum w:abstractNumId="9">
    <w:nsid w:val="6EB63CFA"/>
    <w:multiLevelType w:val="singleLevel"/>
    <w:tmpl w:val="6EB63CFA"/>
    <w:lvl w:ilvl="0" w:tentative="0">
      <w:start w:val="4"/>
      <w:numFmt w:val="chineseCounting"/>
      <w:suff w:val="nothing"/>
      <w:lvlText w:val="第%1章、"/>
      <w:lvlJc w:val="left"/>
      <w:rPr>
        <w:rFonts w:hint="eastAsia"/>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TJmMmE2NjVkOWYyN2M4MTYzNWZmY2M3Nzc2OGQifQ=="/>
    <w:docVar w:name="KSO_WPS_MARK_KEY" w:val="fa68aac3-a4fe-4c5c-8914-7bdc15d7915a"/>
  </w:docVars>
  <w:rsids>
    <w:rsidRoot w:val="00D31D50"/>
    <w:rsid w:val="00004B6E"/>
    <w:rsid w:val="00010EFB"/>
    <w:rsid w:val="00017B06"/>
    <w:rsid w:val="00024AA9"/>
    <w:rsid w:val="0002741E"/>
    <w:rsid w:val="0003339A"/>
    <w:rsid w:val="0005265F"/>
    <w:rsid w:val="00055EA4"/>
    <w:rsid w:val="000560D6"/>
    <w:rsid w:val="00057E4D"/>
    <w:rsid w:val="00064AE0"/>
    <w:rsid w:val="00077D16"/>
    <w:rsid w:val="00081411"/>
    <w:rsid w:val="0008170D"/>
    <w:rsid w:val="0008348D"/>
    <w:rsid w:val="0008701C"/>
    <w:rsid w:val="0008790F"/>
    <w:rsid w:val="0009405B"/>
    <w:rsid w:val="000A0346"/>
    <w:rsid w:val="000A0A66"/>
    <w:rsid w:val="000A6321"/>
    <w:rsid w:val="000A6418"/>
    <w:rsid w:val="000A6B2C"/>
    <w:rsid w:val="000C1673"/>
    <w:rsid w:val="000C1B71"/>
    <w:rsid w:val="000C2D00"/>
    <w:rsid w:val="000C388F"/>
    <w:rsid w:val="000C5640"/>
    <w:rsid w:val="000D0A53"/>
    <w:rsid w:val="000E6D7E"/>
    <w:rsid w:val="00105E60"/>
    <w:rsid w:val="00111571"/>
    <w:rsid w:val="0011302B"/>
    <w:rsid w:val="001248A1"/>
    <w:rsid w:val="001305B2"/>
    <w:rsid w:val="00133B71"/>
    <w:rsid w:val="00136847"/>
    <w:rsid w:val="001414FF"/>
    <w:rsid w:val="00144A31"/>
    <w:rsid w:val="00144C79"/>
    <w:rsid w:val="00151A80"/>
    <w:rsid w:val="00163D09"/>
    <w:rsid w:val="00166CDD"/>
    <w:rsid w:val="00175FD1"/>
    <w:rsid w:val="00177D40"/>
    <w:rsid w:val="0018039A"/>
    <w:rsid w:val="001851BA"/>
    <w:rsid w:val="00187FCF"/>
    <w:rsid w:val="00190B41"/>
    <w:rsid w:val="001932E1"/>
    <w:rsid w:val="00194BCE"/>
    <w:rsid w:val="00196941"/>
    <w:rsid w:val="00197B6C"/>
    <w:rsid w:val="001A0BBA"/>
    <w:rsid w:val="001A7462"/>
    <w:rsid w:val="001B4BCB"/>
    <w:rsid w:val="001B5258"/>
    <w:rsid w:val="001B561B"/>
    <w:rsid w:val="001B7796"/>
    <w:rsid w:val="001C1F8C"/>
    <w:rsid w:val="001C56B9"/>
    <w:rsid w:val="001D0D90"/>
    <w:rsid w:val="001D142E"/>
    <w:rsid w:val="001D1FC2"/>
    <w:rsid w:val="001D4158"/>
    <w:rsid w:val="001E09EC"/>
    <w:rsid w:val="001E6507"/>
    <w:rsid w:val="001E6C2A"/>
    <w:rsid w:val="001F3123"/>
    <w:rsid w:val="001F429A"/>
    <w:rsid w:val="001F4ADA"/>
    <w:rsid w:val="001F7B6D"/>
    <w:rsid w:val="00201414"/>
    <w:rsid w:val="002028A0"/>
    <w:rsid w:val="00225C75"/>
    <w:rsid w:val="00226064"/>
    <w:rsid w:val="002265E7"/>
    <w:rsid w:val="00230382"/>
    <w:rsid w:val="0025076D"/>
    <w:rsid w:val="00253095"/>
    <w:rsid w:val="00267A03"/>
    <w:rsid w:val="0028708F"/>
    <w:rsid w:val="00293596"/>
    <w:rsid w:val="00295D63"/>
    <w:rsid w:val="002B407F"/>
    <w:rsid w:val="002B4CF2"/>
    <w:rsid w:val="002C18DC"/>
    <w:rsid w:val="002D269B"/>
    <w:rsid w:val="002D34DC"/>
    <w:rsid w:val="002D4EEE"/>
    <w:rsid w:val="002E1790"/>
    <w:rsid w:val="002E3DA3"/>
    <w:rsid w:val="002F64DF"/>
    <w:rsid w:val="00314CCD"/>
    <w:rsid w:val="00323B43"/>
    <w:rsid w:val="003247BA"/>
    <w:rsid w:val="00330911"/>
    <w:rsid w:val="00341EAD"/>
    <w:rsid w:val="00346188"/>
    <w:rsid w:val="00355F94"/>
    <w:rsid w:val="00383903"/>
    <w:rsid w:val="00392CEE"/>
    <w:rsid w:val="003953E1"/>
    <w:rsid w:val="003B1648"/>
    <w:rsid w:val="003B4851"/>
    <w:rsid w:val="003B60AF"/>
    <w:rsid w:val="003C1E5B"/>
    <w:rsid w:val="003C51EE"/>
    <w:rsid w:val="003D37D8"/>
    <w:rsid w:val="003D5018"/>
    <w:rsid w:val="003F048E"/>
    <w:rsid w:val="003F7192"/>
    <w:rsid w:val="003F7F69"/>
    <w:rsid w:val="00401887"/>
    <w:rsid w:val="00405162"/>
    <w:rsid w:val="00413547"/>
    <w:rsid w:val="00413554"/>
    <w:rsid w:val="00423C6D"/>
    <w:rsid w:val="00426133"/>
    <w:rsid w:val="004358AB"/>
    <w:rsid w:val="00436368"/>
    <w:rsid w:val="00437009"/>
    <w:rsid w:val="00443B64"/>
    <w:rsid w:val="00450A20"/>
    <w:rsid w:val="00454A9B"/>
    <w:rsid w:val="0046046D"/>
    <w:rsid w:val="00463CCC"/>
    <w:rsid w:val="00464666"/>
    <w:rsid w:val="00467877"/>
    <w:rsid w:val="004720CA"/>
    <w:rsid w:val="00476F39"/>
    <w:rsid w:val="00477601"/>
    <w:rsid w:val="00480AD9"/>
    <w:rsid w:val="00482DD8"/>
    <w:rsid w:val="00485D08"/>
    <w:rsid w:val="004A4A88"/>
    <w:rsid w:val="004A5377"/>
    <w:rsid w:val="004B16A5"/>
    <w:rsid w:val="004B1DC8"/>
    <w:rsid w:val="004B2CC8"/>
    <w:rsid w:val="004B504A"/>
    <w:rsid w:val="004E398C"/>
    <w:rsid w:val="004E4E88"/>
    <w:rsid w:val="004F2CF7"/>
    <w:rsid w:val="004F6205"/>
    <w:rsid w:val="004F6A4C"/>
    <w:rsid w:val="00507F1D"/>
    <w:rsid w:val="00513B33"/>
    <w:rsid w:val="00516D15"/>
    <w:rsid w:val="00531BF6"/>
    <w:rsid w:val="00535FBA"/>
    <w:rsid w:val="00540B7E"/>
    <w:rsid w:val="00542082"/>
    <w:rsid w:val="00553048"/>
    <w:rsid w:val="00553DC1"/>
    <w:rsid w:val="00555898"/>
    <w:rsid w:val="005559D0"/>
    <w:rsid w:val="00566E28"/>
    <w:rsid w:val="00567199"/>
    <w:rsid w:val="00585107"/>
    <w:rsid w:val="00586B0A"/>
    <w:rsid w:val="00592084"/>
    <w:rsid w:val="0059561B"/>
    <w:rsid w:val="00595DC4"/>
    <w:rsid w:val="005A59A5"/>
    <w:rsid w:val="005A5A9F"/>
    <w:rsid w:val="005B4E0A"/>
    <w:rsid w:val="005C2D13"/>
    <w:rsid w:val="005C71CA"/>
    <w:rsid w:val="005E4491"/>
    <w:rsid w:val="005E6AE7"/>
    <w:rsid w:val="005F1BC7"/>
    <w:rsid w:val="00604E80"/>
    <w:rsid w:val="00614A83"/>
    <w:rsid w:val="0061574A"/>
    <w:rsid w:val="00615EA1"/>
    <w:rsid w:val="00641A94"/>
    <w:rsid w:val="00643BE3"/>
    <w:rsid w:val="00644F2B"/>
    <w:rsid w:val="0065044A"/>
    <w:rsid w:val="00655631"/>
    <w:rsid w:val="00661091"/>
    <w:rsid w:val="0066296A"/>
    <w:rsid w:val="00663F42"/>
    <w:rsid w:val="00665BC2"/>
    <w:rsid w:val="0066693A"/>
    <w:rsid w:val="00672BEF"/>
    <w:rsid w:val="006778D6"/>
    <w:rsid w:val="00682D00"/>
    <w:rsid w:val="00692E11"/>
    <w:rsid w:val="006A577E"/>
    <w:rsid w:val="006B2503"/>
    <w:rsid w:val="006C1127"/>
    <w:rsid w:val="006C2B0D"/>
    <w:rsid w:val="006C2F56"/>
    <w:rsid w:val="006D1DC5"/>
    <w:rsid w:val="006D329D"/>
    <w:rsid w:val="006E160D"/>
    <w:rsid w:val="006E24F6"/>
    <w:rsid w:val="006F250B"/>
    <w:rsid w:val="006F422C"/>
    <w:rsid w:val="007321DB"/>
    <w:rsid w:val="00732C45"/>
    <w:rsid w:val="00733B47"/>
    <w:rsid w:val="0073413F"/>
    <w:rsid w:val="00740C70"/>
    <w:rsid w:val="00740DA9"/>
    <w:rsid w:val="007477F8"/>
    <w:rsid w:val="00750E2D"/>
    <w:rsid w:val="00763EA4"/>
    <w:rsid w:val="0076570E"/>
    <w:rsid w:val="00772F51"/>
    <w:rsid w:val="00793872"/>
    <w:rsid w:val="007A0DA8"/>
    <w:rsid w:val="007B7E0D"/>
    <w:rsid w:val="007C3031"/>
    <w:rsid w:val="007D1CDA"/>
    <w:rsid w:val="007D5F27"/>
    <w:rsid w:val="007D714B"/>
    <w:rsid w:val="007E270E"/>
    <w:rsid w:val="007E2EA4"/>
    <w:rsid w:val="007E3B73"/>
    <w:rsid w:val="007F2050"/>
    <w:rsid w:val="007F3B3F"/>
    <w:rsid w:val="00834C86"/>
    <w:rsid w:val="00841748"/>
    <w:rsid w:val="0084368D"/>
    <w:rsid w:val="00872880"/>
    <w:rsid w:val="008739EE"/>
    <w:rsid w:val="00882023"/>
    <w:rsid w:val="00882483"/>
    <w:rsid w:val="008836CC"/>
    <w:rsid w:val="00893BF4"/>
    <w:rsid w:val="008948D4"/>
    <w:rsid w:val="008A03B9"/>
    <w:rsid w:val="008A2288"/>
    <w:rsid w:val="008A5C1E"/>
    <w:rsid w:val="008A67ED"/>
    <w:rsid w:val="008B1045"/>
    <w:rsid w:val="008B533B"/>
    <w:rsid w:val="008B7726"/>
    <w:rsid w:val="008C1161"/>
    <w:rsid w:val="008C3B0B"/>
    <w:rsid w:val="008D0E6A"/>
    <w:rsid w:val="008D55EE"/>
    <w:rsid w:val="008D5EED"/>
    <w:rsid w:val="008E079A"/>
    <w:rsid w:val="008E3E48"/>
    <w:rsid w:val="008F7275"/>
    <w:rsid w:val="009004D7"/>
    <w:rsid w:val="00913279"/>
    <w:rsid w:val="009178E7"/>
    <w:rsid w:val="00940E30"/>
    <w:rsid w:val="00943743"/>
    <w:rsid w:val="00952865"/>
    <w:rsid w:val="00952A91"/>
    <w:rsid w:val="00954CB9"/>
    <w:rsid w:val="009618B7"/>
    <w:rsid w:val="00964BF3"/>
    <w:rsid w:val="00971607"/>
    <w:rsid w:val="00974FA3"/>
    <w:rsid w:val="00977E70"/>
    <w:rsid w:val="0098143F"/>
    <w:rsid w:val="009906B0"/>
    <w:rsid w:val="009928D8"/>
    <w:rsid w:val="009A1F11"/>
    <w:rsid w:val="009A4257"/>
    <w:rsid w:val="009B1681"/>
    <w:rsid w:val="009D1830"/>
    <w:rsid w:val="009E42CE"/>
    <w:rsid w:val="009E6EE7"/>
    <w:rsid w:val="009F08C4"/>
    <w:rsid w:val="009F08F7"/>
    <w:rsid w:val="009F0CE8"/>
    <w:rsid w:val="009F1766"/>
    <w:rsid w:val="00A023A2"/>
    <w:rsid w:val="00A05DE3"/>
    <w:rsid w:val="00A14BEC"/>
    <w:rsid w:val="00A14E77"/>
    <w:rsid w:val="00A238C0"/>
    <w:rsid w:val="00A250BB"/>
    <w:rsid w:val="00A376F6"/>
    <w:rsid w:val="00A42EA6"/>
    <w:rsid w:val="00A450C6"/>
    <w:rsid w:val="00A46DE0"/>
    <w:rsid w:val="00A553CA"/>
    <w:rsid w:val="00A63079"/>
    <w:rsid w:val="00A71594"/>
    <w:rsid w:val="00A749CC"/>
    <w:rsid w:val="00A74DC9"/>
    <w:rsid w:val="00A81EE7"/>
    <w:rsid w:val="00A83133"/>
    <w:rsid w:val="00A8565E"/>
    <w:rsid w:val="00A92566"/>
    <w:rsid w:val="00A94F18"/>
    <w:rsid w:val="00A964CA"/>
    <w:rsid w:val="00AA0068"/>
    <w:rsid w:val="00AA314E"/>
    <w:rsid w:val="00AA3644"/>
    <w:rsid w:val="00AA7651"/>
    <w:rsid w:val="00AB0A49"/>
    <w:rsid w:val="00AB5E39"/>
    <w:rsid w:val="00AC4D81"/>
    <w:rsid w:val="00AD7338"/>
    <w:rsid w:val="00AE37EB"/>
    <w:rsid w:val="00AE4497"/>
    <w:rsid w:val="00AF2D06"/>
    <w:rsid w:val="00AF33B0"/>
    <w:rsid w:val="00B0617A"/>
    <w:rsid w:val="00B15C9B"/>
    <w:rsid w:val="00B2046F"/>
    <w:rsid w:val="00B2379D"/>
    <w:rsid w:val="00B3237E"/>
    <w:rsid w:val="00B32738"/>
    <w:rsid w:val="00B416A2"/>
    <w:rsid w:val="00B4682C"/>
    <w:rsid w:val="00B469D7"/>
    <w:rsid w:val="00B50D3E"/>
    <w:rsid w:val="00B516E6"/>
    <w:rsid w:val="00B70312"/>
    <w:rsid w:val="00B72974"/>
    <w:rsid w:val="00B732F0"/>
    <w:rsid w:val="00B94D05"/>
    <w:rsid w:val="00B94FEE"/>
    <w:rsid w:val="00BA1221"/>
    <w:rsid w:val="00BA3E0E"/>
    <w:rsid w:val="00BA4E0D"/>
    <w:rsid w:val="00BB4E85"/>
    <w:rsid w:val="00BB5C03"/>
    <w:rsid w:val="00BB7C22"/>
    <w:rsid w:val="00BC12AB"/>
    <w:rsid w:val="00BC42DF"/>
    <w:rsid w:val="00BC7F1C"/>
    <w:rsid w:val="00BD07BF"/>
    <w:rsid w:val="00BD139F"/>
    <w:rsid w:val="00BD53F3"/>
    <w:rsid w:val="00BE495F"/>
    <w:rsid w:val="00BF0D91"/>
    <w:rsid w:val="00C0295F"/>
    <w:rsid w:val="00C134B9"/>
    <w:rsid w:val="00C14FA3"/>
    <w:rsid w:val="00C340CA"/>
    <w:rsid w:val="00C37DEE"/>
    <w:rsid w:val="00C42985"/>
    <w:rsid w:val="00C42E64"/>
    <w:rsid w:val="00C43EEE"/>
    <w:rsid w:val="00C4497A"/>
    <w:rsid w:val="00C50C43"/>
    <w:rsid w:val="00C51B9E"/>
    <w:rsid w:val="00C54210"/>
    <w:rsid w:val="00C57D76"/>
    <w:rsid w:val="00C62279"/>
    <w:rsid w:val="00C671FB"/>
    <w:rsid w:val="00C71A2D"/>
    <w:rsid w:val="00C75771"/>
    <w:rsid w:val="00C75B76"/>
    <w:rsid w:val="00C75E3C"/>
    <w:rsid w:val="00C7626A"/>
    <w:rsid w:val="00C777B9"/>
    <w:rsid w:val="00C82A54"/>
    <w:rsid w:val="00C92FFE"/>
    <w:rsid w:val="00C945D8"/>
    <w:rsid w:val="00C94A5F"/>
    <w:rsid w:val="00C94C06"/>
    <w:rsid w:val="00CA4A3D"/>
    <w:rsid w:val="00CD7A22"/>
    <w:rsid w:val="00CE08BC"/>
    <w:rsid w:val="00CF5420"/>
    <w:rsid w:val="00D04101"/>
    <w:rsid w:val="00D06450"/>
    <w:rsid w:val="00D13FE2"/>
    <w:rsid w:val="00D21C67"/>
    <w:rsid w:val="00D31D50"/>
    <w:rsid w:val="00D329D9"/>
    <w:rsid w:val="00D37B96"/>
    <w:rsid w:val="00D5000B"/>
    <w:rsid w:val="00D6018E"/>
    <w:rsid w:val="00D642E0"/>
    <w:rsid w:val="00D8045F"/>
    <w:rsid w:val="00D805FC"/>
    <w:rsid w:val="00D82223"/>
    <w:rsid w:val="00D905BC"/>
    <w:rsid w:val="00DB3477"/>
    <w:rsid w:val="00DB5D88"/>
    <w:rsid w:val="00DC0BCE"/>
    <w:rsid w:val="00DC0DF2"/>
    <w:rsid w:val="00E003EC"/>
    <w:rsid w:val="00E00672"/>
    <w:rsid w:val="00E03F6B"/>
    <w:rsid w:val="00E060D6"/>
    <w:rsid w:val="00E1015F"/>
    <w:rsid w:val="00E240AD"/>
    <w:rsid w:val="00E26AE5"/>
    <w:rsid w:val="00E30D6F"/>
    <w:rsid w:val="00E31439"/>
    <w:rsid w:val="00E34762"/>
    <w:rsid w:val="00E4148F"/>
    <w:rsid w:val="00E4248D"/>
    <w:rsid w:val="00E42E6D"/>
    <w:rsid w:val="00E47FC6"/>
    <w:rsid w:val="00E647C1"/>
    <w:rsid w:val="00E73908"/>
    <w:rsid w:val="00E844E4"/>
    <w:rsid w:val="00E91B23"/>
    <w:rsid w:val="00E933D5"/>
    <w:rsid w:val="00EA17EE"/>
    <w:rsid w:val="00EA2A52"/>
    <w:rsid w:val="00EA3071"/>
    <w:rsid w:val="00EB4354"/>
    <w:rsid w:val="00ED209C"/>
    <w:rsid w:val="00ED3A01"/>
    <w:rsid w:val="00ED7D86"/>
    <w:rsid w:val="00F03A97"/>
    <w:rsid w:val="00F07849"/>
    <w:rsid w:val="00F213AE"/>
    <w:rsid w:val="00F30818"/>
    <w:rsid w:val="00F43B07"/>
    <w:rsid w:val="00F43BF7"/>
    <w:rsid w:val="00F5559D"/>
    <w:rsid w:val="00F578E7"/>
    <w:rsid w:val="00F664A2"/>
    <w:rsid w:val="00F7088C"/>
    <w:rsid w:val="00F80524"/>
    <w:rsid w:val="00F82148"/>
    <w:rsid w:val="00FA2453"/>
    <w:rsid w:val="00FB067E"/>
    <w:rsid w:val="00FB560B"/>
    <w:rsid w:val="00FD02BC"/>
    <w:rsid w:val="00FE26D3"/>
    <w:rsid w:val="01187BDA"/>
    <w:rsid w:val="012909CB"/>
    <w:rsid w:val="01541EA9"/>
    <w:rsid w:val="01583748"/>
    <w:rsid w:val="016B2659"/>
    <w:rsid w:val="0176597C"/>
    <w:rsid w:val="018D0F17"/>
    <w:rsid w:val="018D43F3"/>
    <w:rsid w:val="018E4295"/>
    <w:rsid w:val="0192621F"/>
    <w:rsid w:val="01A761C5"/>
    <w:rsid w:val="01AF4639"/>
    <w:rsid w:val="01F1594A"/>
    <w:rsid w:val="01F82847"/>
    <w:rsid w:val="02076F1C"/>
    <w:rsid w:val="024B4E52"/>
    <w:rsid w:val="02541D6F"/>
    <w:rsid w:val="027F5329"/>
    <w:rsid w:val="02CA29D7"/>
    <w:rsid w:val="02F2197A"/>
    <w:rsid w:val="03082F4B"/>
    <w:rsid w:val="0314091A"/>
    <w:rsid w:val="03771E7F"/>
    <w:rsid w:val="038545BF"/>
    <w:rsid w:val="039C6596"/>
    <w:rsid w:val="03B60BF9"/>
    <w:rsid w:val="03BE4BE3"/>
    <w:rsid w:val="03FD4132"/>
    <w:rsid w:val="040C6A6B"/>
    <w:rsid w:val="043102CE"/>
    <w:rsid w:val="04354274"/>
    <w:rsid w:val="043A35D9"/>
    <w:rsid w:val="04446205"/>
    <w:rsid w:val="044C50BA"/>
    <w:rsid w:val="04504722"/>
    <w:rsid w:val="0451447E"/>
    <w:rsid w:val="04536448"/>
    <w:rsid w:val="04806B11"/>
    <w:rsid w:val="04B213C1"/>
    <w:rsid w:val="04CB4231"/>
    <w:rsid w:val="05235E1B"/>
    <w:rsid w:val="05377B18"/>
    <w:rsid w:val="05411506"/>
    <w:rsid w:val="0556576B"/>
    <w:rsid w:val="055A05D3"/>
    <w:rsid w:val="056A1C9B"/>
    <w:rsid w:val="05724F62"/>
    <w:rsid w:val="058645FB"/>
    <w:rsid w:val="058F470A"/>
    <w:rsid w:val="059A01DD"/>
    <w:rsid w:val="059D7AE3"/>
    <w:rsid w:val="05E277B3"/>
    <w:rsid w:val="05E632C0"/>
    <w:rsid w:val="05F9301F"/>
    <w:rsid w:val="05FE0636"/>
    <w:rsid w:val="06101F6F"/>
    <w:rsid w:val="06113EC5"/>
    <w:rsid w:val="0625595B"/>
    <w:rsid w:val="06587D46"/>
    <w:rsid w:val="067959B8"/>
    <w:rsid w:val="068057E5"/>
    <w:rsid w:val="068176BD"/>
    <w:rsid w:val="069F45EA"/>
    <w:rsid w:val="06A93172"/>
    <w:rsid w:val="06EE4206"/>
    <w:rsid w:val="06FD269B"/>
    <w:rsid w:val="073267E9"/>
    <w:rsid w:val="07395EC4"/>
    <w:rsid w:val="0757624F"/>
    <w:rsid w:val="0763569F"/>
    <w:rsid w:val="077D5E37"/>
    <w:rsid w:val="07AB6BAE"/>
    <w:rsid w:val="07B8371F"/>
    <w:rsid w:val="07C05BA3"/>
    <w:rsid w:val="07C3354C"/>
    <w:rsid w:val="07C644D1"/>
    <w:rsid w:val="07D478A0"/>
    <w:rsid w:val="07F7141C"/>
    <w:rsid w:val="08180017"/>
    <w:rsid w:val="081964D9"/>
    <w:rsid w:val="08202694"/>
    <w:rsid w:val="08396A0E"/>
    <w:rsid w:val="083B347B"/>
    <w:rsid w:val="08512C9F"/>
    <w:rsid w:val="0852606B"/>
    <w:rsid w:val="08693CC0"/>
    <w:rsid w:val="086D1FB0"/>
    <w:rsid w:val="088210AA"/>
    <w:rsid w:val="088C085E"/>
    <w:rsid w:val="088C76BF"/>
    <w:rsid w:val="08921BDB"/>
    <w:rsid w:val="08C42CE3"/>
    <w:rsid w:val="08CB2A51"/>
    <w:rsid w:val="08CD3A40"/>
    <w:rsid w:val="08E7715F"/>
    <w:rsid w:val="08F0070A"/>
    <w:rsid w:val="08F655F4"/>
    <w:rsid w:val="08FA5B6C"/>
    <w:rsid w:val="08FF1C4F"/>
    <w:rsid w:val="092A596F"/>
    <w:rsid w:val="09362315"/>
    <w:rsid w:val="095074F8"/>
    <w:rsid w:val="095A1E46"/>
    <w:rsid w:val="096249C6"/>
    <w:rsid w:val="096B1B3E"/>
    <w:rsid w:val="09903C9B"/>
    <w:rsid w:val="099843CC"/>
    <w:rsid w:val="099C263F"/>
    <w:rsid w:val="09A83CE1"/>
    <w:rsid w:val="09C83C86"/>
    <w:rsid w:val="09F04A5A"/>
    <w:rsid w:val="09F8417E"/>
    <w:rsid w:val="09FB4952"/>
    <w:rsid w:val="0A0553EE"/>
    <w:rsid w:val="0A081A83"/>
    <w:rsid w:val="0A4D56E8"/>
    <w:rsid w:val="0A7A254C"/>
    <w:rsid w:val="0A822A51"/>
    <w:rsid w:val="0A97354A"/>
    <w:rsid w:val="0AA37373"/>
    <w:rsid w:val="0AC20B6B"/>
    <w:rsid w:val="0AC77248"/>
    <w:rsid w:val="0AE60E31"/>
    <w:rsid w:val="0AE918B4"/>
    <w:rsid w:val="0AEB73DB"/>
    <w:rsid w:val="0B023F58"/>
    <w:rsid w:val="0B28234A"/>
    <w:rsid w:val="0B330060"/>
    <w:rsid w:val="0B347670"/>
    <w:rsid w:val="0B5964AA"/>
    <w:rsid w:val="0B6C28D0"/>
    <w:rsid w:val="0B813DCE"/>
    <w:rsid w:val="0BB377CC"/>
    <w:rsid w:val="0BB579E9"/>
    <w:rsid w:val="0BB77C49"/>
    <w:rsid w:val="0BC60A74"/>
    <w:rsid w:val="0BEB6C70"/>
    <w:rsid w:val="0BFC62FE"/>
    <w:rsid w:val="0C4F7F6D"/>
    <w:rsid w:val="0C6557E4"/>
    <w:rsid w:val="0C6C7B82"/>
    <w:rsid w:val="0C6D22A8"/>
    <w:rsid w:val="0CA071EA"/>
    <w:rsid w:val="0CC20DCD"/>
    <w:rsid w:val="0CD87D21"/>
    <w:rsid w:val="0CE95B9C"/>
    <w:rsid w:val="0CF5389B"/>
    <w:rsid w:val="0D111E74"/>
    <w:rsid w:val="0D2A3BD9"/>
    <w:rsid w:val="0D38442D"/>
    <w:rsid w:val="0D4508F8"/>
    <w:rsid w:val="0D550A0B"/>
    <w:rsid w:val="0D661AFC"/>
    <w:rsid w:val="0D662DAD"/>
    <w:rsid w:val="0D9F26FE"/>
    <w:rsid w:val="0DA44E93"/>
    <w:rsid w:val="0DB22432"/>
    <w:rsid w:val="0DB25F8E"/>
    <w:rsid w:val="0DD27D56"/>
    <w:rsid w:val="0DDA1988"/>
    <w:rsid w:val="0E0A3CAB"/>
    <w:rsid w:val="0E134F3B"/>
    <w:rsid w:val="0E2315D2"/>
    <w:rsid w:val="0E545297"/>
    <w:rsid w:val="0E5B4877"/>
    <w:rsid w:val="0E5C4DB8"/>
    <w:rsid w:val="0E642D2B"/>
    <w:rsid w:val="0E6E1762"/>
    <w:rsid w:val="0E897906"/>
    <w:rsid w:val="0E981CDF"/>
    <w:rsid w:val="0E9E63B3"/>
    <w:rsid w:val="0EA51A8B"/>
    <w:rsid w:val="0EB16245"/>
    <w:rsid w:val="0ECF397A"/>
    <w:rsid w:val="0EE51A53"/>
    <w:rsid w:val="0F031FD3"/>
    <w:rsid w:val="0F0740B7"/>
    <w:rsid w:val="0F0E080B"/>
    <w:rsid w:val="0F1C2F5E"/>
    <w:rsid w:val="0F391D81"/>
    <w:rsid w:val="0F4E618A"/>
    <w:rsid w:val="0F7456A2"/>
    <w:rsid w:val="0F7C24AA"/>
    <w:rsid w:val="0FC61287"/>
    <w:rsid w:val="0FC937AA"/>
    <w:rsid w:val="0FE46908"/>
    <w:rsid w:val="0FFD1F8A"/>
    <w:rsid w:val="0FFF7E08"/>
    <w:rsid w:val="100D59B4"/>
    <w:rsid w:val="10262C63"/>
    <w:rsid w:val="10293C00"/>
    <w:rsid w:val="10295F39"/>
    <w:rsid w:val="10302224"/>
    <w:rsid w:val="103A1E52"/>
    <w:rsid w:val="103D5CDD"/>
    <w:rsid w:val="104377C6"/>
    <w:rsid w:val="1045758D"/>
    <w:rsid w:val="104B091B"/>
    <w:rsid w:val="105552F6"/>
    <w:rsid w:val="10615A49"/>
    <w:rsid w:val="107439CE"/>
    <w:rsid w:val="10A9593D"/>
    <w:rsid w:val="10AB0662"/>
    <w:rsid w:val="10BA31FF"/>
    <w:rsid w:val="10CC63A6"/>
    <w:rsid w:val="10CF32FA"/>
    <w:rsid w:val="10DE7C00"/>
    <w:rsid w:val="10E024DA"/>
    <w:rsid w:val="11150096"/>
    <w:rsid w:val="111B02EE"/>
    <w:rsid w:val="112C12EF"/>
    <w:rsid w:val="11474599"/>
    <w:rsid w:val="11566260"/>
    <w:rsid w:val="116B3023"/>
    <w:rsid w:val="116F3C27"/>
    <w:rsid w:val="11B27713"/>
    <w:rsid w:val="11EE77B0"/>
    <w:rsid w:val="12435284"/>
    <w:rsid w:val="124608C5"/>
    <w:rsid w:val="126F6B43"/>
    <w:rsid w:val="127B4B43"/>
    <w:rsid w:val="12856FF3"/>
    <w:rsid w:val="128D521B"/>
    <w:rsid w:val="129A3494"/>
    <w:rsid w:val="12A367ED"/>
    <w:rsid w:val="12F901BB"/>
    <w:rsid w:val="130A39C8"/>
    <w:rsid w:val="132A4818"/>
    <w:rsid w:val="13364A3E"/>
    <w:rsid w:val="138E124B"/>
    <w:rsid w:val="13AC73A0"/>
    <w:rsid w:val="13AD7EB8"/>
    <w:rsid w:val="13B81EC8"/>
    <w:rsid w:val="13C20EF5"/>
    <w:rsid w:val="13C72E82"/>
    <w:rsid w:val="13E26254"/>
    <w:rsid w:val="13EE15AA"/>
    <w:rsid w:val="13F43E5A"/>
    <w:rsid w:val="13F44C4B"/>
    <w:rsid w:val="14184EB4"/>
    <w:rsid w:val="143376FC"/>
    <w:rsid w:val="143556B4"/>
    <w:rsid w:val="143769B9"/>
    <w:rsid w:val="143F0797"/>
    <w:rsid w:val="14465682"/>
    <w:rsid w:val="145C7B42"/>
    <w:rsid w:val="14602BB9"/>
    <w:rsid w:val="1497412F"/>
    <w:rsid w:val="14A15046"/>
    <w:rsid w:val="14A57C7B"/>
    <w:rsid w:val="14AE1D2C"/>
    <w:rsid w:val="14C21FE1"/>
    <w:rsid w:val="14C5664B"/>
    <w:rsid w:val="14E419DE"/>
    <w:rsid w:val="14F848D3"/>
    <w:rsid w:val="14FC0523"/>
    <w:rsid w:val="151E2FAF"/>
    <w:rsid w:val="152F73F9"/>
    <w:rsid w:val="1537655C"/>
    <w:rsid w:val="1565422D"/>
    <w:rsid w:val="157A590F"/>
    <w:rsid w:val="158741A4"/>
    <w:rsid w:val="159266A5"/>
    <w:rsid w:val="15A33CBC"/>
    <w:rsid w:val="15C95ACB"/>
    <w:rsid w:val="161B669A"/>
    <w:rsid w:val="161E203D"/>
    <w:rsid w:val="162437A1"/>
    <w:rsid w:val="163F7F34"/>
    <w:rsid w:val="16475106"/>
    <w:rsid w:val="164B6CB2"/>
    <w:rsid w:val="1672275E"/>
    <w:rsid w:val="16753FFC"/>
    <w:rsid w:val="16797F90"/>
    <w:rsid w:val="167C182F"/>
    <w:rsid w:val="16AC1941"/>
    <w:rsid w:val="16B312C8"/>
    <w:rsid w:val="16C72945"/>
    <w:rsid w:val="16E762A2"/>
    <w:rsid w:val="16EA2C3C"/>
    <w:rsid w:val="16F2564D"/>
    <w:rsid w:val="16F51B50"/>
    <w:rsid w:val="16FA0B24"/>
    <w:rsid w:val="171A6BF8"/>
    <w:rsid w:val="17295C7F"/>
    <w:rsid w:val="173D342E"/>
    <w:rsid w:val="174F7248"/>
    <w:rsid w:val="175C6F6A"/>
    <w:rsid w:val="176F07AC"/>
    <w:rsid w:val="177133A8"/>
    <w:rsid w:val="178A5719"/>
    <w:rsid w:val="179E4A77"/>
    <w:rsid w:val="17A20BD4"/>
    <w:rsid w:val="17B9616B"/>
    <w:rsid w:val="17EB6CD9"/>
    <w:rsid w:val="17F453F5"/>
    <w:rsid w:val="180A037E"/>
    <w:rsid w:val="18383533"/>
    <w:rsid w:val="18414ADE"/>
    <w:rsid w:val="18720428"/>
    <w:rsid w:val="187310DB"/>
    <w:rsid w:val="18827918"/>
    <w:rsid w:val="18876269"/>
    <w:rsid w:val="18970EED"/>
    <w:rsid w:val="18BE612E"/>
    <w:rsid w:val="18C13529"/>
    <w:rsid w:val="18D40F01"/>
    <w:rsid w:val="19127B31"/>
    <w:rsid w:val="19270BFF"/>
    <w:rsid w:val="193201AF"/>
    <w:rsid w:val="19371A3D"/>
    <w:rsid w:val="194E40A6"/>
    <w:rsid w:val="198B69CE"/>
    <w:rsid w:val="198E1233"/>
    <w:rsid w:val="19935267"/>
    <w:rsid w:val="19A1335A"/>
    <w:rsid w:val="19AD1CFF"/>
    <w:rsid w:val="19AE61A3"/>
    <w:rsid w:val="19B32973"/>
    <w:rsid w:val="19D13CB4"/>
    <w:rsid w:val="19E03E83"/>
    <w:rsid w:val="19EF40C6"/>
    <w:rsid w:val="1A054CB0"/>
    <w:rsid w:val="1A141D7E"/>
    <w:rsid w:val="1A146A37"/>
    <w:rsid w:val="1A1A4985"/>
    <w:rsid w:val="1A1B310D"/>
    <w:rsid w:val="1A1D0C33"/>
    <w:rsid w:val="1A385A6D"/>
    <w:rsid w:val="1A5605E9"/>
    <w:rsid w:val="1A7154BB"/>
    <w:rsid w:val="1A7D4B85"/>
    <w:rsid w:val="1A96061E"/>
    <w:rsid w:val="1AAA761D"/>
    <w:rsid w:val="1AE36B06"/>
    <w:rsid w:val="1B077874"/>
    <w:rsid w:val="1B261D69"/>
    <w:rsid w:val="1B3020AA"/>
    <w:rsid w:val="1B615EB6"/>
    <w:rsid w:val="1B723200"/>
    <w:rsid w:val="1B7D7E5C"/>
    <w:rsid w:val="1B8D1DE8"/>
    <w:rsid w:val="1BA07BC0"/>
    <w:rsid w:val="1BB90E2F"/>
    <w:rsid w:val="1C174926"/>
    <w:rsid w:val="1C232937"/>
    <w:rsid w:val="1C7118F1"/>
    <w:rsid w:val="1C760ACE"/>
    <w:rsid w:val="1CA20C86"/>
    <w:rsid w:val="1CC43606"/>
    <w:rsid w:val="1CDA105D"/>
    <w:rsid w:val="1CE95744"/>
    <w:rsid w:val="1CEE4B08"/>
    <w:rsid w:val="1CF360FC"/>
    <w:rsid w:val="1CFA0E2E"/>
    <w:rsid w:val="1D1E4859"/>
    <w:rsid w:val="1D366E04"/>
    <w:rsid w:val="1D554430"/>
    <w:rsid w:val="1D7B096A"/>
    <w:rsid w:val="1D842C87"/>
    <w:rsid w:val="1D85546D"/>
    <w:rsid w:val="1D86067F"/>
    <w:rsid w:val="1D8D4CE0"/>
    <w:rsid w:val="1DA02855"/>
    <w:rsid w:val="1DA909B5"/>
    <w:rsid w:val="1DB33843"/>
    <w:rsid w:val="1DB97FFC"/>
    <w:rsid w:val="1DD723D5"/>
    <w:rsid w:val="1E0F11DA"/>
    <w:rsid w:val="1E1B7B7F"/>
    <w:rsid w:val="1E200517"/>
    <w:rsid w:val="1E392382"/>
    <w:rsid w:val="1E3C7187"/>
    <w:rsid w:val="1E480248"/>
    <w:rsid w:val="1E625AD8"/>
    <w:rsid w:val="1E6272D6"/>
    <w:rsid w:val="1E711A1E"/>
    <w:rsid w:val="1E890F8D"/>
    <w:rsid w:val="1E8E0351"/>
    <w:rsid w:val="1E944CBA"/>
    <w:rsid w:val="1EA77665"/>
    <w:rsid w:val="1EAA2419"/>
    <w:rsid w:val="1EE66125"/>
    <w:rsid w:val="1F1B770B"/>
    <w:rsid w:val="1F3233D2"/>
    <w:rsid w:val="1F38206B"/>
    <w:rsid w:val="1F3A5DE3"/>
    <w:rsid w:val="1F3A674C"/>
    <w:rsid w:val="1F46307B"/>
    <w:rsid w:val="1F4C5DB0"/>
    <w:rsid w:val="1F595ABE"/>
    <w:rsid w:val="1F77089D"/>
    <w:rsid w:val="1F7A3CB3"/>
    <w:rsid w:val="1F7C289F"/>
    <w:rsid w:val="1F842044"/>
    <w:rsid w:val="1FA63478"/>
    <w:rsid w:val="1FC14756"/>
    <w:rsid w:val="1FD00E3E"/>
    <w:rsid w:val="1FD91AA0"/>
    <w:rsid w:val="200F41A6"/>
    <w:rsid w:val="20621A95"/>
    <w:rsid w:val="208471DC"/>
    <w:rsid w:val="209443FF"/>
    <w:rsid w:val="20B971DB"/>
    <w:rsid w:val="210B3EDB"/>
    <w:rsid w:val="21525AB7"/>
    <w:rsid w:val="21795840"/>
    <w:rsid w:val="217D59A1"/>
    <w:rsid w:val="21B1661F"/>
    <w:rsid w:val="21D70261"/>
    <w:rsid w:val="21DF6F3E"/>
    <w:rsid w:val="21E91A3C"/>
    <w:rsid w:val="21E95E41"/>
    <w:rsid w:val="21EC6A02"/>
    <w:rsid w:val="21F107F9"/>
    <w:rsid w:val="21FF6306"/>
    <w:rsid w:val="220646A2"/>
    <w:rsid w:val="22445794"/>
    <w:rsid w:val="225047E7"/>
    <w:rsid w:val="225B49EE"/>
    <w:rsid w:val="225B7BFE"/>
    <w:rsid w:val="225F52BC"/>
    <w:rsid w:val="23011AF4"/>
    <w:rsid w:val="23040BE2"/>
    <w:rsid w:val="2309269C"/>
    <w:rsid w:val="23092DE8"/>
    <w:rsid w:val="231F4DAE"/>
    <w:rsid w:val="233D2346"/>
    <w:rsid w:val="235D6544"/>
    <w:rsid w:val="238F42CC"/>
    <w:rsid w:val="23996392"/>
    <w:rsid w:val="23A44173"/>
    <w:rsid w:val="23B87C1E"/>
    <w:rsid w:val="23C640E9"/>
    <w:rsid w:val="23D83E1C"/>
    <w:rsid w:val="2410543E"/>
    <w:rsid w:val="24254C73"/>
    <w:rsid w:val="24286B52"/>
    <w:rsid w:val="242B219E"/>
    <w:rsid w:val="242F751E"/>
    <w:rsid w:val="24406DDE"/>
    <w:rsid w:val="24681644"/>
    <w:rsid w:val="246A734E"/>
    <w:rsid w:val="24772DE1"/>
    <w:rsid w:val="24AC6A49"/>
    <w:rsid w:val="24AF2B7C"/>
    <w:rsid w:val="24CD4C5D"/>
    <w:rsid w:val="24E318DF"/>
    <w:rsid w:val="24EA2059"/>
    <w:rsid w:val="24FC660E"/>
    <w:rsid w:val="251315B0"/>
    <w:rsid w:val="251B1930"/>
    <w:rsid w:val="25275561"/>
    <w:rsid w:val="252F5CBE"/>
    <w:rsid w:val="255D6CCF"/>
    <w:rsid w:val="256D32A5"/>
    <w:rsid w:val="25746F21"/>
    <w:rsid w:val="257D111F"/>
    <w:rsid w:val="258D742B"/>
    <w:rsid w:val="25AB17E9"/>
    <w:rsid w:val="25CC5A3B"/>
    <w:rsid w:val="25D76688"/>
    <w:rsid w:val="25D81723"/>
    <w:rsid w:val="2618783A"/>
    <w:rsid w:val="262477ED"/>
    <w:rsid w:val="26286A50"/>
    <w:rsid w:val="263A491A"/>
    <w:rsid w:val="26785DA9"/>
    <w:rsid w:val="26797B10"/>
    <w:rsid w:val="268A58A2"/>
    <w:rsid w:val="26987C16"/>
    <w:rsid w:val="269956E5"/>
    <w:rsid w:val="269D0D91"/>
    <w:rsid w:val="26A77C60"/>
    <w:rsid w:val="26DD00C8"/>
    <w:rsid w:val="26FB22FC"/>
    <w:rsid w:val="27031211"/>
    <w:rsid w:val="27123262"/>
    <w:rsid w:val="27135E4D"/>
    <w:rsid w:val="27226C58"/>
    <w:rsid w:val="272D447F"/>
    <w:rsid w:val="273B4DEE"/>
    <w:rsid w:val="276460F3"/>
    <w:rsid w:val="27743E5C"/>
    <w:rsid w:val="27833A9D"/>
    <w:rsid w:val="278422F1"/>
    <w:rsid w:val="279849AC"/>
    <w:rsid w:val="279B763B"/>
    <w:rsid w:val="27A02EA3"/>
    <w:rsid w:val="27C052F3"/>
    <w:rsid w:val="27CC7BE6"/>
    <w:rsid w:val="27D74B17"/>
    <w:rsid w:val="27E47234"/>
    <w:rsid w:val="27FE6547"/>
    <w:rsid w:val="280653FC"/>
    <w:rsid w:val="28106259"/>
    <w:rsid w:val="28111579"/>
    <w:rsid w:val="28143639"/>
    <w:rsid w:val="2818512F"/>
    <w:rsid w:val="281B68EC"/>
    <w:rsid w:val="282633A8"/>
    <w:rsid w:val="282A2EFA"/>
    <w:rsid w:val="282A54E0"/>
    <w:rsid w:val="285E6839"/>
    <w:rsid w:val="2865471E"/>
    <w:rsid w:val="286F595B"/>
    <w:rsid w:val="28735A40"/>
    <w:rsid w:val="287843DF"/>
    <w:rsid w:val="2879797C"/>
    <w:rsid w:val="28981387"/>
    <w:rsid w:val="289A2243"/>
    <w:rsid w:val="28A279B8"/>
    <w:rsid w:val="28BF1C5C"/>
    <w:rsid w:val="28E66C6A"/>
    <w:rsid w:val="28E82024"/>
    <w:rsid w:val="29080D00"/>
    <w:rsid w:val="29372E5B"/>
    <w:rsid w:val="2948584E"/>
    <w:rsid w:val="29533F58"/>
    <w:rsid w:val="29693E94"/>
    <w:rsid w:val="298F739D"/>
    <w:rsid w:val="29E168BD"/>
    <w:rsid w:val="29F63F49"/>
    <w:rsid w:val="2A01526D"/>
    <w:rsid w:val="2A01609A"/>
    <w:rsid w:val="2A074070"/>
    <w:rsid w:val="2A40615F"/>
    <w:rsid w:val="2A8B7E3A"/>
    <w:rsid w:val="2A9211C9"/>
    <w:rsid w:val="2A976C6F"/>
    <w:rsid w:val="2AB1011E"/>
    <w:rsid w:val="2AB70C30"/>
    <w:rsid w:val="2AE82B97"/>
    <w:rsid w:val="2B3438DD"/>
    <w:rsid w:val="2B54647E"/>
    <w:rsid w:val="2B5D4F12"/>
    <w:rsid w:val="2B5E10AB"/>
    <w:rsid w:val="2B660F5B"/>
    <w:rsid w:val="2B6D12EE"/>
    <w:rsid w:val="2B820A2F"/>
    <w:rsid w:val="2B870602"/>
    <w:rsid w:val="2B991C14"/>
    <w:rsid w:val="2B9B22FF"/>
    <w:rsid w:val="2BA2543C"/>
    <w:rsid w:val="2BA33828"/>
    <w:rsid w:val="2BBB0ECF"/>
    <w:rsid w:val="2BC26463"/>
    <w:rsid w:val="2BCD5161"/>
    <w:rsid w:val="2BD55811"/>
    <w:rsid w:val="2C0412C3"/>
    <w:rsid w:val="2C1A1476"/>
    <w:rsid w:val="2C1D2D14"/>
    <w:rsid w:val="2C3758DA"/>
    <w:rsid w:val="2C522715"/>
    <w:rsid w:val="2C704ADF"/>
    <w:rsid w:val="2C732934"/>
    <w:rsid w:val="2C796D04"/>
    <w:rsid w:val="2C934D84"/>
    <w:rsid w:val="2CAD5E46"/>
    <w:rsid w:val="2CB745EA"/>
    <w:rsid w:val="2CC04EFA"/>
    <w:rsid w:val="2CC43900"/>
    <w:rsid w:val="2CE46028"/>
    <w:rsid w:val="2CE97A3C"/>
    <w:rsid w:val="2CF2792E"/>
    <w:rsid w:val="2D0405E4"/>
    <w:rsid w:val="2D371BB4"/>
    <w:rsid w:val="2D4C1B03"/>
    <w:rsid w:val="2D5D05FB"/>
    <w:rsid w:val="2D6D7CCB"/>
    <w:rsid w:val="2D74105A"/>
    <w:rsid w:val="2DA27975"/>
    <w:rsid w:val="2DB022C4"/>
    <w:rsid w:val="2DE715FE"/>
    <w:rsid w:val="2DED3D4D"/>
    <w:rsid w:val="2DEE4968"/>
    <w:rsid w:val="2DFE2383"/>
    <w:rsid w:val="2E0421ED"/>
    <w:rsid w:val="2E0979F4"/>
    <w:rsid w:val="2E16582B"/>
    <w:rsid w:val="2E1F28B7"/>
    <w:rsid w:val="2E623682"/>
    <w:rsid w:val="2E67296D"/>
    <w:rsid w:val="2EA018E4"/>
    <w:rsid w:val="2EAD7430"/>
    <w:rsid w:val="2ED51684"/>
    <w:rsid w:val="2ED81174"/>
    <w:rsid w:val="2EE3551D"/>
    <w:rsid w:val="2F2C2DF5"/>
    <w:rsid w:val="2F4D56BE"/>
    <w:rsid w:val="2F55631E"/>
    <w:rsid w:val="2F792957"/>
    <w:rsid w:val="30000983"/>
    <w:rsid w:val="30133FEC"/>
    <w:rsid w:val="30274161"/>
    <w:rsid w:val="305817FE"/>
    <w:rsid w:val="30631342"/>
    <w:rsid w:val="30657FF4"/>
    <w:rsid w:val="306D17AC"/>
    <w:rsid w:val="30BB41F2"/>
    <w:rsid w:val="30C3638E"/>
    <w:rsid w:val="30CE282F"/>
    <w:rsid w:val="30D91FC5"/>
    <w:rsid w:val="30DF2C8E"/>
    <w:rsid w:val="30E12562"/>
    <w:rsid w:val="30F43637"/>
    <w:rsid w:val="310B4584"/>
    <w:rsid w:val="310B6782"/>
    <w:rsid w:val="310D77FB"/>
    <w:rsid w:val="31230DCD"/>
    <w:rsid w:val="31243717"/>
    <w:rsid w:val="313A2085"/>
    <w:rsid w:val="315E0057"/>
    <w:rsid w:val="317D6BC6"/>
    <w:rsid w:val="31846894"/>
    <w:rsid w:val="31A33CBC"/>
    <w:rsid w:val="31A50EFF"/>
    <w:rsid w:val="31A65375"/>
    <w:rsid w:val="31A95387"/>
    <w:rsid w:val="31BD5F7C"/>
    <w:rsid w:val="31C8654E"/>
    <w:rsid w:val="31E3055C"/>
    <w:rsid w:val="31EB11BF"/>
    <w:rsid w:val="31FC517A"/>
    <w:rsid w:val="32047A19"/>
    <w:rsid w:val="320539CB"/>
    <w:rsid w:val="32286DC6"/>
    <w:rsid w:val="325712F5"/>
    <w:rsid w:val="326E10B0"/>
    <w:rsid w:val="32855FEF"/>
    <w:rsid w:val="328A5135"/>
    <w:rsid w:val="32B36180"/>
    <w:rsid w:val="32B92120"/>
    <w:rsid w:val="32CD2946"/>
    <w:rsid w:val="32E832F0"/>
    <w:rsid w:val="32FB021A"/>
    <w:rsid w:val="332E1CAB"/>
    <w:rsid w:val="33301D0B"/>
    <w:rsid w:val="334F3DB0"/>
    <w:rsid w:val="33783FBC"/>
    <w:rsid w:val="33830490"/>
    <w:rsid w:val="33B271F9"/>
    <w:rsid w:val="33B71435"/>
    <w:rsid w:val="33D4015C"/>
    <w:rsid w:val="33D740F0"/>
    <w:rsid w:val="33F16F60"/>
    <w:rsid w:val="340A0C8D"/>
    <w:rsid w:val="341354EF"/>
    <w:rsid w:val="345A26F2"/>
    <w:rsid w:val="346911EC"/>
    <w:rsid w:val="34960665"/>
    <w:rsid w:val="34A226D4"/>
    <w:rsid w:val="34B0567F"/>
    <w:rsid w:val="34C957E7"/>
    <w:rsid w:val="34D26EB9"/>
    <w:rsid w:val="34D67ABD"/>
    <w:rsid w:val="34E17474"/>
    <w:rsid w:val="354229F0"/>
    <w:rsid w:val="354C1958"/>
    <w:rsid w:val="35817F56"/>
    <w:rsid w:val="358B50DA"/>
    <w:rsid w:val="35AB313F"/>
    <w:rsid w:val="35C47314"/>
    <w:rsid w:val="35C57746"/>
    <w:rsid w:val="35CA2818"/>
    <w:rsid w:val="35DF3E2C"/>
    <w:rsid w:val="35E623C9"/>
    <w:rsid w:val="35FE0837"/>
    <w:rsid w:val="36020F5F"/>
    <w:rsid w:val="360D5BA8"/>
    <w:rsid w:val="361231BE"/>
    <w:rsid w:val="36434E45"/>
    <w:rsid w:val="365657A0"/>
    <w:rsid w:val="3658090C"/>
    <w:rsid w:val="36587762"/>
    <w:rsid w:val="366A124C"/>
    <w:rsid w:val="36D34E97"/>
    <w:rsid w:val="36D466C5"/>
    <w:rsid w:val="36EE2FB3"/>
    <w:rsid w:val="36EF34FF"/>
    <w:rsid w:val="3707610F"/>
    <w:rsid w:val="371145C5"/>
    <w:rsid w:val="372A6A61"/>
    <w:rsid w:val="372D39A1"/>
    <w:rsid w:val="37405B09"/>
    <w:rsid w:val="374D3D49"/>
    <w:rsid w:val="37504CCE"/>
    <w:rsid w:val="377D1237"/>
    <w:rsid w:val="37893954"/>
    <w:rsid w:val="378B27F2"/>
    <w:rsid w:val="37AE5168"/>
    <w:rsid w:val="37B6689D"/>
    <w:rsid w:val="37BE0BC2"/>
    <w:rsid w:val="37D56B99"/>
    <w:rsid w:val="37EA038C"/>
    <w:rsid w:val="380723E4"/>
    <w:rsid w:val="381176A2"/>
    <w:rsid w:val="38353194"/>
    <w:rsid w:val="3885411B"/>
    <w:rsid w:val="38944E4B"/>
    <w:rsid w:val="38C411D2"/>
    <w:rsid w:val="38D1110E"/>
    <w:rsid w:val="38D2556D"/>
    <w:rsid w:val="391351E0"/>
    <w:rsid w:val="39220A44"/>
    <w:rsid w:val="393670ED"/>
    <w:rsid w:val="396134C2"/>
    <w:rsid w:val="399D7D96"/>
    <w:rsid w:val="399E1F45"/>
    <w:rsid w:val="39A00D1B"/>
    <w:rsid w:val="39A706A6"/>
    <w:rsid w:val="39AA3828"/>
    <w:rsid w:val="39AC56D7"/>
    <w:rsid w:val="39B42872"/>
    <w:rsid w:val="39D733F3"/>
    <w:rsid w:val="39EF1C7E"/>
    <w:rsid w:val="39FA113F"/>
    <w:rsid w:val="3A145757"/>
    <w:rsid w:val="3A2A4F7A"/>
    <w:rsid w:val="3A6C45A9"/>
    <w:rsid w:val="3A805574"/>
    <w:rsid w:val="3A95616C"/>
    <w:rsid w:val="3A9B69B4"/>
    <w:rsid w:val="3AAD1707"/>
    <w:rsid w:val="3ACB5E40"/>
    <w:rsid w:val="3AEF471F"/>
    <w:rsid w:val="3AFB2473"/>
    <w:rsid w:val="3AFE64E8"/>
    <w:rsid w:val="3B143534"/>
    <w:rsid w:val="3B2E3617"/>
    <w:rsid w:val="3B2F65C0"/>
    <w:rsid w:val="3B3C073C"/>
    <w:rsid w:val="3B5C5620"/>
    <w:rsid w:val="3B6C511E"/>
    <w:rsid w:val="3B6E70E8"/>
    <w:rsid w:val="3B785860"/>
    <w:rsid w:val="3B844933"/>
    <w:rsid w:val="3B8D0D73"/>
    <w:rsid w:val="3BC1546A"/>
    <w:rsid w:val="3BC431AC"/>
    <w:rsid w:val="3BD42A90"/>
    <w:rsid w:val="3BDD7DCA"/>
    <w:rsid w:val="3BE2056A"/>
    <w:rsid w:val="3C0F2CFF"/>
    <w:rsid w:val="3C221C81"/>
    <w:rsid w:val="3C234A31"/>
    <w:rsid w:val="3C2A03C4"/>
    <w:rsid w:val="3C4108AB"/>
    <w:rsid w:val="3C63058A"/>
    <w:rsid w:val="3C7563E4"/>
    <w:rsid w:val="3C7F70D3"/>
    <w:rsid w:val="3D0657A9"/>
    <w:rsid w:val="3D38480A"/>
    <w:rsid w:val="3D3954D4"/>
    <w:rsid w:val="3D7D472C"/>
    <w:rsid w:val="3D803103"/>
    <w:rsid w:val="3D9B618F"/>
    <w:rsid w:val="3DBE4AA6"/>
    <w:rsid w:val="3DC15BF5"/>
    <w:rsid w:val="3DCA72A8"/>
    <w:rsid w:val="3DCC00F6"/>
    <w:rsid w:val="3DDA1BF9"/>
    <w:rsid w:val="3DDD2303"/>
    <w:rsid w:val="3DE46669"/>
    <w:rsid w:val="3DE47B36"/>
    <w:rsid w:val="3DEA1EB4"/>
    <w:rsid w:val="3DEE6AFA"/>
    <w:rsid w:val="3DF4041D"/>
    <w:rsid w:val="3DF5589F"/>
    <w:rsid w:val="3E133F77"/>
    <w:rsid w:val="3E1639E5"/>
    <w:rsid w:val="3E18333B"/>
    <w:rsid w:val="3E2C08DF"/>
    <w:rsid w:val="3E436B44"/>
    <w:rsid w:val="3E4A5E40"/>
    <w:rsid w:val="3E607F66"/>
    <w:rsid w:val="3E6920CB"/>
    <w:rsid w:val="3E764706"/>
    <w:rsid w:val="3E7D7914"/>
    <w:rsid w:val="3E846C23"/>
    <w:rsid w:val="3E985BD3"/>
    <w:rsid w:val="3EB275B0"/>
    <w:rsid w:val="3EBB23C4"/>
    <w:rsid w:val="3ED100BA"/>
    <w:rsid w:val="3EDE2E31"/>
    <w:rsid w:val="3EFB5137"/>
    <w:rsid w:val="3F0E2284"/>
    <w:rsid w:val="3F28582E"/>
    <w:rsid w:val="3F2C52F0"/>
    <w:rsid w:val="3F402B4A"/>
    <w:rsid w:val="3F43088C"/>
    <w:rsid w:val="3F4E02ED"/>
    <w:rsid w:val="3F5E1365"/>
    <w:rsid w:val="3F602105"/>
    <w:rsid w:val="3F710F55"/>
    <w:rsid w:val="3F836EDA"/>
    <w:rsid w:val="3FAA4467"/>
    <w:rsid w:val="3FC27A03"/>
    <w:rsid w:val="3FC61553"/>
    <w:rsid w:val="3FD35A76"/>
    <w:rsid w:val="3FD6525C"/>
    <w:rsid w:val="3FDD3AA0"/>
    <w:rsid w:val="3FE5751C"/>
    <w:rsid w:val="3FF12096"/>
    <w:rsid w:val="40186BE1"/>
    <w:rsid w:val="402736CA"/>
    <w:rsid w:val="40516596"/>
    <w:rsid w:val="406E7B8B"/>
    <w:rsid w:val="40882E6C"/>
    <w:rsid w:val="4090365D"/>
    <w:rsid w:val="40C41559"/>
    <w:rsid w:val="40D95004"/>
    <w:rsid w:val="40E60834"/>
    <w:rsid w:val="40EB4D37"/>
    <w:rsid w:val="41032CAF"/>
    <w:rsid w:val="41153AD5"/>
    <w:rsid w:val="413D1A37"/>
    <w:rsid w:val="413D375A"/>
    <w:rsid w:val="414D154E"/>
    <w:rsid w:val="414D77A0"/>
    <w:rsid w:val="41523BBA"/>
    <w:rsid w:val="415723CD"/>
    <w:rsid w:val="416156CA"/>
    <w:rsid w:val="418F7DB9"/>
    <w:rsid w:val="41934623"/>
    <w:rsid w:val="419C2A9B"/>
    <w:rsid w:val="41C9151C"/>
    <w:rsid w:val="41E974C9"/>
    <w:rsid w:val="41ED4859"/>
    <w:rsid w:val="42087906"/>
    <w:rsid w:val="420C1F2C"/>
    <w:rsid w:val="421309EA"/>
    <w:rsid w:val="421D0D04"/>
    <w:rsid w:val="422300C9"/>
    <w:rsid w:val="422A5E1B"/>
    <w:rsid w:val="422C46B1"/>
    <w:rsid w:val="425863FC"/>
    <w:rsid w:val="425C3CBE"/>
    <w:rsid w:val="42823479"/>
    <w:rsid w:val="42903DE8"/>
    <w:rsid w:val="42A15FF5"/>
    <w:rsid w:val="42A67551"/>
    <w:rsid w:val="42B90252"/>
    <w:rsid w:val="42BF73A7"/>
    <w:rsid w:val="42C85330"/>
    <w:rsid w:val="42D73C52"/>
    <w:rsid w:val="42D9002B"/>
    <w:rsid w:val="42DD05ED"/>
    <w:rsid w:val="42E01AC5"/>
    <w:rsid w:val="430B098D"/>
    <w:rsid w:val="43160791"/>
    <w:rsid w:val="436037BB"/>
    <w:rsid w:val="43652320"/>
    <w:rsid w:val="436534D6"/>
    <w:rsid w:val="43664D64"/>
    <w:rsid w:val="438F3164"/>
    <w:rsid w:val="43926610"/>
    <w:rsid w:val="439C056B"/>
    <w:rsid w:val="43A6660D"/>
    <w:rsid w:val="43AF4742"/>
    <w:rsid w:val="43B9736F"/>
    <w:rsid w:val="43BC3E10"/>
    <w:rsid w:val="43CE06CA"/>
    <w:rsid w:val="43D85AB0"/>
    <w:rsid w:val="44056110"/>
    <w:rsid w:val="442A1C1D"/>
    <w:rsid w:val="4475773A"/>
    <w:rsid w:val="44853D1A"/>
    <w:rsid w:val="44A34FEE"/>
    <w:rsid w:val="44C4421D"/>
    <w:rsid w:val="44E26451"/>
    <w:rsid w:val="451023E8"/>
    <w:rsid w:val="451707F1"/>
    <w:rsid w:val="451F56A7"/>
    <w:rsid w:val="452F7506"/>
    <w:rsid w:val="453579B5"/>
    <w:rsid w:val="455E01CE"/>
    <w:rsid w:val="45643FE4"/>
    <w:rsid w:val="45921C25"/>
    <w:rsid w:val="45985308"/>
    <w:rsid w:val="45BB5620"/>
    <w:rsid w:val="45CF0727"/>
    <w:rsid w:val="45E12604"/>
    <w:rsid w:val="45F31F56"/>
    <w:rsid w:val="460826A6"/>
    <w:rsid w:val="46096C0E"/>
    <w:rsid w:val="461211F3"/>
    <w:rsid w:val="463311B9"/>
    <w:rsid w:val="463B1AC1"/>
    <w:rsid w:val="4645313C"/>
    <w:rsid w:val="465B4AC2"/>
    <w:rsid w:val="46651908"/>
    <w:rsid w:val="466544AC"/>
    <w:rsid w:val="4666290D"/>
    <w:rsid w:val="46767799"/>
    <w:rsid w:val="468679DC"/>
    <w:rsid w:val="46A47F51"/>
    <w:rsid w:val="46D96F15"/>
    <w:rsid w:val="46E42955"/>
    <w:rsid w:val="46ED45C7"/>
    <w:rsid w:val="46F661E4"/>
    <w:rsid w:val="46FA78FD"/>
    <w:rsid w:val="47022DDB"/>
    <w:rsid w:val="470E352E"/>
    <w:rsid w:val="4721234A"/>
    <w:rsid w:val="4735602C"/>
    <w:rsid w:val="47466CE9"/>
    <w:rsid w:val="47A143A2"/>
    <w:rsid w:val="47A3011A"/>
    <w:rsid w:val="47B2035D"/>
    <w:rsid w:val="47B61448"/>
    <w:rsid w:val="47BC2492"/>
    <w:rsid w:val="47C22C96"/>
    <w:rsid w:val="47C87B80"/>
    <w:rsid w:val="47D34B28"/>
    <w:rsid w:val="47D470D4"/>
    <w:rsid w:val="47E250E6"/>
    <w:rsid w:val="47E524E0"/>
    <w:rsid w:val="48172F28"/>
    <w:rsid w:val="48480CC1"/>
    <w:rsid w:val="48734F6C"/>
    <w:rsid w:val="488009FE"/>
    <w:rsid w:val="48A6529D"/>
    <w:rsid w:val="48B102D4"/>
    <w:rsid w:val="48B54EE6"/>
    <w:rsid w:val="48BF176A"/>
    <w:rsid w:val="48CF4000"/>
    <w:rsid w:val="48DD3C8A"/>
    <w:rsid w:val="48EC5B2F"/>
    <w:rsid w:val="48FC08B3"/>
    <w:rsid w:val="4904108C"/>
    <w:rsid w:val="490D764D"/>
    <w:rsid w:val="49284D7B"/>
    <w:rsid w:val="49331971"/>
    <w:rsid w:val="49683C1F"/>
    <w:rsid w:val="49A21DDA"/>
    <w:rsid w:val="49CB2F9F"/>
    <w:rsid w:val="49E07403"/>
    <w:rsid w:val="49E35145"/>
    <w:rsid w:val="49EC46CD"/>
    <w:rsid w:val="49F647DE"/>
    <w:rsid w:val="4A05102B"/>
    <w:rsid w:val="4A192B91"/>
    <w:rsid w:val="4A1A5AB7"/>
    <w:rsid w:val="4A1A7368"/>
    <w:rsid w:val="4A3B1B2F"/>
    <w:rsid w:val="4A4C2273"/>
    <w:rsid w:val="4A6629D9"/>
    <w:rsid w:val="4A804742"/>
    <w:rsid w:val="4A826ECA"/>
    <w:rsid w:val="4A901A63"/>
    <w:rsid w:val="4A9C5875"/>
    <w:rsid w:val="4ADA0BDD"/>
    <w:rsid w:val="4AF95895"/>
    <w:rsid w:val="4B005E93"/>
    <w:rsid w:val="4B221C9D"/>
    <w:rsid w:val="4B4C4394"/>
    <w:rsid w:val="4B6A5537"/>
    <w:rsid w:val="4B961BCB"/>
    <w:rsid w:val="4B994494"/>
    <w:rsid w:val="4BA66E4E"/>
    <w:rsid w:val="4BAF1EBA"/>
    <w:rsid w:val="4BB016BF"/>
    <w:rsid w:val="4BCB7C3F"/>
    <w:rsid w:val="4BDD1602"/>
    <w:rsid w:val="4BEA681C"/>
    <w:rsid w:val="4C006E06"/>
    <w:rsid w:val="4C067046"/>
    <w:rsid w:val="4C147838"/>
    <w:rsid w:val="4C413959"/>
    <w:rsid w:val="4C492D39"/>
    <w:rsid w:val="4C513C74"/>
    <w:rsid w:val="4C5A0D04"/>
    <w:rsid w:val="4C653BF0"/>
    <w:rsid w:val="4C667968"/>
    <w:rsid w:val="4C6F4027"/>
    <w:rsid w:val="4CD84C1D"/>
    <w:rsid w:val="4CDD5E7C"/>
    <w:rsid w:val="4CE444B6"/>
    <w:rsid w:val="4CFD19D8"/>
    <w:rsid w:val="4D131782"/>
    <w:rsid w:val="4D140C47"/>
    <w:rsid w:val="4D1F6494"/>
    <w:rsid w:val="4D243AAB"/>
    <w:rsid w:val="4D2910C1"/>
    <w:rsid w:val="4D2B3253"/>
    <w:rsid w:val="4D2C3A27"/>
    <w:rsid w:val="4D445EFB"/>
    <w:rsid w:val="4D620C04"/>
    <w:rsid w:val="4D677E3B"/>
    <w:rsid w:val="4D6C5694"/>
    <w:rsid w:val="4D947FAC"/>
    <w:rsid w:val="4DB76A0C"/>
    <w:rsid w:val="4DCB549E"/>
    <w:rsid w:val="4DE33966"/>
    <w:rsid w:val="4DED6593"/>
    <w:rsid w:val="4DFE3C67"/>
    <w:rsid w:val="4E0833CC"/>
    <w:rsid w:val="4E202280"/>
    <w:rsid w:val="4E2F2707"/>
    <w:rsid w:val="4E720846"/>
    <w:rsid w:val="4E747A56"/>
    <w:rsid w:val="4E8527F6"/>
    <w:rsid w:val="4E8D38D2"/>
    <w:rsid w:val="4E8D576B"/>
    <w:rsid w:val="4EBB6FE2"/>
    <w:rsid w:val="4F035942"/>
    <w:rsid w:val="4F0A0A7E"/>
    <w:rsid w:val="4F0D561E"/>
    <w:rsid w:val="4F2A7771"/>
    <w:rsid w:val="4F416B96"/>
    <w:rsid w:val="4F437FC5"/>
    <w:rsid w:val="4F751524"/>
    <w:rsid w:val="4F795EAC"/>
    <w:rsid w:val="4F7A0475"/>
    <w:rsid w:val="4F8F2595"/>
    <w:rsid w:val="4F8F5307"/>
    <w:rsid w:val="4F8F5511"/>
    <w:rsid w:val="4F9541FD"/>
    <w:rsid w:val="4FA226AC"/>
    <w:rsid w:val="4FAB39C4"/>
    <w:rsid w:val="4FC41575"/>
    <w:rsid w:val="4FE62FE1"/>
    <w:rsid w:val="4FFA6B2C"/>
    <w:rsid w:val="5000564D"/>
    <w:rsid w:val="500B40DE"/>
    <w:rsid w:val="501E6ED7"/>
    <w:rsid w:val="50290F9F"/>
    <w:rsid w:val="504F52E3"/>
    <w:rsid w:val="505C08E8"/>
    <w:rsid w:val="506A2CD6"/>
    <w:rsid w:val="50775761"/>
    <w:rsid w:val="507C1788"/>
    <w:rsid w:val="50852AB2"/>
    <w:rsid w:val="508A1E77"/>
    <w:rsid w:val="508C0AB4"/>
    <w:rsid w:val="50973491"/>
    <w:rsid w:val="50986486"/>
    <w:rsid w:val="50AC5377"/>
    <w:rsid w:val="50C23D07"/>
    <w:rsid w:val="50D66AFC"/>
    <w:rsid w:val="50FC6DDC"/>
    <w:rsid w:val="50FF3213"/>
    <w:rsid w:val="5107796B"/>
    <w:rsid w:val="510C14D2"/>
    <w:rsid w:val="510C4F82"/>
    <w:rsid w:val="511D03CE"/>
    <w:rsid w:val="51241F2C"/>
    <w:rsid w:val="512E17AD"/>
    <w:rsid w:val="51327784"/>
    <w:rsid w:val="513553F8"/>
    <w:rsid w:val="515236F9"/>
    <w:rsid w:val="516F6B28"/>
    <w:rsid w:val="518C60C3"/>
    <w:rsid w:val="519A07DF"/>
    <w:rsid w:val="51A25EE6"/>
    <w:rsid w:val="51B75EF7"/>
    <w:rsid w:val="51D37233"/>
    <w:rsid w:val="520F22EE"/>
    <w:rsid w:val="5217054A"/>
    <w:rsid w:val="521D1D55"/>
    <w:rsid w:val="523A167B"/>
    <w:rsid w:val="523A74F6"/>
    <w:rsid w:val="523F5C4A"/>
    <w:rsid w:val="524822D3"/>
    <w:rsid w:val="524C1A71"/>
    <w:rsid w:val="525366EA"/>
    <w:rsid w:val="525F5585"/>
    <w:rsid w:val="527458E8"/>
    <w:rsid w:val="5288324E"/>
    <w:rsid w:val="52A31916"/>
    <w:rsid w:val="52BE7252"/>
    <w:rsid w:val="52C849DE"/>
    <w:rsid w:val="52CA6EA2"/>
    <w:rsid w:val="52DC0984"/>
    <w:rsid w:val="52E15F9A"/>
    <w:rsid w:val="52E6760E"/>
    <w:rsid w:val="52F1599F"/>
    <w:rsid w:val="53163E96"/>
    <w:rsid w:val="532D13D0"/>
    <w:rsid w:val="532E1F10"/>
    <w:rsid w:val="53574490"/>
    <w:rsid w:val="536C629E"/>
    <w:rsid w:val="5373560C"/>
    <w:rsid w:val="537D3F15"/>
    <w:rsid w:val="53B434DF"/>
    <w:rsid w:val="53BE1870"/>
    <w:rsid w:val="53C26984"/>
    <w:rsid w:val="53C955B4"/>
    <w:rsid w:val="53F65A75"/>
    <w:rsid w:val="53F6633A"/>
    <w:rsid w:val="53FF3FBF"/>
    <w:rsid w:val="540168F4"/>
    <w:rsid w:val="54036F2B"/>
    <w:rsid w:val="54295E4B"/>
    <w:rsid w:val="54370568"/>
    <w:rsid w:val="546126FE"/>
    <w:rsid w:val="548337AD"/>
    <w:rsid w:val="54A72E72"/>
    <w:rsid w:val="54E04059"/>
    <w:rsid w:val="54EF79E3"/>
    <w:rsid w:val="54FB3107"/>
    <w:rsid w:val="54FF095A"/>
    <w:rsid w:val="550146D2"/>
    <w:rsid w:val="55052414"/>
    <w:rsid w:val="55064F42"/>
    <w:rsid w:val="5507618C"/>
    <w:rsid w:val="5512068D"/>
    <w:rsid w:val="552B095F"/>
    <w:rsid w:val="5534316B"/>
    <w:rsid w:val="553969A8"/>
    <w:rsid w:val="55472C07"/>
    <w:rsid w:val="55482300"/>
    <w:rsid w:val="5558677E"/>
    <w:rsid w:val="55605404"/>
    <w:rsid w:val="55631913"/>
    <w:rsid w:val="556D2286"/>
    <w:rsid w:val="55971BE1"/>
    <w:rsid w:val="55A2658D"/>
    <w:rsid w:val="55B87486"/>
    <w:rsid w:val="55BD684B"/>
    <w:rsid w:val="55D87B28"/>
    <w:rsid w:val="560C69E6"/>
    <w:rsid w:val="562141FD"/>
    <w:rsid w:val="56290384"/>
    <w:rsid w:val="562E599A"/>
    <w:rsid w:val="56827DFA"/>
    <w:rsid w:val="56866800"/>
    <w:rsid w:val="56867584"/>
    <w:rsid w:val="568C3964"/>
    <w:rsid w:val="5694495D"/>
    <w:rsid w:val="56AC5F73"/>
    <w:rsid w:val="56C31EE8"/>
    <w:rsid w:val="57252E86"/>
    <w:rsid w:val="57380B92"/>
    <w:rsid w:val="574647BD"/>
    <w:rsid w:val="574E11A9"/>
    <w:rsid w:val="57565157"/>
    <w:rsid w:val="576176AA"/>
    <w:rsid w:val="57810B57"/>
    <w:rsid w:val="57885129"/>
    <w:rsid w:val="578D66F1"/>
    <w:rsid w:val="57BF1110"/>
    <w:rsid w:val="57C2283E"/>
    <w:rsid w:val="57CA34D7"/>
    <w:rsid w:val="57CD239A"/>
    <w:rsid w:val="57D950B8"/>
    <w:rsid w:val="57E83927"/>
    <w:rsid w:val="582D3647"/>
    <w:rsid w:val="582F6BBC"/>
    <w:rsid w:val="5836637E"/>
    <w:rsid w:val="583D3C73"/>
    <w:rsid w:val="58586D5A"/>
    <w:rsid w:val="585D5C20"/>
    <w:rsid w:val="586B07E0"/>
    <w:rsid w:val="58847AF3"/>
    <w:rsid w:val="5895585D"/>
    <w:rsid w:val="58A310F9"/>
    <w:rsid w:val="58C3061C"/>
    <w:rsid w:val="592E180D"/>
    <w:rsid w:val="593257A1"/>
    <w:rsid w:val="59345076"/>
    <w:rsid w:val="59396B30"/>
    <w:rsid w:val="594A2AEB"/>
    <w:rsid w:val="5954694D"/>
    <w:rsid w:val="596040BD"/>
    <w:rsid w:val="596811C3"/>
    <w:rsid w:val="596A3E8D"/>
    <w:rsid w:val="596F7FA0"/>
    <w:rsid w:val="59864EE8"/>
    <w:rsid w:val="599757F5"/>
    <w:rsid w:val="59D6437F"/>
    <w:rsid w:val="59DF54E5"/>
    <w:rsid w:val="59E7033A"/>
    <w:rsid w:val="59EE4D15"/>
    <w:rsid w:val="59F6057D"/>
    <w:rsid w:val="5A0F163F"/>
    <w:rsid w:val="5A1C125F"/>
    <w:rsid w:val="5A1E0981"/>
    <w:rsid w:val="5A292245"/>
    <w:rsid w:val="5A3410A5"/>
    <w:rsid w:val="5A371C4E"/>
    <w:rsid w:val="5A4C5C31"/>
    <w:rsid w:val="5A4E660B"/>
    <w:rsid w:val="5AB03D38"/>
    <w:rsid w:val="5AC16DDD"/>
    <w:rsid w:val="5AE8436A"/>
    <w:rsid w:val="5AFA216F"/>
    <w:rsid w:val="5B3C6463"/>
    <w:rsid w:val="5B471417"/>
    <w:rsid w:val="5B500161"/>
    <w:rsid w:val="5B563BDB"/>
    <w:rsid w:val="5B6B4FF2"/>
    <w:rsid w:val="5B85605C"/>
    <w:rsid w:val="5B94004E"/>
    <w:rsid w:val="5BC76884"/>
    <w:rsid w:val="5BEB1783"/>
    <w:rsid w:val="5BED535D"/>
    <w:rsid w:val="5BF1724E"/>
    <w:rsid w:val="5C0A6562"/>
    <w:rsid w:val="5C251444"/>
    <w:rsid w:val="5C2632F7"/>
    <w:rsid w:val="5C4001D5"/>
    <w:rsid w:val="5C5A5254"/>
    <w:rsid w:val="5C9347A9"/>
    <w:rsid w:val="5C9D6032"/>
    <w:rsid w:val="5CAF2E9D"/>
    <w:rsid w:val="5CBD21B3"/>
    <w:rsid w:val="5CC22E0D"/>
    <w:rsid w:val="5CC27B0D"/>
    <w:rsid w:val="5CC608C4"/>
    <w:rsid w:val="5CCE39E3"/>
    <w:rsid w:val="5CDC2A68"/>
    <w:rsid w:val="5D2D376B"/>
    <w:rsid w:val="5D392E01"/>
    <w:rsid w:val="5D3F66DF"/>
    <w:rsid w:val="5D463E08"/>
    <w:rsid w:val="5D494E68"/>
    <w:rsid w:val="5D617D3E"/>
    <w:rsid w:val="5D70031C"/>
    <w:rsid w:val="5D706898"/>
    <w:rsid w:val="5D920EE6"/>
    <w:rsid w:val="5D924A61"/>
    <w:rsid w:val="5D977D4E"/>
    <w:rsid w:val="5DA53775"/>
    <w:rsid w:val="5DC664B8"/>
    <w:rsid w:val="5DF03535"/>
    <w:rsid w:val="5DF72B16"/>
    <w:rsid w:val="5DFC50BD"/>
    <w:rsid w:val="5DFD63C2"/>
    <w:rsid w:val="5E0D5658"/>
    <w:rsid w:val="5E145476"/>
    <w:rsid w:val="5E1D0609"/>
    <w:rsid w:val="5E1D12DB"/>
    <w:rsid w:val="5E27164D"/>
    <w:rsid w:val="5E406D07"/>
    <w:rsid w:val="5E4F3C12"/>
    <w:rsid w:val="5E6D3270"/>
    <w:rsid w:val="5E7668CA"/>
    <w:rsid w:val="5E82081A"/>
    <w:rsid w:val="5E8D34AB"/>
    <w:rsid w:val="5F0D0843"/>
    <w:rsid w:val="5F11067D"/>
    <w:rsid w:val="5F14446B"/>
    <w:rsid w:val="5F2F1BA8"/>
    <w:rsid w:val="5F4E49B7"/>
    <w:rsid w:val="5F5024DD"/>
    <w:rsid w:val="5F625263"/>
    <w:rsid w:val="5FA1405D"/>
    <w:rsid w:val="5FA26818"/>
    <w:rsid w:val="5FEA2932"/>
    <w:rsid w:val="60025ECE"/>
    <w:rsid w:val="60101E2F"/>
    <w:rsid w:val="60240C0E"/>
    <w:rsid w:val="6025124B"/>
    <w:rsid w:val="6027474E"/>
    <w:rsid w:val="60577F1A"/>
    <w:rsid w:val="60612322"/>
    <w:rsid w:val="6089522E"/>
    <w:rsid w:val="60991EE6"/>
    <w:rsid w:val="60BB607C"/>
    <w:rsid w:val="60BD0294"/>
    <w:rsid w:val="60BE2C44"/>
    <w:rsid w:val="60CE6793"/>
    <w:rsid w:val="60D33FA2"/>
    <w:rsid w:val="61161E58"/>
    <w:rsid w:val="611C6512"/>
    <w:rsid w:val="612532A5"/>
    <w:rsid w:val="612C2AD6"/>
    <w:rsid w:val="614147D4"/>
    <w:rsid w:val="61446072"/>
    <w:rsid w:val="615A5895"/>
    <w:rsid w:val="615B7C5B"/>
    <w:rsid w:val="61671D60"/>
    <w:rsid w:val="61785156"/>
    <w:rsid w:val="617F354E"/>
    <w:rsid w:val="61A343CF"/>
    <w:rsid w:val="61C06590"/>
    <w:rsid w:val="61CB6793"/>
    <w:rsid w:val="61EC3265"/>
    <w:rsid w:val="61EF5510"/>
    <w:rsid w:val="62221679"/>
    <w:rsid w:val="622249B5"/>
    <w:rsid w:val="62285198"/>
    <w:rsid w:val="622F6D22"/>
    <w:rsid w:val="625E13B5"/>
    <w:rsid w:val="627746E2"/>
    <w:rsid w:val="62865067"/>
    <w:rsid w:val="628E03BF"/>
    <w:rsid w:val="629B6165"/>
    <w:rsid w:val="62A71AC9"/>
    <w:rsid w:val="62F11B3C"/>
    <w:rsid w:val="632F1643"/>
    <w:rsid w:val="63515EFF"/>
    <w:rsid w:val="63584057"/>
    <w:rsid w:val="635E105A"/>
    <w:rsid w:val="636261BC"/>
    <w:rsid w:val="637F3391"/>
    <w:rsid w:val="638766EA"/>
    <w:rsid w:val="639704E6"/>
    <w:rsid w:val="63AB062A"/>
    <w:rsid w:val="63B03A39"/>
    <w:rsid w:val="63B0509E"/>
    <w:rsid w:val="63D25BB7"/>
    <w:rsid w:val="63DA2FC0"/>
    <w:rsid w:val="63F41D97"/>
    <w:rsid w:val="63F55D49"/>
    <w:rsid w:val="640E1279"/>
    <w:rsid w:val="64287ECD"/>
    <w:rsid w:val="643C4C03"/>
    <w:rsid w:val="645021EA"/>
    <w:rsid w:val="6456647B"/>
    <w:rsid w:val="646B7DB9"/>
    <w:rsid w:val="647902BF"/>
    <w:rsid w:val="649317EA"/>
    <w:rsid w:val="649A3955"/>
    <w:rsid w:val="64B06E9A"/>
    <w:rsid w:val="64F77737"/>
    <w:rsid w:val="651200DE"/>
    <w:rsid w:val="65182897"/>
    <w:rsid w:val="651B5361"/>
    <w:rsid w:val="65236853"/>
    <w:rsid w:val="653010DA"/>
    <w:rsid w:val="65454A50"/>
    <w:rsid w:val="65501489"/>
    <w:rsid w:val="656D4F75"/>
    <w:rsid w:val="657213FC"/>
    <w:rsid w:val="657D7DA4"/>
    <w:rsid w:val="65844B9A"/>
    <w:rsid w:val="65896749"/>
    <w:rsid w:val="658C44EA"/>
    <w:rsid w:val="659421A6"/>
    <w:rsid w:val="65957E56"/>
    <w:rsid w:val="65AB5D26"/>
    <w:rsid w:val="65C2265B"/>
    <w:rsid w:val="65E63B9C"/>
    <w:rsid w:val="65EE2A50"/>
    <w:rsid w:val="66007D67"/>
    <w:rsid w:val="660122F3"/>
    <w:rsid w:val="661E0995"/>
    <w:rsid w:val="662D1B30"/>
    <w:rsid w:val="6632293D"/>
    <w:rsid w:val="66327908"/>
    <w:rsid w:val="66523795"/>
    <w:rsid w:val="66756CCD"/>
    <w:rsid w:val="667747F4"/>
    <w:rsid w:val="66803B38"/>
    <w:rsid w:val="6686712D"/>
    <w:rsid w:val="668F1848"/>
    <w:rsid w:val="66933851"/>
    <w:rsid w:val="66CC0FE3"/>
    <w:rsid w:val="67020A40"/>
    <w:rsid w:val="67087B42"/>
    <w:rsid w:val="675039C2"/>
    <w:rsid w:val="67523E91"/>
    <w:rsid w:val="67712CE1"/>
    <w:rsid w:val="67BB658C"/>
    <w:rsid w:val="67BF6452"/>
    <w:rsid w:val="67C81DA9"/>
    <w:rsid w:val="67C9107F"/>
    <w:rsid w:val="67DA347A"/>
    <w:rsid w:val="67E340E7"/>
    <w:rsid w:val="6805760C"/>
    <w:rsid w:val="682565B9"/>
    <w:rsid w:val="682E4E44"/>
    <w:rsid w:val="684150B9"/>
    <w:rsid w:val="684D7F02"/>
    <w:rsid w:val="686226DB"/>
    <w:rsid w:val="686E63B8"/>
    <w:rsid w:val="6874548F"/>
    <w:rsid w:val="688B0A2A"/>
    <w:rsid w:val="689D0938"/>
    <w:rsid w:val="68A97CC5"/>
    <w:rsid w:val="68D93997"/>
    <w:rsid w:val="68DB3760"/>
    <w:rsid w:val="68DD1419"/>
    <w:rsid w:val="68E245DD"/>
    <w:rsid w:val="68EF720B"/>
    <w:rsid w:val="68F640F6"/>
    <w:rsid w:val="69252C2D"/>
    <w:rsid w:val="69401DA6"/>
    <w:rsid w:val="69607E4B"/>
    <w:rsid w:val="69763B96"/>
    <w:rsid w:val="697C4909"/>
    <w:rsid w:val="6982558F"/>
    <w:rsid w:val="69852B2B"/>
    <w:rsid w:val="69B01180"/>
    <w:rsid w:val="69B566C5"/>
    <w:rsid w:val="69D114FA"/>
    <w:rsid w:val="69DE6A3D"/>
    <w:rsid w:val="69DF2DDC"/>
    <w:rsid w:val="69FF522C"/>
    <w:rsid w:val="6A0445F0"/>
    <w:rsid w:val="6A151116"/>
    <w:rsid w:val="6A254C33"/>
    <w:rsid w:val="6A3824EC"/>
    <w:rsid w:val="6A3C265A"/>
    <w:rsid w:val="6A4E3ABD"/>
    <w:rsid w:val="6A586445"/>
    <w:rsid w:val="6A5C6483"/>
    <w:rsid w:val="6A9D484F"/>
    <w:rsid w:val="6AA66486"/>
    <w:rsid w:val="6AAB0F10"/>
    <w:rsid w:val="6ABA73A5"/>
    <w:rsid w:val="6ABE26A3"/>
    <w:rsid w:val="6ABE50E7"/>
    <w:rsid w:val="6AC975E8"/>
    <w:rsid w:val="6ACA3A8C"/>
    <w:rsid w:val="6AE0505D"/>
    <w:rsid w:val="6AE0709E"/>
    <w:rsid w:val="6AE517EE"/>
    <w:rsid w:val="6AFF0467"/>
    <w:rsid w:val="6B146AB5"/>
    <w:rsid w:val="6B1F4696"/>
    <w:rsid w:val="6B3233DF"/>
    <w:rsid w:val="6B3B594A"/>
    <w:rsid w:val="6B3D55D4"/>
    <w:rsid w:val="6B6E2AC1"/>
    <w:rsid w:val="6B8754D9"/>
    <w:rsid w:val="6B906BBB"/>
    <w:rsid w:val="6BAC3463"/>
    <w:rsid w:val="6BC06C3D"/>
    <w:rsid w:val="6BC5646E"/>
    <w:rsid w:val="6BFB1A23"/>
    <w:rsid w:val="6C042FCD"/>
    <w:rsid w:val="6C0E4753"/>
    <w:rsid w:val="6C1812A0"/>
    <w:rsid w:val="6C21049A"/>
    <w:rsid w:val="6C323313"/>
    <w:rsid w:val="6C656027"/>
    <w:rsid w:val="6C7672FB"/>
    <w:rsid w:val="6C77379F"/>
    <w:rsid w:val="6C7D068A"/>
    <w:rsid w:val="6C80683A"/>
    <w:rsid w:val="6C931B27"/>
    <w:rsid w:val="6CA82754"/>
    <w:rsid w:val="6CCD4886"/>
    <w:rsid w:val="6CD67079"/>
    <w:rsid w:val="6CE1418C"/>
    <w:rsid w:val="6CFC1EF7"/>
    <w:rsid w:val="6D1755D9"/>
    <w:rsid w:val="6D21462A"/>
    <w:rsid w:val="6D323AC4"/>
    <w:rsid w:val="6D4C7A95"/>
    <w:rsid w:val="6D4F1BF8"/>
    <w:rsid w:val="6DA1296C"/>
    <w:rsid w:val="6DA57E98"/>
    <w:rsid w:val="6DAA0F9D"/>
    <w:rsid w:val="6DB4457F"/>
    <w:rsid w:val="6DBE0047"/>
    <w:rsid w:val="6DCA02AD"/>
    <w:rsid w:val="6DD83233"/>
    <w:rsid w:val="6DFB5D0A"/>
    <w:rsid w:val="6E255143"/>
    <w:rsid w:val="6E415530"/>
    <w:rsid w:val="6E4C6312"/>
    <w:rsid w:val="6E684D54"/>
    <w:rsid w:val="6E82467D"/>
    <w:rsid w:val="6E8C1058"/>
    <w:rsid w:val="6E921D0E"/>
    <w:rsid w:val="6E9C48AC"/>
    <w:rsid w:val="6EA13894"/>
    <w:rsid w:val="6EBC4D25"/>
    <w:rsid w:val="6F131A8E"/>
    <w:rsid w:val="6F345300"/>
    <w:rsid w:val="6F3C482C"/>
    <w:rsid w:val="6F434296"/>
    <w:rsid w:val="6F5222A2"/>
    <w:rsid w:val="6F6C5AC3"/>
    <w:rsid w:val="6F7F1EFD"/>
    <w:rsid w:val="6F854425"/>
    <w:rsid w:val="6F943A4C"/>
    <w:rsid w:val="6FB72056"/>
    <w:rsid w:val="6FCC5BB0"/>
    <w:rsid w:val="6FCE7B7A"/>
    <w:rsid w:val="6FD0308F"/>
    <w:rsid w:val="6FD159D2"/>
    <w:rsid w:val="6FDD0D2F"/>
    <w:rsid w:val="6FF670D1"/>
    <w:rsid w:val="701E3F13"/>
    <w:rsid w:val="7040659E"/>
    <w:rsid w:val="7042680B"/>
    <w:rsid w:val="704518D1"/>
    <w:rsid w:val="704915C5"/>
    <w:rsid w:val="70587601"/>
    <w:rsid w:val="705A7660"/>
    <w:rsid w:val="707E3B44"/>
    <w:rsid w:val="70877D29"/>
    <w:rsid w:val="709128AC"/>
    <w:rsid w:val="709A3F00"/>
    <w:rsid w:val="70B02A33"/>
    <w:rsid w:val="70C96594"/>
    <w:rsid w:val="70D16F1D"/>
    <w:rsid w:val="70D97BAF"/>
    <w:rsid w:val="70DB20A2"/>
    <w:rsid w:val="70DC66E0"/>
    <w:rsid w:val="70FC4273"/>
    <w:rsid w:val="710D7E42"/>
    <w:rsid w:val="71201629"/>
    <w:rsid w:val="712E6C91"/>
    <w:rsid w:val="715B3690"/>
    <w:rsid w:val="71660A98"/>
    <w:rsid w:val="71A175F8"/>
    <w:rsid w:val="71BA368C"/>
    <w:rsid w:val="71E85C32"/>
    <w:rsid w:val="71F95247"/>
    <w:rsid w:val="725503A1"/>
    <w:rsid w:val="725D3437"/>
    <w:rsid w:val="72756F95"/>
    <w:rsid w:val="729D0FD1"/>
    <w:rsid w:val="729D6B0E"/>
    <w:rsid w:val="72C36F94"/>
    <w:rsid w:val="72C96160"/>
    <w:rsid w:val="72CB3EF4"/>
    <w:rsid w:val="73026E75"/>
    <w:rsid w:val="730438B3"/>
    <w:rsid w:val="730516B6"/>
    <w:rsid w:val="730A1149"/>
    <w:rsid w:val="730E028E"/>
    <w:rsid w:val="73103C19"/>
    <w:rsid w:val="73113792"/>
    <w:rsid w:val="732103F4"/>
    <w:rsid w:val="733945D9"/>
    <w:rsid w:val="73555D45"/>
    <w:rsid w:val="737153BE"/>
    <w:rsid w:val="737A3B75"/>
    <w:rsid w:val="737D2893"/>
    <w:rsid w:val="73831464"/>
    <w:rsid w:val="73832A2A"/>
    <w:rsid w:val="73A25E44"/>
    <w:rsid w:val="73C21567"/>
    <w:rsid w:val="73CD470A"/>
    <w:rsid w:val="73D239B1"/>
    <w:rsid w:val="73D47729"/>
    <w:rsid w:val="73EB711A"/>
    <w:rsid w:val="740C0C71"/>
    <w:rsid w:val="741D2E7E"/>
    <w:rsid w:val="74203947"/>
    <w:rsid w:val="742C42E4"/>
    <w:rsid w:val="74363F40"/>
    <w:rsid w:val="74AA048A"/>
    <w:rsid w:val="74B16ABC"/>
    <w:rsid w:val="74D8656F"/>
    <w:rsid w:val="74DB59A5"/>
    <w:rsid w:val="74E251C4"/>
    <w:rsid w:val="74FD05BA"/>
    <w:rsid w:val="750C1C07"/>
    <w:rsid w:val="75407E9E"/>
    <w:rsid w:val="755A1EB0"/>
    <w:rsid w:val="756974B1"/>
    <w:rsid w:val="75711682"/>
    <w:rsid w:val="75833833"/>
    <w:rsid w:val="758731B4"/>
    <w:rsid w:val="75C003BD"/>
    <w:rsid w:val="75D05CCE"/>
    <w:rsid w:val="75D91027"/>
    <w:rsid w:val="75F93477"/>
    <w:rsid w:val="75FE2420"/>
    <w:rsid w:val="760342F6"/>
    <w:rsid w:val="76224BDE"/>
    <w:rsid w:val="764C7A4B"/>
    <w:rsid w:val="765508B1"/>
    <w:rsid w:val="768F16E6"/>
    <w:rsid w:val="769E3DCB"/>
    <w:rsid w:val="76A13B18"/>
    <w:rsid w:val="76A33F8C"/>
    <w:rsid w:val="76C75323"/>
    <w:rsid w:val="76C778EB"/>
    <w:rsid w:val="76DC27BA"/>
    <w:rsid w:val="76E23151"/>
    <w:rsid w:val="76EE465E"/>
    <w:rsid w:val="76F0695C"/>
    <w:rsid w:val="76FD47EF"/>
    <w:rsid w:val="77BD5432"/>
    <w:rsid w:val="77DA4BE2"/>
    <w:rsid w:val="77E03343"/>
    <w:rsid w:val="77F35CA4"/>
    <w:rsid w:val="78037532"/>
    <w:rsid w:val="7851618A"/>
    <w:rsid w:val="78632E2A"/>
    <w:rsid w:val="78670B6C"/>
    <w:rsid w:val="786D3CA8"/>
    <w:rsid w:val="78746DE5"/>
    <w:rsid w:val="7898516E"/>
    <w:rsid w:val="78C01640"/>
    <w:rsid w:val="78C4257E"/>
    <w:rsid w:val="78E73168"/>
    <w:rsid w:val="79213C3F"/>
    <w:rsid w:val="793F3897"/>
    <w:rsid w:val="79414E00"/>
    <w:rsid w:val="794A5D98"/>
    <w:rsid w:val="795442D7"/>
    <w:rsid w:val="795E654D"/>
    <w:rsid w:val="796108B4"/>
    <w:rsid w:val="7967494F"/>
    <w:rsid w:val="79775D33"/>
    <w:rsid w:val="79925CF5"/>
    <w:rsid w:val="799B4678"/>
    <w:rsid w:val="79A8657B"/>
    <w:rsid w:val="79AE5698"/>
    <w:rsid w:val="79BA2F1D"/>
    <w:rsid w:val="79BD61D8"/>
    <w:rsid w:val="79C54F5A"/>
    <w:rsid w:val="79CF4327"/>
    <w:rsid w:val="79FD2E0A"/>
    <w:rsid w:val="7A04601A"/>
    <w:rsid w:val="7A063ACD"/>
    <w:rsid w:val="7A1F7224"/>
    <w:rsid w:val="7A256189"/>
    <w:rsid w:val="7A287E87"/>
    <w:rsid w:val="7A330C0C"/>
    <w:rsid w:val="7A377612"/>
    <w:rsid w:val="7A522889"/>
    <w:rsid w:val="7A721A4A"/>
    <w:rsid w:val="7A9E33EF"/>
    <w:rsid w:val="7AB23A81"/>
    <w:rsid w:val="7AD70F6E"/>
    <w:rsid w:val="7B343339"/>
    <w:rsid w:val="7B385119"/>
    <w:rsid w:val="7B6018A2"/>
    <w:rsid w:val="7B654C6D"/>
    <w:rsid w:val="7B7974B6"/>
    <w:rsid w:val="7B876E2F"/>
    <w:rsid w:val="7B9F38FB"/>
    <w:rsid w:val="7BBC7909"/>
    <w:rsid w:val="7C395B0D"/>
    <w:rsid w:val="7C725FEE"/>
    <w:rsid w:val="7C7908A2"/>
    <w:rsid w:val="7C9E08D4"/>
    <w:rsid w:val="7CA13F21"/>
    <w:rsid w:val="7CAC7FF4"/>
    <w:rsid w:val="7CB179EB"/>
    <w:rsid w:val="7CD22CA1"/>
    <w:rsid w:val="7CDE1FD5"/>
    <w:rsid w:val="7CF60710"/>
    <w:rsid w:val="7CF64980"/>
    <w:rsid w:val="7CFA3D1C"/>
    <w:rsid w:val="7CFB5D27"/>
    <w:rsid w:val="7D0E6217"/>
    <w:rsid w:val="7D1B1696"/>
    <w:rsid w:val="7D1D5C9D"/>
    <w:rsid w:val="7D4F1BCF"/>
    <w:rsid w:val="7D5B366C"/>
    <w:rsid w:val="7D5D1BB8"/>
    <w:rsid w:val="7D7F24B4"/>
    <w:rsid w:val="7D90267C"/>
    <w:rsid w:val="7D937D0D"/>
    <w:rsid w:val="7DB42C1F"/>
    <w:rsid w:val="7DB859C6"/>
    <w:rsid w:val="7DBA399F"/>
    <w:rsid w:val="7DBF5CDB"/>
    <w:rsid w:val="7DD32800"/>
    <w:rsid w:val="7DF012AD"/>
    <w:rsid w:val="7E0666CF"/>
    <w:rsid w:val="7E2B263C"/>
    <w:rsid w:val="7E370778"/>
    <w:rsid w:val="7E4C4244"/>
    <w:rsid w:val="7E4E08FA"/>
    <w:rsid w:val="7E695398"/>
    <w:rsid w:val="7E7B5157"/>
    <w:rsid w:val="7EA64A36"/>
    <w:rsid w:val="7EB02B41"/>
    <w:rsid w:val="7EB738F3"/>
    <w:rsid w:val="7EC860DC"/>
    <w:rsid w:val="7EF31F5D"/>
    <w:rsid w:val="7F0A2251"/>
    <w:rsid w:val="7F17496E"/>
    <w:rsid w:val="7F182434"/>
    <w:rsid w:val="7F1B7FBA"/>
    <w:rsid w:val="7F587460"/>
    <w:rsid w:val="7F591A71"/>
    <w:rsid w:val="7F5E2123"/>
    <w:rsid w:val="7F6B469C"/>
    <w:rsid w:val="7F6D7B9F"/>
    <w:rsid w:val="7F707F1A"/>
    <w:rsid w:val="7F746919"/>
    <w:rsid w:val="7F7E679B"/>
    <w:rsid w:val="7F805F11"/>
    <w:rsid w:val="7F8A5140"/>
    <w:rsid w:val="7FDC37F6"/>
    <w:rsid w:val="7FF6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99"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99"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157"/>
    <w:qFormat/>
    <w:uiPriority w:val="9"/>
    <w:pPr>
      <w:spacing w:line="360" w:lineRule="auto"/>
      <w:jc w:val="center"/>
      <w:outlineLvl w:val="0"/>
    </w:pPr>
    <w:rPr>
      <w:rFonts w:ascii="宋体" w:hAnsi="宋体"/>
      <w:b/>
      <w:bCs/>
      <w:kern w:val="44"/>
      <w:sz w:val="32"/>
      <w:szCs w:val="32"/>
    </w:rPr>
  </w:style>
  <w:style w:type="paragraph" w:styleId="3">
    <w:name w:val="heading 2"/>
    <w:basedOn w:val="1"/>
    <w:next w:val="1"/>
    <w:qFormat/>
    <w:uiPriority w:val="1"/>
    <w:pPr>
      <w:spacing w:before="54"/>
      <w:jc w:val="center"/>
      <w:outlineLvl w:val="1"/>
    </w:pPr>
    <w:rPr>
      <w:rFonts w:ascii="黑体" w:hAnsi="黑体" w:eastAsia="黑体"/>
      <w:b/>
      <w:bCs/>
      <w:sz w:val="35"/>
      <w:szCs w:val="35"/>
      <w:lang w:val="zh-CN" w:bidi="zh-CN"/>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1"/>
    <w:pPr>
      <w:ind w:left="220"/>
      <w:outlineLvl w:val="4"/>
    </w:pPr>
    <w:rPr>
      <w:b/>
      <w:bCs/>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ind w:left="420" w:leftChars="200"/>
    </w:pPr>
  </w:style>
  <w:style w:type="paragraph" w:styleId="8">
    <w:name w:val="Normal Indent"/>
    <w:basedOn w:val="1"/>
    <w:next w:val="9"/>
    <w:link w:val="149"/>
    <w:qFormat/>
    <w:uiPriority w:val="0"/>
    <w:pPr>
      <w:snapToGrid/>
      <w:spacing w:after="0" w:line="360" w:lineRule="auto"/>
      <w:ind w:firstLine="602" w:firstLineChars="200"/>
    </w:pPr>
    <w:rPr>
      <w:rFonts w:ascii="宋体" w:hAnsi="Calibri"/>
      <w:sz w:val="28"/>
      <w:szCs w:val="28"/>
      <w:lang w:eastAsia="en-US" w:bidi="en-US"/>
    </w:rPr>
  </w:style>
  <w:style w:type="paragraph" w:styleId="9">
    <w:name w:val="Body Text First Indent 2"/>
    <w:basedOn w:val="10"/>
    <w:unhideWhenUsed/>
    <w:qFormat/>
    <w:uiPriority w:val="99"/>
    <w:pPr>
      <w:ind w:firstLine="420" w:firstLineChars="200"/>
    </w:pPr>
  </w:style>
  <w:style w:type="paragraph" w:styleId="10">
    <w:name w:val="Body Text Indent"/>
    <w:basedOn w:val="1"/>
    <w:link w:val="156"/>
    <w:unhideWhenUsed/>
    <w:qFormat/>
    <w:uiPriority w:val="99"/>
    <w:pPr>
      <w:spacing w:after="120"/>
      <w:ind w:left="420" w:leftChars="200"/>
    </w:pPr>
  </w:style>
  <w:style w:type="paragraph" w:styleId="11">
    <w:name w:val="annotation text"/>
    <w:basedOn w:val="1"/>
    <w:qFormat/>
    <w:uiPriority w:val="99"/>
    <w:pPr>
      <w:spacing w:line="360" w:lineRule="atLeast"/>
      <w:textAlignment w:val="baseline"/>
    </w:pPr>
    <w:rPr>
      <w:sz w:val="24"/>
    </w:rPr>
  </w:style>
  <w:style w:type="paragraph" w:styleId="12">
    <w:name w:val="Body Text 3"/>
    <w:basedOn w:val="1"/>
    <w:qFormat/>
    <w:uiPriority w:val="0"/>
    <w:rPr>
      <w:sz w:val="24"/>
      <w:szCs w:val="20"/>
    </w:rPr>
  </w:style>
  <w:style w:type="paragraph" w:styleId="13">
    <w:name w:val="Body Text"/>
    <w:basedOn w:val="1"/>
    <w:next w:val="1"/>
    <w:link w:val="150"/>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4">
    <w:name w:val="List 2"/>
    <w:basedOn w:val="1"/>
    <w:next w:val="12"/>
    <w:qFormat/>
    <w:uiPriority w:val="99"/>
    <w:pPr>
      <w:ind w:left="400" w:leftChars="200" w:hanging="200" w:hangingChars="200"/>
    </w:pPr>
  </w:style>
  <w:style w:type="paragraph" w:styleId="15">
    <w:name w:val="toc 3"/>
    <w:basedOn w:val="1"/>
    <w:next w:val="1"/>
    <w:unhideWhenUsed/>
    <w:qFormat/>
    <w:uiPriority w:val="39"/>
    <w:pPr>
      <w:ind w:left="840" w:leftChars="400"/>
    </w:pPr>
  </w:style>
  <w:style w:type="paragraph" w:styleId="16">
    <w:name w:val="Plain Text"/>
    <w:basedOn w:val="1"/>
    <w:qFormat/>
    <w:uiPriority w:val="0"/>
    <w:rPr>
      <w:rFonts w:hint="eastAsia" w:ascii="宋体" w:hAnsi="Calibri"/>
      <w:szCs w:val="20"/>
    </w:rPr>
  </w:style>
  <w:style w:type="paragraph" w:styleId="17">
    <w:name w:val="Date"/>
    <w:basedOn w:val="1"/>
    <w:next w:val="1"/>
    <w:link w:val="124"/>
    <w:qFormat/>
    <w:uiPriority w:val="0"/>
    <w:pPr>
      <w:adjustRightInd/>
      <w:snapToGrid/>
      <w:spacing w:after="0"/>
      <w:ind w:left="100" w:leftChars="2500"/>
      <w:jc w:val="both"/>
      <w:textAlignment w:val="baseline"/>
    </w:pPr>
    <w:rPr>
      <w:rFonts w:ascii="Times New Roman" w:hAnsi="Times New Roman" w:eastAsia="宋体"/>
      <w:kern w:val="2"/>
      <w:sz w:val="21"/>
      <w:szCs w:val="24"/>
    </w:rPr>
  </w:style>
  <w:style w:type="paragraph" w:styleId="18">
    <w:name w:val="Body Text Indent 2"/>
    <w:basedOn w:val="1"/>
    <w:next w:val="13"/>
    <w:qFormat/>
    <w:uiPriority w:val="0"/>
    <w:pPr>
      <w:spacing w:line="520" w:lineRule="exact"/>
      <w:ind w:left="181" w:firstLine="239"/>
    </w:pPr>
    <w:rPr>
      <w:rFonts w:ascii="仿宋_GB2312" w:eastAsia="仿宋_GB2312"/>
      <w:sz w:val="28"/>
      <w:szCs w:val="28"/>
      <w:lang w:val="zh-CN"/>
    </w:rPr>
  </w:style>
  <w:style w:type="paragraph" w:styleId="19">
    <w:name w:val="Balloon Text"/>
    <w:basedOn w:val="1"/>
    <w:link w:val="152"/>
    <w:unhideWhenUsed/>
    <w:qFormat/>
    <w:uiPriority w:val="99"/>
    <w:pPr>
      <w:spacing w:after="0"/>
    </w:pPr>
    <w:rPr>
      <w:sz w:val="18"/>
      <w:szCs w:val="18"/>
    </w:rPr>
  </w:style>
  <w:style w:type="paragraph" w:styleId="20">
    <w:name w:val="footer"/>
    <w:basedOn w:val="1"/>
    <w:link w:val="123"/>
    <w:unhideWhenUsed/>
    <w:qFormat/>
    <w:uiPriority w:val="0"/>
    <w:pPr>
      <w:tabs>
        <w:tab w:val="center" w:pos="4153"/>
        <w:tab w:val="right" w:pos="8306"/>
      </w:tabs>
    </w:pPr>
    <w:rPr>
      <w:sz w:val="18"/>
      <w:szCs w:val="18"/>
    </w:rPr>
  </w:style>
  <w:style w:type="paragraph" w:styleId="21">
    <w:name w:val="header"/>
    <w:basedOn w:val="1"/>
    <w:link w:val="122"/>
    <w:unhideWhenUsed/>
    <w:qFormat/>
    <w:uiPriority w:val="0"/>
    <w:pPr>
      <w:pBdr>
        <w:bottom w:val="single" w:color="auto" w:sz="6" w:space="1"/>
      </w:pBdr>
      <w:tabs>
        <w:tab w:val="center" w:pos="4153"/>
        <w:tab w:val="right" w:pos="8306"/>
      </w:tabs>
      <w:jc w:val="center"/>
    </w:pPr>
    <w:rPr>
      <w:sz w:val="18"/>
      <w:szCs w:val="18"/>
    </w:rPr>
  </w:style>
  <w:style w:type="paragraph" w:styleId="22">
    <w:name w:val="toc 1"/>
    <w:basedOn w:val="1"/>
    <w:next w:val="1"/>
    <w:unhideWhenUsed/>
    <w:qFormat/>
    <w:uiPriority w:val="39"/>
  </w:style>
  <w:style w:type="paragraph" w:styleId="23">
    <w:name w:val="toc 4"/>
    <w:next w:val="1"/>
    <w:unhideWhenUsed/>
    <w:qFormat/>
    <w:uiPriority w:val="39"/>
    <w:pPr>
      <w:widowControl w:val="0"/>
      <w:spacing w:line="360" w:lineRule="auto"/>
      <w:ind w:left="630" w:firstLine="200" w:firstLineChars="200"/>
    </w:pPr>
    <w:rPr>
      <w:rFonts w:ascii="Times New Roman" w:hAnsi="Times New Roman" w:eastAsia="仿宋" w:cs="Times New Roman"/>
      <w:kern w:val="2"/>
      <w:sz w:val="18"/>
      <w:szCs w:val="18"/>
      <w:lang w:val="en-US" w:eastAsia="zh-CN" w:bidi="ar-SA"/>
    </w:rPr>
  </w:style>
  <w:style w:type="paragraph" w:styleId="24">
    <w:name w:val="toc 2"/>
    <w:basedOn w:val="1"/>
    <w:next w:val="1"/>
    <w:qFormat/>
    <w:uiPriority w:val="0"/>
    <w:pPr>
      <w:widowControl w:val="0"/>
      <w:autoSpaceDE w:val="0"/>
      <w:autoSpaceDN w:val="0"/>
      <w:adjustRightInd/>
      <w:snapToGrid/>
      <w:spacing w:after="0"/>
      <w:ind w:left="210"/>
    </w:pPr>
    <w:rPr>
      <w:rFonts w:ascii="宋体" w:hAnsi="宋体" w:eastAsia="宋体" w:cs="宋体"/>
      <w:smallCaps/>
      <w:sz w:val="20"/>
      <w:lang w:val="zh-CN" w:bidi="zh-CN"/>
    </w:rPr>
  </w:style>
  <w:style w:type="paragraph" w:styleId="25">
    <w:name w:val="Body Text 2"/>
    <w:basedOn w:val="1"/>
    <w:qFormat/>
    <w:uiPriority w:val="99"/>
    <w:pPr>
      <w:spacing w:after="120" w:line="480" w:lineRule="auto"/>
    </w:pPr>
    <w:rPr>
      <w:sz w:val="24"/>
    </w:rPr>
  </w:style>
  <w:style w:type="paragraph" w:styleId="26">
    <w:name w:val="Normal (Web)"/>
    <w:basedOn w:val="1"/>
    <w:next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27">
    <w:name w:val="Body Text First Indent"/>
    <w:basedOn w:val="1"/>
    <w:next w:val="9"/>
    <w:qFormat/>
    <w:uiPriority w:val="0"/>
    <w:pPr>
      <w:spacing w:line="567" w:lineRule="exact"/>
      <w:ind w:firstLine="567"/>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rPr>
  </w:style>
  <w:style w:type="character" w:styleId="32">
    <w:name w:val="page number"/>
    <w:basedOn w:val="30"/>
    <w:unhideWhenUsed/>
    <w:qFormat/>
    <w:uiPriority w:val="0"/>
  </w:style>
  <w:style w:type="character" w:styleId="33">
    <w:name w:val="FollowedHyperlink"/>
    <w:basedOn w:val="34"/>
    <w:qFormat/>
    <w:uiPriority w:val="0"/>
    <w:rPr>
      <w:color w:val="005EAC"/>
    </w:rPr>
  </w:style>
  <w:style w:type="character" w:customStyle="1" w:styleId="34">
    <w:name w:val="NormalCharacter"/>
    <w:semiHidden/>
    <w:qFormat/>
    <w:uiPriority w:val="0"/>
  </w:style>
  <w:style w:type="character" w:styleId="35">
    <w:name w:val="Emphasis"/>
    <w:basedOn w:val="30"/>
    <w:qFormat/>
    <w:uiPriority w:val="20"/>
    <w:rPr>
      <w:b/>
    </w:rPr>
  </w:style>
  <w:style w:type="character" w:styleId="36">
    <w:name w:val="HTML Definition"/>
    <w:basedOn w:val="30"/>
    <w:unhideWhenUsed/>
    <w:qFormat/>
    <w:uiPriority w:val="99"/>
  </w:style>
  <w:style w:type="character" w:styleId="37">
    <w:name w:val="HTML Typewriter"/>
    <w:basedOn w:val="30"/>
    <w:unhideWhenUsed/>
    <w:qFormat/>
    <w:uiPriority w:val="99"/>
    <w:rPr>
      <w:rFonts w:hint="default" w:ascii="monospace" w:hAnsi="monospace" w:eastAsia="monospace" w:cs="monospace"/>
      <w:sz w:val="20"/>
    </w:rPr>
  </w:style>
  <w:style w:type="character" w:styleId="38">
    <w:name w:val="HTML Acronym"/>
    <w:basedOn w:val="30"/>
    <w:unhideWhenUsed/>
    <w:qFormat/>
    <w:uiPriority w:val="99"/>
  </w:style>
  <w:style w:type="character" w:styleId="39">
    <w:name w:val="HTML Variable"/>
    <w:basedOn w:val="30"/>
    <w:unhideWhenUsed/>
    <w:qFormat/>
    <w:uiPriority w:val="99"/>
  </w:style>
  <w:style w:type="character" w:styleId="40">
    <w:name w:val="Hyperlink"/>
    <w:basedOn w:val="34"/>
    <w:qFormat/>
    <w:uiPriority w:val="0"/>
    <w:rPr>
      <w:color w:val="434343"/>
    </w:rPr>
  </w:style>
  <w:style w:type="character" w:styleId="41">
    <w:name w:val="HTML Code"/>
    <w:basedOn w:val="30"/>
    <w:unhideWhenUsed/>
    <w:qFormat/>
    <w:uiPriority w:val="99"/>
    <w:rPr>
      <w:rFonts w:ascii="monospace" w:hAnsi="monospace" w:eastAsia="monospace" w:cs="monospace"/>
      <w:sz w:val="20"/>
    </w:rPr>
  </w:style>
  <w:style w:type="character" w:styleId="42">
    <w:name w:val="HTML Cite"/>
    <w:basedOn w:val="30"/>
    <w:unhideWhenUsed/>
    <w:qFormat/>
    <w:uiPriority w:val="99"/>
  </w:style>
  <w:style w:type="character" w:styleId="43">
    <w:name w:val="HTML Keyboard"/>
    <w:basedOn w:val="30"/>
    <w:unhideWhenUsed/>
    <w:qFormat/>
    <w:uiPriority w:val="99"/>
    <w:rPr>
      <w:rFonts w:hint="default" w:ascii="monospace" w:hAnsi="monospace" w:eastAsia="monospace" w:cs="monospace"/>
      <w:sz w:val="20"/>
    </w:rPr>
  </w:style>
  <w:style w:type="character" w:styleId="44">
    <w:name w:val="HTML Sample"/>
    <w:basedOn w:val="30"/>
    <w:unhideWhenUsed/>
    <w:qFormat/>
    <w:uiPriority w:val="99"/>
    <w:rPr>
      <w:rFonts w:hint="default" w:ascii="monospace" w:hAnsi="monospace" w:eastAsia="monospace" w:cs="monospace"/>
    </w:rPr>
  </w:style>
  <w:style w:type="paragraph" w:customStyle="1" w:styleId="45">
    <w:name w:val="BodyText"/>
    <w:basedOn w:val="1"/>
    <w:next w:val="1"/>
    <w:qFormat/>
    <w:uiPriority w:val="0"/>
    <w:pPr>
      <w:adjustRightInd/>
      <w:snapToGrid/>
      <w:spacing w:after="120"/>
      <w:jc w:val="both"/>
      <w:textAlignment w:val="baseline"/>
    </w:pPr>
    <w:rPr>
      <w:rFonts w:ascii="Times New Roman" w:hAnsi="Times New Roman" w:eastAsia="宋体"/>
      <w:kern w:val="2"/>
      <w:sz w:val="21"/>
      <w:szCs w:val="24"/>
    </w:rPr>
  </w:style>
  <w:style w:type="paragraph" w:customStyle="1" w:styleId="46">
    <w:name w:val="样式 宋体 小四1 Char"/>
    <w:basedOn w:val="1"/>
    <w:qFormat/>
    <w:uiPriority w:val="0"/>
    <w:pPr>
      <w:spacing w:before="100" w:beforeAutospacing="1" w:after="100" w:afterAutospacing="1" w:line="300" w:lineRule="auto"/>
    </w:pPr>
    <w:rPr>
      <w:rFonts w:ascii="宋体" w:hAnsi="宋体" w:eastAsia="宋体" w:cs="Times New Roman"/>
      <w:szCs w:val="21"/>
    </w:rPr>
  </w:style>
  <w:style w:type="paragraph" w:customStyle="1" w:styleId="47">
    <w:name w:val="NormalIndent"/>
    <w:basedOn w:val="1"/>
    <w:next w:val="1"/>
    <w:link w:val="137"/>
    <w:qFormat/>
    <w:uiPriority w:val="0"/>
    <w:pPr>
      <w:adjustRightInd/>
      <w:snapToGrid/>
      <w:spacing w:after="0" w:line="360" w:lineRule="auto"/>
      <w:ind w:firstLine="602" w:firstLineChars="200"/>
      <w:textAlignment w:val="baseline"/>
    </w:pPr>
    <w:rPr>
      <w:rFonts w:ascii="宋体" w:hAnsi="Calibri" w:eastAsia="宋体"/>
      <w:sz w:val="28"/>
      <w:szCs w:val="28"/>
      <w:lang w:eastAsia="en-US" w:bidi="en-US"/>
    </w:rPr>
  </w:style>
  <w:style w:type="paragraph" w:customStyle="1" w:styleId="48">
    <w:name w:val="Heading1"/>
    <w:basedOn w:val="1"/>
    <w:next w:val="1"/>
    <w:link w:val="131"/>
    <w:qFormat/>
    <w:uiPriority w:val="0"/>
    <w:pPr>
      <w:adjustRightInd/>
      <w:snapToGrid/>
      <w:spacing w:after="0" w:line="360" w:lineRule="auto"/>
      <w:jc w:val="center"/>
      <w:textAlignment w:val="baseline"/>
    </w:pPr>
    <w:rPr>
      <w:rFonts w:ascii="宋体" w:hAnsi="宋体" w:eastAsia="宋体" w:cs="Times New Roman"/>
      <w:b/>
      <w:bCs/>
      <w:kern w:val="44"/>
      <w:sz w:val="28"/>
      <w:szCs w:val="28"/>
    </w:rPr>
  </w:style>
  <w:style w:type="paragraph" w:customStyle="1" w:styleId="49">
    <w:name w:val="Heading2"/>
    <w:basedOn w:val="1"/>
    <w:next w:val="1"/>
    <w:qFormat/>
    <w:uiPriority w:val="0"/>
    <w:pPr>
      <w:keepNext/>
      <w:keepLines/>
      <w:adjustRightInd/>
      <w:snapToGrid/>
      <w:spacing w:before="260" w:after="260" w:line="416" w:lineRule="auto"/>
      <w:jc w:val="both"/>
      <w:textAlignment w:val="baseline"/>
    </w:pPr>
    <w:rPr>
      <w:rFonts w:ascii="Arial" w:hAnsi="Arial" w:eastAsia="黑体" w:cs="Times New Roman"/>
      <w:b/>
      <w:bCs/>
      <w:kern w:val="2"/>
      <w:sz w:val="32"/>
      <w:szCs w:val="32"/>
    </w:rPr>
  </w:style>
  <w:style w:type="paragraph" w:customStyle="1" w:styleId="50">
    <w:name w:val="Heading3"/>
    <w:basedOn w:val="1"/>
    <w:next w:val="1"/>
    <w:qFormat/>
    <w:uiPriority w:val="0"/>
    <w:pPr>
      <w:keepNext/>
      <w:keepLines/>
      <w:adjustRightInd/>
      <w:snapToGrid/>
      <w:spacing w:before="260" w:after="260" w:line="416" w:lineRule="auto"/>
      <w:jc w:val="both"/>
      <w:textAlignment w:val="baseline"/>
    </w:pPr>
    <w:rPr>
      <w:rFonts w:ascii="Times New Roman" w:hAnsi="Times New Roman" w:eastAsia="宋体" w:cs="Times New Roman"/>
      <w:b/>
      <w:bCs/>
      <w:kern w:val="2"/>
      <w:sz w:val="32"/>
      <w:szCs w:val="32"/>
    </w:rPr>
  </w:style>
  <w:style w:type="paragraph" w:customStyle="1" w:styleId="51">
    <w:name w:val="Acetate"/>
    <w:basedOn w:val="1"/>
    <w:link w:val="130"/>
    <w:qFormat/>
    <w:uiPriority w:val="0"/>
    <w:pPr>
      <w:adjustRightInd/>
      <w:snapToGrid/>
      <w:spacing w:after="0"/>
      <w:jc w:val="both"/>
      <w:textAlignment w:val="baseline"/>
    </w:pPr>
    <w:rPr>
      <w:rFonts w:ascii="Calibri" w:hAnsi="Calibri"/>
      <w:kern w:val="2"/>
      <w:sz w:val="18"/>
      <w:szCs w:val="18"/>
    </w:rPr>
  </w:style>
  <w:style w:type="paragraph" w:customStyle="1" w:styleId="52">
    <w:name w:val="PlainText"/>
    <w:basedOn w:val="1"/>
    <w:link w:val="139"/>
    <w:qFormat/>
    <w:uiPriority w:val="0"/>
    <w:pPr>
      <w:adjustRightInd/>
      <w:snapToGrid/>
      <w:spacing w:after="0"/>
      <w:jc w:val="both"/>
      <w:textAlignment w:val="baseline"/>
    </w:pPr>
    <w:rPr>
      <w:rFonts w:ascii="宋体" w:hAnsi="Courier New"/>
      <w:kern w:val="2"/>
      <w:sz w:val="28"/>
    </w:rPr>
  </w:style>
  <w:style w:type="paragraph" w:customStyle="1" w:styleId="53">
    <w:name w:val="TOC3"/>
    <w:basedOn w:val="1"/>
    <w:next w:val="1"/>
    <w:qFormat/>
    <w:uiPriority w:val="0"/>
    <w:pPr>
      <w:adjustRightInd/>
      <w:snapToGrid/>
      <w:spacing w:after="0"/>
      <w:ind w:left="840" w:leftChars="400"/>
      <w:jc w:val="both"/>
      <w:textAlignment w:val="baseline"/>
    </w:pPr>
    <w:rPr>
      <w:rFonts w:ascii="Times New Roman" w:hAnsi="Times New Roman" w:eastAsia="宋体"/>
      <w:kern w:val="2"/>
      <w:sz w:val="21"/>
      <w:szCs w:val="24"/>
    </w:rPr>
  </w:style>
  <w:style w:type="paragraph" w:customStyle="1" w:styleId="54">
    <w:name w:val="179"/>
    <w:basedOn w:val="1"/>
    <w:qFormat/>
    <w:uiPriority w:val="0"/>
    <w:pPr>
      <w:adjustRightInd/>
      <w:snapToGrid/>
      <w:spacing w:after="0"/>
      <w:ind w:firstLine="420" w:firstLineChars="200"/>
      <w:jc w:val="both"/>
      <w:textAlignment w:val="baseline"/>
    </w:pPr>
    <w:rPr>
      <w:rFonts w:ascii="Calibri" w:hAnsi="Calibri" w:eastAsia="宋体"/>
      <w:kern w:val="2"/>
      <w:sz w:val="21"/>
    </w:rPr>
  </w:style>
  <w:style w:type="paragraph" w:customStyle="1" w:styleId="55">
    <w:name w:val="UserStyle_25"/>
    <w:basedOn w:val="1"/>
    <w:qFormat/>
    <w:uiPriority w:val="0"/>
    <w:pPr>
      <w:adjustRightInd/>
      <w:snapToGrid/>
      <w:spacing w:after="0"/>
      <w:jc w:val="both"/>
      <w:textAlignment w:val="baseline"/>
    </w:pPr>
    <w:rPr>
      <w:rFonts w:ascii="Times New Roman" w:hAnsi="Times New Roman" w:eastAsia="宋体"/>
      <w:kern w:val="2"/>
      <w:sz w:val="21"/>
      <w:szCs w:val="20"/>
    </w:rPr>
  </w:style>
  <w:style w:type="paragraph" w:customStyle="1" w:styleId="56">
    <w:name w:val="UserStyle_26"/>
    <w:basedOn w:val="1"/>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57">
    <w:name w:val="BodyTextIndent"/>
    <w:basedOn w:val="1"/>
    <w:qFormat/>
    <w:uiPriority w:val="0"/>
    <w:pPr>
      <w:adjustRightInd/>
      <w:snapToGrid/>
      <w:spacing w:after="0" w:line="460" w:lineRule="exact"/>
      <w:ind w:firstLine="570"/>
      <w:jc w:val="both"/>
      <w:textAlignment w:val="baseline"/>
    </w:pPr>
    <w:rPr>
      <w:rFonts w:ascii="Times New Roman" w:hAnsi="Times New Roman" w:eastAsia="宋体" w:cs="Times New Roman"/>
      <w:b/>
      <w:bCs/>
      <w:kern w:val="2"/>
      <w:sz w:val="28"/>
      <w:szCs w:val="20"/>
    </w:rPr>
  </w:style>
  <w:style w:type="paragraph" w:customStyle="1" w:styleId="58">
    <w:name w:val="BodyTextIndent3"/>
    <w:basedOn w:val="1"/>
    <w:qFormat/>
    <w:uiPriority w:val="0"/>
    <w:pPr>
      <w:adjustRightInd/>
      <w:snapToGrid/>
      <w:spacing w:after="120"/>
      <w:ind w:left="420" w:leftChars="200"/>
      <w:jc w:val="both"/>
      <w:textAlignment w:val="baseline"/>
    </w:pPr>
    <w:rPr>
      <w:rFonts w:ascii="Times New Roman" w:hAnsi="Times New Roman" w:eastAsia="宋体"/>
      <w:kern w:val="2"/>
      <w:sz w:val="16"/>
      <w:szCs w:val="16"/>
    </w:rPr>
  </w:style>
  <w:style w:type="paragraph" w:customStyle="1" w:styleId="59">
    <w:name w:val="TOC1"/>
    <w:basedOn w:val="1"/>
    <w:next w:val="1"/>
    <w:qFormat/>
    <w:uiPriority w:val="0"/>
    <w:pPr>
      <w:tabs>
        <w:tab w:val="right" w:leader="dot" w:pos="9344"/>
      </w:tabs>
      <w:adjustRightInd/>
      <w:snapToGrid/>
      <w:spacing w:after="0"/>
      <w:jc w:val="both"/>
      <w:textAlignment w:val="baseline"/>
    </w:pPr>
    <w:rPr>
      <w:rFonts w:ascii="Times New Roman" w:hAnsi="Times New Roman" w:eastAsia="宋体"/>
      <w:kern w:val="2"/>
      <w:sz w:val="21"/>
      <w:szCs w:val="24"/>
    </w:rPr>
  </w:style>
  <w:style w:type="paragraph" w:customStyle="1" w:styleId="60">
    <w:name w:val="AnnotationText"/>
    <w:basedOn w:val="1"/>
    <w:qFormat/>
    <w:uiPriority w:val="0"/>
    <w:pPr>
      <w:adjustRightInd/>
      <w:snapToGrid/>
      <w:spacing w:after="0" w:line="360" w:lineRule="atLeast"/>
      <w:textAlignment w:val="baseline"/>
    </w:pPr>
    <w:rPr>
      <w:rFonts w:ascii="Times New Roman" w:hAnsi="Times New Roman" w:eastAsia="宋体"/>
      <w:sz w:val="24"/>
      <w:szCs w:val="24"/>
    </w:rPr>
  </w:style>
  <w:style w:type="paragraph" w:customStyle="1" w:styleId="61">
    <w:name w:val="TOC2"/>
    <w:basedOn w:val="1"/>
    <w:next w:val="1"/>
    <w:qFormat/>
    <w:uiPriority w:val="0"/>
    <w:pPr>
      <w:tabs>
        <w:tab w:val="right" w:leader="dot" w:pos="9344"/>
      </w:tabs>
      <w:adjustRightInd/>
      <w:snapToGrid/>
      <w:spacing w:after="0"/>
      <w:ind w:left="420" w:leftChars="200"/>
      <w:jc w:val="both"/>
      <w:textAlignment w:val="baseline"/>
    </w:pPr>
    <w:rPr>
      <w:rFonts w:ascii="Times New Roman" w:hAnsi="Times New Roman" w:eastAsia="宋体"/>
      <w:spacing w:val="10"/>
      <w:kern w:val="2"/>
      <w:sz w:val="21"/>
      <w:szCs w:val="24"/>
    </w:rPr>
  </w:style>
  <w:style w:type="paragraph" w:customStyle="1" w:styleId="62">
    <w:name w:val="UserStyle_27"/>
    <w:basedOn w:val="1"/>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63">
    <w:name w:val="UserStyle_28"/>
    <w:basedOn w:val="1"/>
    <w:qFormat/>
    <w:uiPriority w:val="0"/>
    <w:pP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32"/>
      <w:szCs w:val="32"/>
    </w:rPr>
  </w:style>
  <w:style w:type="paragraph" w:customStyle="1" w:styleId="64">
    <w:name w:val="UserStyle_29"/>
    <w:basedOn w:val="1"/>
    <w:qFormat/>
    <w:uiPriority w:val="0"/>
    <w:pPr>
      <w:pBdr>
        <w:top w:val="single" w:color="000000" w:sz="8"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65">
    <w:name w:val="UserStyle_30"/>
    <w:basedOn w:val="50"/>
    <w:qFormat/>
    <w:uiPriority w:val="0"/>
    <w:pPr>
      <w:spacing w:before="0" w:after="0" w:line="400" w:lineRule="exact"/>
    </w:pPr>
    <w:rPr>
      <w:rFonts w:eastAsia="黑体"/>
      <w:b w:val="0"/>
      <w:bCs w:val="0"/>
      <w:sz w:val="24"/>
      <w:szCs w:val="20"/>
    </w:rPr>
  </w:style>
  <w:style w:type="paragraph" w:customStyle="1" w:styleId="66">
    <w:name w:val="HtmlNormal"/>
    <w:basedOn w:val="1"/>
    <w:next w:val="1"/>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67">
    <w:name w:val="UserStyle_31"/>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s="宋体"/>
      <w:b/>
      <w:bCs/>
      <w:color w:val="000000"/>
      <w:sz w:val="24"/>
      <w:szCs w:val="24"/>
    </w:rPr>
  </w:style>
  <w:style w:type="paragraph" w:customStyle="1" w:styleId="68">
    <w:name w:val="UserStyle_32"/>
    <w:basedOn w:val="1"/>
    <w:qFormat/>
    <w:uiPriority w:val="0"/>
    <w:pPr>
      <w:tabs>
        <w:tab w:val="left" w:pos="525"/>
      </w:tabs>
      <w:adjustRightInd/>
      <w:snapToGrid/>
      <w:spacing w:after="0" w:line="400" w:lineRule="atLeast"/>
      <w:jc w:val="center"/>
      <w:textAlignment w:val="baseline"/>
    </w:pPr>
    <w:rPr>
      <w:rFonts w:ascii="New York" w:hAnsi="New York" w:eastAsia="楷体_GB2312"/>
      <w:position w:val="-6"/>
      <w:sz w:val="24"/>
      <w:szCs w:val="20"/>
    </w:rPr>
  </w:style>
  <w:style w:type="paragraph" w:customStyle="1" w:styleId="69">
    <w:name w:val="UserStyle_33"/>
    <w:basedOn w:val="1"/>
    <w:qFormat/>
    <w:uiPriority w:val="0"/>
    <w:pP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0">
    <w:name w:val="UserStyle_34"/>
    <w:basedOn w:val="1"/>
    <w:qFormat/>
    <w:uiPriority w:val="0"/>
    <w:pPr>
      <w:adjustRightInd/>
      <w:snapToGrid/>
      <w:spacing w:before="100" w:beforeAutospacing="1" w:after="100" w:afterAutospacing="1"/>
      <w:textAlignment w:val="baseline"/>
    </w:pPr>
    <w:rPr>
      <w:rFonts w:ascii="宋体" w:hAnsi="宋体" w:eastAsia="宋体"/>
      <w:sz w:val="24"/>
      <w:szCs w:val="24"/>
    </w:rPr>
  </w:style>
  <w:style w:type="paragraph" w:customStyle="1" w:styleId="71">
    <w:name w:val="UserStyle_35"/>
    <w:basedOn w:val="1"/>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2">
    <w:name w:val="UserStyle_36"/>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73">
    <w:name w:val="UserStyle_37"/>
    <w:basedOn w:val="1"/>
    <w:qFormat/>
    <w:uiPriority w:val="0"/>
    <w:pPr>
      <w:adjustRightInd/>
      <w:snapToGrid/>
      <w:spacing w:after="0"/>
      <w:textAlignment w:val="baseline"/>
    </w:pPr>
    <w:rPr>
      <w:rFonts w:ascii="宋体" w:hAnsi="宋体" w:eastAsia="宋体"/>
      <w:lang w:val="zh-CN" w:bidi="zh-CN"/>
    </w:rPr>
  </w:style>
  <w:style w:type="paragraph" w:customStyle="1" w:styleId="74">
    <w:name w:val="UserStyle_38"/>
    <w:basedOn w:val="1"/>
    <w:qFormat/>
    <w:uiPriority w:val="0"/>
    <w:pP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75">
    <w:name w:val="UserStyle_39"/>
    <w:basedOn w:val="1"/>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76">
    <w:name w:val="UserStyle_40"/>
    <w:basedOn w:val="1"/>
    <w:qFormat/>
    <w:uiPriority w:val="0"/>
    <w:pP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77">
    <w:name w:val="UserStyle_41"/>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78">
    <w:name w:val="UserStyle_42"/>
    <w:basedOn w:val="1"/>
    <w:qFormat/>
    <w:uiPriority w:val="0"/>
    <w:pPr>
      <w:adjustRightInd/>
      <w:snapToGrid/>
      <w:spacing w:after="0"/>
      <w:ind w:left="1103"/>
      <w:textAlignment w:val="baseline"/>
    </w:pPr>
    <w:rPr>
      <w:rFonts w:ascii="宋体" w:hAnsi="宋体" w:eastAsia="宋体" w:cs="宋体"/>
      <w:b/>
      <w:bCs/>
      <w:sz w:val="24"/>
      <w:szCs w:val="24"/>
      <w:lang w:val="zh-CN" w:bidi="zh-CN"/>
    </w:rPr>
  </w:style>
  <w:style w:type="paragraph" w:customStyle="1" w:styleId="79">
    <w:name w:val="UserStyle_43"/>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80">
    <w:name w:val="UserStyle_44"/>
    <w:qFormat/>
    <w:uiPriority w:val="0"/>
    <w:pPr>
      <w:textAlignment w:val="baseline"/>
    </w:pPr>
    <w:rPr>
      <w:rFonts w:ascii="宋体" w:hAnsi="Times New Roman" w:eastAsia="宋体" w:cs="黑体"/>
      <w:color w:val="000000"/>
      <w:sz w:val="24"/>
      <w:szCs w:val="24"/>
      <w:lang w:val="en-US" w:eastAsia="zh-CN" w:bidi="ar-SA"/>
    </w:rPr>
  </w:style>
  <w:style w:type="paragraph" w:customStyle="1" w:styleId="81">
    <w:name w:val="UserStyle_45"/>
    <w:basedOn w:val="1"/>
    <w:qFormat/>
    <w:uiPriority w:val="0"/>
    <w:pPr>
      <w:pBdr>
        <w:top w:val="single" w:color="000000" w:sz="4" w:space="0"/>
        <w:left w:val="single" w:color="000000" w:sz="4" w:space="0"/>
        <w:bottom w:val="single" w:color="000000" w:sz="8"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82">
    <w:name w:val="UserStyle_46"/>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0"/>
      <w:szCs w:val="20"/>
    </w:rPr>
  </w:style>
  <w:style w:type="paragraph" w:customStyle="1" w:styleId="83">
    <w:name w:val="UserStyle_47"/>
    <w:basedOn w:val="1"/>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0"/>
      <w:szCs w:val="20"/>
    </w:rPr>
  </w:style>
  <w:style w:type="paragraph" w:customStyle="1" w:styleId="84">
    <w:name w:val="UserStyle_48"/>
    <w:basedOn w:val="1"/>
    <w:qFormat/>
    <w:uiPriority w:val="0"/>
    <w:pPr>
      <w:pBdr>
        <w:top w:val="single" w:color="000000" w:sz="4" w:space="0"/>
        <w:left w:val="single" w:color="000000" w:sz="8" w:space="0"/>
        <w:bottom w:val="single" w:color="000000" w:sz="8"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85">
    <w:name w:val="UserStyle_49"/>
    <w:basedOn w:val="1"/>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86">
    <w:name w:val="UserStyle_50"/>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24"/>
      <w:szCs w:val="24"/>
    </w:rPr>
  </w:style>
  <w:style w:type="paragraph" w:customStyle="1" w:styleId="87">
    <w:name w:val="UserStyle_51"/>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88">
    <w:name w:val="UserStyle_52"/>
    <w:basedOn w:val="1"/>
    <w:qFormat/>
    <w:uiPriority w:val="0"/>
    <w:pPr>
      <w:pBdr>
        <w:top w:val="single" w:color="000000" w:sz="8"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89">
    <w:name w:val="UserStyle_53"/>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s="宋体"/>
      <w:b/>
      <w:bCs/>
      <w:color w:val="000000"/>
      <w:sz w:val="24"/>
      <w:szCs w:val="24"/>
    </w:rPr>
  </w:style>
  <w:style w:type="paragraph" w:customStyle="1" w:styleId="90">
    <w:name w:val="UserStyle_54"/>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olor w:val="000000"/>
      <w:sz w:val="24"/>
      <w:szCs w:val="24"/>
    </w:rPr>
  </w:style>
  <w:style w:type="paragraph" w:customStyle="1" w:styleId="91">
    <w:name w:val="UserStyle_55"/>
    <w:basedOn w:val="1"/>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92">
    <w:name w:val="UserStyle_56"/>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93">
    <w:name w:val="UserStyle_57"/>
    <w:qFormat/>
    <w:uiPriority w:val="0"/>
    <w:pPr>
      <w:jc w:val="both"/>
      <w:textAlignment w:val="baseline"/>
    </w:pPr>
    <w:rPr>
      <w:rFonts w:ascii="Times New Roman" w:hAnsi="Times New Roman" w:eastAsia="宋体" w:cs="黑体"/>
      <w:kern w:val="2"/>
      <w:sz w:val="21"/>
      <w:lang w:val="en-US" w:eastAsia="zh-CN" w:bidi="ar-SA"/>
    </w:rPr>
  </w:style>
  <w:style w:type="paragraph" w:customStyle="1" w:styleId="94">
    <w:name w:val="UserStyle_58"/>
    <w:basedOn w:val="1"/>
    <w:qFormat/>
    <w:uiPriority w:val="0"/>
    <w:pPr>
      <w:pBdr>
        <w:top w:val="single" w:color="000000" w:sz="4" w:space="0"/>
        <w:left w:val="single" w:color="000000" w:sz="4" w:space="0"/>
        <w:bottom w:val="single" w:color="000000" w:sz="8" w:space="0"/>
        <w:right w:val="single" w:color="000000" w:sz="4"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95">
    <w:name w:val="UserStyle_59"/>
    <w:basedOn w:val="47"/>
    <w:qFormat/>
    <w:uiPriority w:val="0"/>
    <w:pPr>
      <w:snapToGrid w:val="0"/>
      <w:spacing w:before="120" w:after="120" w:line="240" w:lineRule="auto"/>
      <w:ind w:left="851" w:firstLine="200"/>
      <w:jc w:val="both"/>
    </w:pPr>
    <w:rPr>
      <w:rFonts w:ascii="Times New Roman" w:hAnsi="Times New Roman"/>
      <w:sz w:val="24"/>
      <w:szCs w:val="24"/>
      <w:lang w:eastAsia="zh-CN" w:bidi="ar-SA"/>
    </w:rPr>
  </w:style>
  <w:style w:type="paragraph" w:customStyle="1" w:styleId="96">
    <w:name w:val="UserStyle_60"/>
    <w:basedOn w:val="1"/>
    <w:qFormat/>
    <w:uiPriority w:val="0"/>
    <w:pPr>
      <w:pBdr>
        <w:top w:val="single" w:color="000000" w:sz="4" w:space="0"/>
        <w:left w:val="single" w:color="000000" w:sz="8"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97">
    <w:name w:val="UserStyle_61"/>
    <w:basedOn w:val="1"/>
    <w:qFormat/>
    <w:uiPriority w:val="0"/>
    <w:pPr>
      <w:pBdr>
        <w:top w:val="single" w:color="000000" w:sz="4" w:space="0"/>
        <w:left w:val="single" w:color="000000" w:sz="8" w:space="0"/>
        <w:bottom w:val="single" w:color="000000" w:sz="8"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98">
    <w:name w:val="UserStyle_62"/>
    <w:basedOn w:val="1"/>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99">
    <w:name w:val="UserStyle_63"/>
    <w:basedOn w:val="1"/>
    <w:qFormat/>
    <w:uiPriority w:val="0"/>
    <w:pPr>
      <w:pBdr>
        <w:top w:val="single" w:color="000000" w:sz="8"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100">
    <w:name w:val="UserStyle_64"/>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textAlignment w:val="center"/>
    </w:pPr>
    <w:rPr>
      <w:rFonts w:ascii="宋体" w:hAnsi="宋体" w:eastAsia="宋体" w:cs="宋体"/>
      <w:b/>
      <w:bCs/>
      <w:color w:val="000000"/>
      <w:sz w:val="24"/>
      <w:szCs w:val="24"/>
    </w:rPr>
  </w:style>
  <w:style w:type="paragraph" w:customStyle="1" w:styleId="101">
    <w:name w:val="UserStyle_65"/>
    <w:basedOn w:val="1"/>
    <w:qFormat/>
    <w:uiPriority w:val="0"/>
    <w:pPr>
      <w:pBdr>
        <w:top w:val="single" w:color="000000" w:sz="4" w:space="0"/>
        <w:left w:val="single" w:color="000000" w:sz="4" w:space="0"/>
        <w:bottom w:val="single" w:color="000000" w:sz="8"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olor w:val="000000"/>
      <w:sz w:val="24"/>
      <w:szCs w:val="24"/>
    </w:rPr>
  </w:style>
  <w:style w:type="paragraph" w:customStyle="1" w:styleId="102">
    <w:name w:val="UserStyle_66"/>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0"/>
      <w:szCs w:val="20"/>
    </w:rPr>
  </w:style>
  <w:style w:type="paragraph" w:customStyle="1" w:styleId="103">
    <w:name w:val="UserStyle_67"/>
    <w:basedOn w:val="1"/>
    <w:qFormat/>
    <w:uiPriority w:val="0"/>
    <w:pPr>
      <w:pBdr>
        <w:top w:val="single" w:color="000000" w:sz="4" w:space="0"/>
        <w:left w:val="single" w:color="000000" w:sz="4" w:space="0"/>
        <w:bottom w:val="single" w:color="000000" w:sz="4" w:space="0"/>
        <w:right w:val="single" w:color="000000" w:sz="8" w:space="0"/>
      </w:pBdr>
      <w:shd w:val="clear" w:color="auto" w:fill="FFFFFF"/>
      <w:adjustRightInd/>
      <w:snapToGrid/>
      <w:spacing w:before="100" w:beforeAutospacing="1" w:after="100" w:afterAutospacing="1"/>
      <w:jc w:val="right"/>
      <w:textAlignment w:val="center"/>
    </w:pPr>
    <w:rPr>
      <w:rFonts w:ascii="宋体" w:hAnsi="宋体" w:eastAsia="宋体" w:cs="宋体"/>
      <w:b/>
      <w:bCs/>
      <w:color w:val="000000"/>
      <w:sz w:val="24"/>
      <w:szCs w:val="24"/>
    </w:rPr>
  </w:style>
  <w:style w:type="paragraph" w:customStyle="1" w:styleId="104">
    <w:name w:val="UserStyle_68"/>
    <w:basedOn w:val="1"/>
    <w:qFormat/>
    <w:uiPriority w:val="0"/>
    <w:pPr>
      <w:pBdr>
        <w:top w:val="single" w:color="000000" w:sz="4" w:space="0"/>
        <w:left w:val="single" w:color="000000" w:sz="4" w:space="0"/>
        <w:bottom w:val="single" w:color="000000" w:sz="4" w:space="0"/>
        <w:right w:val="single" w:color="000000" w:sz="4" w:space="0"/>
      </w:pBdr>
      <w:shd w:val="clear" w:color="auto" w:fill="FFFFFF"/>
      <w:adjustRightInd/>
      <w:snapToGrid/>
      <w:spacing w:before="100" w:beforeAutospacing="1" w:after="100" w:afterAutospacing="1"/>
      <w:jc w:val="center"/>
      <w:textAlignment w:val="center"/>
    </w:pPr>
    <w:rPr>
      <w:rFonts w:ascii="宋体" w:hAnsi="宋体" w:eastAsia="宋体"/>
      <w:color w:val="000000"/>
      <w:sz w:val="24"/>
      <w:szCs w:val="24"/>
    </w:rPr>
  </w:style>
  <w:style w:type="paragraph" w:customStyle="1" w:styleId="105">
    <w:name w:val="UserStyle_69"/>
    <w:basedOn w:val="1"/>
    <w:qFormat/>
    <w:uiPriority w:val="0"/>
    <w:pPr>
      <w:adjustRightInd/>
      <w:snapToGrid/>
      <w:spacing w:after="0"/>
      <w:ind w:left="1320"/>
      <w:textAlignment w:val="baseline"/>
    </w:pPr>
    <w:rPr>
      <w:rFonts w:ascii="宋体" w:hAnsi="宋体" w:eastAsia="宋体" w:cs="宋体"/>
      <w:b/>
      <w:bCs/>
      <w:sz w:val="24"/>
      <w:szCs w:val="24"/>
      <w:lang w:val="zh-CN" w:bidi="zh-CN"/>
    </w:rPr>
  </w:style>
  <w:style w:type="paragraph" w:customStyle="1" w:styleId="106">
    <w:name w:val="列出段落1"/>
    <w:basedOn w:val="1"/>
    <w:qFormat/>
    <w:uiPriority w:val="1"/>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107">
    <w:name w:val="Table Paragraph"/>
    <w:basedOn w:val="1"/>
    <w:qFormat/>
    <w:uiPriority w:val="1"/>
    <w:pPr>
      <w:autoSpaceDE w:val="0"/>
      <w:autoSpaceDN w:val="0"/>
    </w:pPr>
    <w:rPr>
      <w:rFonts w:ascii="宋体" w:hAnsi="宋体" w:cs="宋体"/>
      <w:lang w:val="zh-CN" w:bidi="zh-CN"/>
    </w:rPr>
  </w:style>
  <w:style w:type="paragraph" w:customStyle="1" w:styleId="108">
    <w:name w:val="_Style 1"/>
    <w:basedOn w:val="1"/>
    <w:qFormat/>
    <w:uiPriority w:val="0"/>
    <w:pPr>
      <w:spacing w:line="360" w:lineRule="auto"/>
      <w:ind w:firstLine="200" w:firstLineChars="200"/>
    </w:pPr>
  </w:style>
  <w:style w:type="paragraph" w:customStyle="1" w:styleId="109">
    <w:name w:val="WPSOffice手动目录 1"/>
    <w:qFormat/>
    <w:uiPriority w:val="0"/>
    <w:rPr>
      <w:rFonts w:ascii="Times New Roman" w:hAnsi="Times New Roman" w:eastAsia="宋体" w:cs="Times New Roman"/>
      <w:lang w:val="en-US" w:eastAsia="zh-CN" w:bidi="ar-SA"/>
    </w:rPr>
  </w:style>
  <w:style w:type="paragraph" w:customStyle="1" w:styleId="110">
    <w:name w:val="Char1"/>
    <w:basedOn w:val="1"/>
    <w:qFormat/>
    <w:uiPriority w:val="0"/>
    <w:pPr>
      <w:widowControl w:val="0"/>
      <w:adjustRightInd/>
    </w:pPr>
    <w:rPr>
      <w:rFonts w:ascii="仿宋_GB2312" w:hAnsi="Times New Roman" w:eastAsia="仿宋_GB2312" w:cs="Times New Roman"/>
      <w:b/>
      <w:kern w:val="2"/>
      <w:sz w:val="32"/>
      <w:szCs w:val="32"/>
    </w:rPr>
  </w:style>
  <w:style w:type="paragraph" w:customStyle="1" w:styleId="111">
    <w:name w:val="Char"/>
    <w:basedOn w:val="1"/>
    <w:qFormat/>
    <w:uiPriority w:val="0"/>
    <w:pPr>
      <w:widowControl w:val="0"/>
      <w:adjustRightInd/>
    </w:pPr>
    <w:rPr>
      <w:rFonts w:ascii="仿宋_GB2312" w:hAnsi="Times New Roman" w:eastAsia="仿宋_GB2312" w:cs="Times New Roman"/>
      <w:b/>
      <w:kern w:val="2"/>
      <w:sz w:val="32"/>
      <w:szCs w:val="32"/>
    </w:rPr>
  </w:style>
  <w:style w:type="paragraph" w:customStyle="1" w:styleId="112">
    <w:name w:val="首行缩进"/>
    <w:basedOn w:val="1"/>
    <w:qFormat/>
    <w:uiPriority w:val="99"/>
    <w:pPr>
      <w:spacing w:line="360" w:lineRule="auto"/>
      <w:ind w:firstLine="480" w:firstLineChars="200"/>
    </w:pPr>
    <w:rPr>
      <w:rFonts w:ascii="宋体" w:hAnsi="宋体" w:cs="宋体"/>
      <w:sz w:val="24"/>
    </w:rPr>
  </w:style>
  <w:style w:type="paragraph" w:customStyle="1" w:styleId="113">
    <w:name w:val="BodyText1I2"/>
    <w:basedOn w:val="57"/>
    <w:qFormat/>
    <w:uiPriority w:val="0"/>
    <w:pPr>
      <w:ind w:firstLine="420" w:firstLineChars="200"/>
    </w:pPr>
  </w:style>
  <w:style w:type="paragraph" w:customStyle="1" w:styleId="114">
    <w:name w:val="样式"/>
    <w:qFormat/>
    <w:uiPriority w:val="0"/>
    <w:pPr>
      <w:widowControl w:val="0"/>
      <w:autoSpaceDE w:val="0"/>
      <w:autoSpaceDN w:val="0"/>
      <w:adjustRightInd w:val="0"/>
      <w:spacing w:after="200" w:line="276" w:lineRule="auto"/>
      <w:jc w:val="both"/>
    </w:pPr>
    <w:rPr>
      <w:rFonts w:ascii="宋体" w:hAnsi="宋体" w:eastAsia="宋体" w:cs="宋体"/>
      <w:sz w:val="24"/>
      <w:szCs w:val="24"/>
      <w:lang w:val="en-US" w:eastAsia="en-US" w:bidi="en-US"/>
    </w:rPr>
  </w:style>
  <w:style w:type="paragraph" w:customStyle="1" w:styleId="115">
    <w:name w:val="正文文本1"/>
    <w:basedOn w:val="1"/>
    <w:link w:val="158"/>
    <w:qFormat/>
    <w:uiPriority w:val="0"/>
    <w:pPr>
      <w:widowControl w:val="0"/>
      <w:adjustRightInd/>
      <w:snapToGrid/>
      <w:spacing w:after="0" w:line="439" w:lineRule="auto"/>
      <w:ind w:firstLine="400"/>
    </w:pPr>
    <w:rPr>
      <w:rFonts w:ascii="仿宋" w:hAnsi="仿宋" w:eastAsia="仿宋" w:cs="仿宋"/>
      <w:sz w:val="26"/>
      <w:szCs w:val="26"/>
    </w:rPr>
  </w:style>
  <w:style w:type="paragraph" w:customStyle="1" w:styleId="116">
    <w:name w:val="Heading #3|1"/>
    <w:basedOn w:val="1"/>
    <w:qFormat/>
    <w:uiPriority w:val="0"/>
    <w:pPr>
      <w:widowControl w:val="0"/>
      <w:spacing w:after="110"/>
      <w:ind w:hanging="310"/>
      <w:outlineLvl w:val="2"/>
    </w:pPr>
    <w:rPr>
      <w:rFonts w:ascii="宋体" w:hAnsi="宋体" w:eastAsia="宋体" w:cs="宋体"/>
      <w:b/>
      <w:bCs/>
      <w:sz w:val="36"/>
      <w:szCs w:val="36"/>
      <w:lang w:val="zh-CN" w:bidi="zh-CN"/>
    </w:rPr>
  </w:style>
  <w:style w:type="paragraph" w:customStyle="1" w:styleId="117">
    <w:name w:val="Other|1"/>
    <w:basedOn w:val="1"/>
    <w:qFormat/>
    <w:uiPriority w:val="0"/>
    <w:pPr>
      <w:widowControl w:val="0"/>
    </w:pPr>
    <w:rPr>
      <w:rFonts w:ascii="宋体" w:hAnsi="宋体" w:eastAsia="宋体" w:cs="宋体"/>
      <w:lang w:val="zh-CN" w:bidi="zh-CN"/>
    </w:rPr>
  </w:style>
  <w:style w:type="paragraph" w:customStyle="1" w:styleId="118">
    <w:name w:val="Body text|2"/>
    <w:basedOn w:val="1"/>
    <w:qFormat/>
    <w:uiPriority w:val="0"/>
    <w:pPr>
      <w:widowControl w:val="0"/>
      <w:spacing w:after="470" w:line="257" w:lineRule="auto"/>
    </w:pPr>
    <w:rPr>
      <w:rFonts w:ascii="宋体" w:hAnsi="宋体" w:eastAsia="宋体" w:cs="宋体"/>
      <w:color w:val="000080"/>
      <w:sz w:val="28"/>
      <w:szCs w:val="28"/>
      <w:lang w:val="zh-CN" w:bidi="zh-CN"/>
    </w:rPr>
  </w:style>
  <w:style w:type="paragraph" w:customStyle="1" w:styleId="119">
    <w:name w:val="列出段落2"/>
    <w:basedOn w:val="1"/>
    <w:qFormat/>
    <w:uiPriority w:val="34"/>
    <w:pPr>
      <w:ind w:firstLine="420" w:firstLineChars="200"/>
    </w:pPr>
  </w:style>
  <w:style w:type="paragraph" w:customStyle="1" w:styleId="120">
    <w:name w:val="正文_0"/>
    <w:basedOn w:val="1"/>
    <w:qFormat/>
    <w:uiPriority w:val="0"/>
    <w:rPr>
      <w:rFonts w:ascii="Times New Roman" w:hAnsi="Times New Roman" w:eastAsia="宋体" w:cs="Times New Roman"/>
      <w:szCs w:val="20"/>
    </w:rPr>
  </w:style>
  <w:style w:type="paragraph" w:customStyle="1" w:styleId="121">
    <w:name w:val="正文文字2"/>
    <w:basedOn w:val="13"/>
    <w:qFormat/>
    <w:uiPriority w:val="0"/>
    <w:pPr>
      <w:adjustRightInd w:val="0"/>
      <w:spacing w:after="60" w:line="360" w:lineRule="atLeast"/>
      <w:ind w:left="72" w:leftChars="30" w:right="72" w:rightChars="30"/>
      <w:jc w:val="center"/>
    </w:pPr>
    <w:rPr>
      <w:rFonts w:ascii="Arial" w:hAnsi="Calibri" w:eastAsia="黑体"/>
      <w:szCs w:val="20"/>
    </w:rPr>
  </w:style>
  <w:style w:type="character" w:customStyle="1" w:styleId="122">
    <w:name w:val="页眉 Char"/>
    <w:basedOn w:val="30"/>
    <w:link w:val="21"/>
    <w:qFormat/>
    <w:uiPriority w:val="0"/>
    <w:rPr>
      <w:rFonts w:ascii="Tahoma" w:hAnsi="Tahoma"/>
      <w:sz w:val="18"/>
      <w:szCs w:val="18"/>
    </w:rPr>
  </w:style>
  <w:style w:type="character" w:customStyle="1" w:styleId="123">
    <w:name w:val="页脚 Char"/>
    <w:basedOn w:val="30"/>
    <w:link w:val="20"/>
    <w:qFormat/>
    <w:uiPriority w:val="0"/>
    <w:rPr>
      <w:rFonts w:ascii="Tahoma" w:hAnsi="Tahoma"/>
      <w:sz w:val="18"/>
      <w:szCs w:val="18"/>
    </w:rPr>
  </w:style>
  <w:style w:type="character" w:customStyle="1" w:styleId="124">
    <w:name w:val="日期 Char"/>
    <w:basedOn w:val="30"/>
    <w:link w:val="17"/>
    <w:qFormat/>
    <w:uiPriority w:val="0"/>
    <w:rPr>
      <w:rFonts w:ascii="Times New Roman" w:hAnsi="Times New Roman" w:eastAsia="宋体"/>
      <w:kern w:val="2"/>
      <w:sz w:val="21"/>
      <w:szCs w:val="24"/>
    </w:rPr>
  </w:style>
  <w:style w:type="character" w:customStyle="1" w:styleId="125">
    <w:name w:val="UserStyle_0"/>
    <w:basedOn w:val="34"/>
    <w:qFormat/>
    <w:uiPriority w:val="0"/>
    <w:rPr>
      <w:rFonts w:ascii="Times New Roman" w:hAnsi="Times New Roman"/>
      <w:color w:val="FF0000"/>
      <w:sz w:val="22"/>
      <w:szCs w:val="22"/>
    </w:rPr>
  </w:style>
  <w:style w:type="character" w:customStyle="1" w:styleId="126">
    <w:name w:val="PageNumber"/>
    <w:basedOn w:val="34"/>
    <w:qFormat/>
    <w:uiPriority w:val="0"/>
  </w:style>
  <w:style w:type="character" w:customStyle="1" w:styleId="127">
    <w:name w:val="UserStyle_1"/>
    <w:basedOn w:val="34"/>
    <w:qFormat/>
    <w:uiPriority w:val="0"/>
    <w:rPr>
      <w:rFonts w:ascii="仿宋" w:hAnsi="仿宋" w:eastAsia="仿宋"/>
      <w:b/>
      <w:color w:val="000000"/>
      <w:sz w:val="24"/>
      <w:szCs w:val="24"/>
    </w:rPr>
  </w:style>
  <w:style w:type="character" w:customStyle="1" w:styleId="128">
    <w:name w:val="AnnotationReference"/>
    <w:qFormat/>
    <w:uiPriority w:val="0"/>
    <w:rPr>
      <w:sz w:val="21"/>
      <w:szCs w:val="21"/>
    </w:rPr>
  </w:style>
  <w:style w:type="character" w:customStyle="1" w:styleId="129">
    <w:name w:val="UserStyle_3"/>
    <w:basedOn w:val="34"/>
    <w:qFormat/>
    <w:uiPriority w:val="0"/>
    <w:rPr>
      <w:kern w:val="2"/>
      <w:sz w:val="18"/>
      <w:szCs w:val="18"/>
    </w:rPr>
  </w:style>
  <w:style w:type="character" w:customStyle="1" w:styleId="130">
    <w:name w:val="UserStyle_4"/>
    <w:basedOn w:val="34"/>
    <w:link w:val="51"/>
    <w:qFormat/>
    <w:uiPriority w:val="0"/>
    <w:rPr>
      <w:kern w:val="2"/>
      <w:sz w:val="18"/>
      <w:szCs w:val="18"/>
    </w:rPr>
  </w:style>
  <w:style w:type="character" w:customStyle="1" w:styleId="131">
    <w:name w:val="UserStyle_5"/>
    <w:basedOn w:val="34"/>
    <w:link w:val="48"/>
    <w:qFormat/>
    <w:uiPriority w:val="0"/>
    <w:rPr>
      <w:rFonts w:ascii="宋体" w:hAnsi="宋体" w:eastAsia="宋体" w:cs="Times New Roman"/>
      <w:b/>
      <w:bCs/>
      <w:kern w:val="44"/>
      <w:sz w:val="28"/>
      <w:szCs w:val="28"/>
    </w:rPr>
  </w:style>
  <w:style w:type="character" w:customStyle="1" w:styleId="132">
    <w:name w:val="UserStyle_6"/>
    <w:basedOn w:val="34"/>
    <w:qFormat/>
    <w:uiPriority w:val="0"/>
    <w:rPr>
      <w:rFonts w:ascii="宋体" w:hAnsi="宋体" w:eastAsia="宋体"/>
      <w:b/>
      <w:color w:val="000000"/>
      <w:sz w:val="22"/>
      <w:szCs w:val="22"/>
    </w:rPr>
  </w:style>
  <w:style w:type="character" w:customStyle="1" w:styleId="133">
    <w:name w:val="UserStyle_7"/>
    <w:basedOn w:val="34"/>
    <w:qFormat/>
    <w:uiPriority w:val="0"/>
    <w:rPr>
      <w:rFonts w:ascii="宋体" w:hAnsi="宋体" w:eastAsia="宋体"/>
      <w:color w:val="000000"/>
      <w:sz w:val="22"/>
      <w:szCs w:val="22"/>
    </w:rPr>
  </w:style>
  <w:style w:type="character" w:customStyle="1" w:styleId="134">
    <w:name w:val="UserStyle_8"/>
    <w:basedOn w:val="34"/>
    <w:qFormat/>
    <w:uiPriority w:val="0"/>
    <w:rPr>
      <w:rFonts w:ascii="Times New Roman" w:hAnsi="Times New Roman"/>
      <w:color w:val="000000"/>
      <w:sz w:val="22"/>
      <w:szCs w:val="22"/>
    </w:rPr>
  </w:style>
  <w:style w:type="character" w:customStyle="1" w:styleId="135">
    <w:name w:val="UserStyle_9"/>
    <w:basedOn w:val="34"/>
    <w:qFormat/>
    <w:uiPriority w:val="0"/>
    <w:rPr>
      <w:rFonts w:ascii="宋体" w:hAnsi="宋体" w:eastAsia="宋体"/>
      <w:color w:val="000000"/>
      <w:sz w:val="22"/>
      <w:szCs w:val="22"/>
    </w:rPr>
  </w:style>
  <w:style w:type="character" w:customStyle="1" w:styleId="136">
    <w:name w:val="UserStyle_10"/>
    <w:basedOn w:val="34"/>
    <w:qFormat/>
    <w:uiPriority w:val="0"/>
    <w:rPr>
      <w:rFonts w:ascii="Times New Roman" w:hAnsi="Times New Roman"/>
      <w:color w:val="000000"/>
      <w:sz w:val="22"/>
      <w:szCs w:val="22"/>
    </w:rPr>
  </w:style>
  <w:style w:type="character" w:customStyle="1" w:styleId="137">
    <w:name w:val="UserStyle_11"/>
    <w:link w:val="47"/>
    <w:qFormat/>
    <w:uiPriority w:val="0"/>
    <w:rPr>
      <w:rFonts w:ascii="宋体" w:hAnsi="Calibri" w:eastAsia="宋体"/>
      <w:sz w:val="28"/>
      <w:szCs w:val="28"/>
      <w:lang w:eastAsia="en-US" w:bidi="en-US"/>
    </w:rPr>
  </w:style>
  <w:style w:type="character" w:customStyle="1" w:styleId="138">
    <w:name w:val="UserStyle_12"/>
    <w:basedOn w:val="34"/>
    <w:qFormat/>
    <w:uiPriority w:val="0"/>
    <w:rPr>
      <w:rFonts w:ascii="Arial" w:hAnsi="Arial"/>
      <w:color w:val="000000"/>
      <w:sz w:val="22"/>
      <w:szCs w:val="22"/>
    </w:rPr>
  </w:style>
  <w:style w:type="character" w:customStyle="1" w:styleId="139">
    <w:name w:val="UserStyle_13"/>
    <w:basedOn w:val="34"/>
    <w:link w:val="52"/>
    <w:qFormat/>
    <w:uiPriority w:val="0"/>
    <w:rPr>
      <w:rFonts w:ascii="宋体" w:hAnsi="Courier New"/>
      <w:kern w:val="2"/>
      <w:sz w:val="28"/>
    </w:rPr>
  </w:style>
  <w:style w:type="character" w:customStyle="1" w:styleId="140">
    <w:name w:val="UserStyle_15"/>
    <w:basedOn w:val="34"/>
    <w:qFormat/>
    <w:uiPriority w:val="0"/>
    <w:rPr>
      <w:rFonts w:ascii="宋体" w:hAnsi="宋体" w:eastAsia="宋体"/>
      <w:color w:val="FF0000"/>
      <w:sz w:val="22"/>
      <w:szCs w:val="22"/>
    </w:rPr>
  </w:style>
  <w:style w:type="character" w:customStyle="1" w:styleId="141">
    <w:name w:val="UserStyle_17"/>
    <w:qFormat/>
    <w:uiPriority w:val="0"/>
  </w:style>
  <w:style w:type="character" w:customStyle="1" w:styleId="142">
    <w:name w:val="UserStyle_18"/>
    <w:basedOn w:val="34"/>
    <w:qFormat/>
    <w:uiPriority w:val="0"/>
    <w:rPr>
      <w:color w:val="355686"/>
      <w:bdr w:val="single" w:color="000000" w:sz="12" w:space="0"/>
    </w:rPr>
  </w:style>
  <w:style w:type="character" w:customStyle="1" w:styleId="143">
    <w:name w:val="UserStyle_19"/>
    <w:basedOn w:val="34"/>
    <w:qFormat/>
    <w:uiPriority w:val="0"/>
    <w:rPr>
      <w:bdr w:val="single" w:color="000000" w:sz="12" w:space="0"/>
    </w:rPr>
  </w:style>
  <w:style w:type="character" w:customStyle="1" w:styleId="144">
    <w:name w:val="UserStyle_20"/>
    <w:basedOn w:val="34"/>
    <w:qFormat/>
    <w:uiPriority w:val="0"/>
    <w:rPr>
      <w:sz w:val="30"/>
      <w:szCs w:val="30"/>
    </w:rPr>
  </w:style>
  <w:style w:type="character" w:customStyle="1" w:styleId="145">
    <w:name w:val="UserStyle_21"/>
    <w:basedOn w:val="34"/>
    <w:qFormat/>
    <w:uiPriority w:val="0"/>
  </w:style>
  <w:style w:type="character" w:customStyle="1" w:styleId="146">
    <w:name w:val="UserStyle_22"/>
    <w:basedOn w:val="34"/>
    <w:qFormat/>
    <w:uiPriority w:val="0"/>
    <w:rPr>
      <w:color w:val="FF851A"/>
    </w:rPr>
  </w:style>
  <w:style w:type="character" w:customStyle="1" w:styleId="147">
    <w:name w:val="UserStyle_23"/>
    <w:basedOn w:val="34"/>
    <w:qFormat/>
    <w:uiPriority w:val="0"/>
    <w:rPr>
      <w:color w:val="FF0000"/>
    </w:rPr>
  </w:style>
  <w:style w:type="character" w:customStyle="1" w:styleId="148">
    <w:name w:val="UserStyle_24"/>
    <w:basedOn w:val="34"/>
    <w:qFormat/>
    <w:uiPriority w:val="0"/>
  </w:style>
  <w:style w:type="character" w:customStyle="1" w:styleId="149">
    <w:name w:val="正文缩进 Char"/>
    <w:link w:val="8"/>
    <w:qFormat/>
    <w:uiPriority w:val="0"/>
    <w:rPr>
      <w:rFonts w:ascii="宋体" w:hAnsi="Calibri"/>
      <w:sz w:val="28"/>
      <w:szCs w:val="28"/>
      <w:lang w:eastAsia="en-US" w:bidi="en-US"/>
    </w:rPr>
  </w:style>
  <w:style w:type="character" w:customStyle="1" w:styleId="150">
    <w:name w:val="正文文本 Char"/>
    <w:basedOn w:val="30"/>
    <w:link w:val="13"/>
    <w:qFormat/>
    <w:uiPriority w:val="0"/>
    <w:rPr>
      <w:rFonts w:ascii="Times New Roman" w:hAnsi="Times New Roman" w:eastAsia="宋体" w:cs="Times New Roman"/>
      <w:kern w:val="2"/>
      <w:sz w:val="21"/>
      <w:szCs w:val="24"/>
    </w:rPr>
  </w:style>
  <w:style w:type="character" w:customStyle="1" w:styleId="151">
    <w:name w:val="font51"/>
    <w:basedOn w:val="30"/>
    <w:qFormat/>
    <w:uiPriority w:val="0"/>
    <w:rPr>
      <w:rFonts w:hint="eastAsia" w:ascii="宋体" w:hAnsi="宋体" w:eastAsia="宋体" w:cs="宋体"/>
      <w:color w:val="000000"/>
      <w:sz w:val="24"/>
      <w:szCs w:val="24"/>
      <w:u w:val="none"/>
    </w:rPr>
  </w:style>
  <w:style w:type="character" w:customStyle="1" w:styleId="152">
    <w:name w:val="批注框文本 Char"/>
    <w:basedOn w:val="30"/>
    <w:link w:val="19"/>
    <w:semiHidden/>
    <w:qFormat/>
    <w:uiPriority w:val="99"/>
    <w:rPr>
      <w:rFonts w:ascii="Tahoma" w:hAnsi="Tahoma" w:eastAsia="微软雅黑" w:cs="黑体"/>
      <w:sz w:val="18"/>
      <w:szCs w:val="18"/>
    </w:rPr>
  </w:style>
  <w:style w:type="character" w:customStyle="1" w:styleId="153">
    <w:name w:val="font31"/>
    <w:basedOn w:val="30"/>
    <w:qFormat/>
    <w:uiPriority w:val="0"/>
    <w:rPr>
      <w:rFonts w:ascii="Tahoma" w:hAnsi="Tahoma" w:eastAsia="Tahoma" w:cs="Tahoma"/>
      <w:color w:val="000000"/>
      <w:sz w:val="22"/>
      <w:szCs w:val="22"/>
      <w:u w:val="none"/>
    </w:rPr>
  </w:style>
  <w:style w:type="character" w:customStyle="1" w:styleId="154">
    <w:name w:val="font21"/>
    <w:basedOn w:val="30"/>
    <w:qFormat/>
    <w:uiPriority w:val="0"/>
    <w:rPr>
      <w:rFonts w:hint="eastAsia" w:ascii="宋体" w:hAnsi="宋体" w:eastAsia="宋体" w:cs="宋体"/>
      <w:color w:val="000000"/>
      <w:sz w:val="22"/>
      <w:szCs w:val="22"/>
      <w:u w:val="none"/>
    </w:rPr>
  </w:style>
  <w:style w:type="character" w:customStyle="1" w:styleId="155">
    <w:name w:val="font101"/>
    <w:basedOn w:val="30"/>
    <w:qFormat/>
    <w:uiPriority w:val="0"/>
    <w:rPr>
      <w:rFonts w:ascii="宋体" w:hAnsi="宋体" w:eastAsia="宋体" w:cs="宋体"/>
      <w:color w:val="000000"/>
      <w:sz w:val="22"/>
      <w:szCs w:val="22"/>
      <w:u w:val="none"/>
    </w:rPr>
  </w:style>
  <w:style w:type="character" w:customStyle="1" w:styleId="156">
    <w:name w:val="正文文本缩进 Char"/>
    <w:link w:val="10"/>
    <w:qFormat/>
    <w:uiPriority w:val="99"/>
  </w:style>
  <w:style w:type="character" w:customStyle="1" w:styleId="157">
    <w:name w:val="标题 1 Char"/>
    <w:link w:val="2"/>
    <w:qFormat/>
    <w:uiPriority w:val="9"/>
    <w:rPr>
      <w:rFonts w:ascii="宋体" w:hAnsi="宋体"/>
      <w:b/>
      <w:bCs/>
      <w:kern w:val="44"/>
      <w:sz w:val="32"/>
      <w:szCs w:val="32"/>
    </w:rPr>
  </w:style>
  <w:style w:type="character" w:customStyle="1" w:styleId="158">
    <w:name w:val="正文文本_"/>
    <w:basedOn w:val="30"/>
    <w:link w:val="115"/>
    <w:qFormat/>
    <w:uiPriority w:val="0"/>
    <w:rPr>
      <w:rFonts w:ascii="仿宋" w:hAnsi="仿宋" w:eastAsia="仿宋" w:cs="仿宋"/>
      <w:sz w:val="26"/>
      <w:szCs w:val="26"/>
    </w:rPr>
  </w:style>
  <w:style w:type="character" w:customStyle="1" w:styleId="159">
    <w:name w:val="标题 1 Char1"/>
    <w:qFormat/>
    <w:uiPriority w:val="0"/>
    <w:rPr>
      <w:rFonts w:ascii="Times New Roman" w:hAnsi="Times New Roman" w:eastAsia="宋体" w:cs="Times New Roman"/>
      <w:b/>
      <w:bCs/>
      <w:kern w:val="44"/>
      <w:sz w:val="32"/>
      <w:szCs w:val="44"/>
    </w:rPr>
  </w:style>
  <w:style w:type="character" w:customStyle="1" w:styleId="160">
    <w:name w:val="font11"/>
    <w:basedOn w:val="30"/>
    <w:qFormat/>
    <w:uiPriority w:val="0"/>
    <w:rPr>
      <w:rFonts w:hint="eastAsia" w:ascii="宋体" w:hAnsi="宋体" w:eastAsia="宋体" w:cs="宋体"/>
      <w:b/>
      <w:color w:val="000000"/>
      <w:sz w:val="20"/>
      <w:szCs w:val="20"/>
      <w:u w:val="none"/>
    </w:rPr>
  </w:style>
  <w:style w:type="character" w:customStyle="1" w:styleId="161">
    <w:name w:val="font01"/>
    <w:basedOn w:val="30"/>
    <w:qFormat/>
    <w:uiPriority w:val="0"/>
    <w:rPr>
      <w:rFonts w:hint="eastAsia" w:ascii="宋体" w:hAnsi="宋体" w:eastAsia="宋体" w:cs="宋体"/>
      <w:b/>
      <w:color w:val="FF0000"/>
      <w:sz w:val="20"/>
      <w:szCs w:val="20"/>
      <w:u w:val="none"/>
    </w:rPr>
  </w:style>
  <w:style w:type="table" w:customStyle="1" w:styleId="162">
    <w:name w:val="TableNormal"/>
    <w:semiHidden/>
    <w:qFormat/>
    <w:uiPriority w:val="0"/>
    <w:tblPr>
      <w:tblCellMar>
        <w:top w:w="0" w:type="dxa"/>
        <w:left w:w="0" w:type="dxa"/>
        <w:bottom w:w="0" w:type="dxa"/>
        <w:right w:w="0" w:type="dxa"/>
      </w:tblCellMar>
    </w:tblPr>
  </w:style>
  <w:style w:type="table" w:customStyle="1" w:styleId="163">
    <w:name w:val="TableGrid"/>
    <w:basedOn w:val="162"/>
    <w:qFormat/>
    <w:uiPriority w:val="0"/>
    <w:tblPr>
      <w:tblCellMar>
        <w:top w:w="0" w:type="dxa"/>
        <w:left w:w="0" w:type="dxa"/>
        <w:bottom w:w="0" w:type="dxa"/>
        <w:right w:w="0" w:type="dxa"/>
      </w:tblCellMar>
    </w:tblPr>
  </w:style>
  <w:style w:type="table" w:customStyle="1" w:styleId="164">
    <w:name w:val="UserStyle_70"/>
    <w:qFormat/>
    <w:uiPriority w:val="0"/>
    <w:tblPr>
      <w:tblCellMar>
        <w:top w:w="0" w:type="dxa"/>
        <w:left w:w="0" w:type="dxa"/>
        <w:bottom w:w="0" w:type="dxa"/>
        <w:right w:w="0" w:type="dxa"/>
      </w:tblCellMar>
    </w:tblPr>
  </w:style>
  <w:style w:type="table" w:customStyle="1" w:styleId="165">
    <w:name w:val="Table Normal"/>
    <w:unhideWhenUsed/>
    <w:qFormat/>
    <w:uiPriority w:val="0"/>
    <w:tblPr>
      <w:tblCellMar>
        <w:top w:w="0" w:type="dxa"/>
        <w:left w:w="0" w:type="dxa"/>
        <w:bottom w:w="0" w:type="dxa"/>
        <w:right w:w="0" w:type="dxa"/>
      </w:tblCellMar>
    </w:tblPr>
  </w:style>
  <w:style w:type="character" w:customStyle="1" w:styleId="166">
    <w:name w:val="layui-this"/>
    <w:basedOn w:val="30"/>
    <w:qFormat/>
    <w:uiPriority w:val="0"/>
    <w:rPr>
      <w:bdr w:val="single" w:color="EEEEEE" w:sz="4" w:space="0"/>
      <w:shd w:val="clear" w:color="auto" w:fill="FFFFFF"/>
    </w:rPr>
  </w:style>
  <w:style w:type="character" w:customStyle="1" w:styleId="167">
    <w:name w:val="first-child"/>
    <w:basedOn w:val="30"/>
    <w:qFormat/>
    <w:uiPriority w:val="0"/>
  </w:style>
  <w:style w:type="character" w:customStyle="1" w:styleId="168">
    <w:name w:val="filter"/>
    <w:basedOn w:val="30"/>
    <w:qFormat/>
    <w:uiPriority w:val="0"/>
  </w:style>
  <w:style w:type="character" w:customStyle="1" w:styleId="169">
    <w:name w:val="active"/>
    <w:basedOn w:val="30"/>
    <w:qFormat/>
    <w:uiPriority w:val="0"/>
    <w:rPr>
      <w:color w:val="FFFFFF"/>
      <w:shd w:val="clear" w:color="auto" w:fill="48CFAD"/>
    </w:rPr>
  </w:style>
  <w:style w:type="paragraph" w:customStyle="1" w:styleId="170">
    <w:name w:val="表格文字"/>
    <w:basedOn w:val="1"/>
    <w:next w:val="13"/>
    <w:qFormat/>
    <w:uiPriority w:val="0"/>
    <w:rPr>
      <w:rFonts w:eastAsia="楷体_GB2312"/>
      <w:szCs w:val="21"/>
    </w:rPr>
  </w:style>
  <w:style w:type="paragraph" w:customStyle="1" w:styleId="171">
    <w:name w:val="Table Text"/>
    <w:basedOn w:val="1"/>
    <w:semiHidden/>
    <w:qFormat/>
    <w:uiPriority w:val="0"/>
    <w:rPr>
      <w:rFonts w:ascii="宋体" w:hAnsi="宋体" w:eastAsia="宋体" w:cs="宋体"/>
      <w:sz w:val="21"/>
      <w:szCs w:val="21"/>
      <w:lang w:val="en-US" w:eastAsia="en-US" w:bidi="ar-SA"/>
    </w:rPr>
  </w:style>
  <w:style w:type="character" w:customStyle="1" w:styleId="172">
    <w:name w:val="note"/>
    <w:basedOn w:val="30"/>
    <w:qFormat/>
    <w:uiPriority w:val="0"/>
    <w:rPr>
      <w:sz w:val="37"/>
      <w:szCs w:val="37"/>
    </w:rPr>
  </w:style>
  <w:style w:type="character" w:customStyle="1" w:styleId="173">
    <w:name w:val="active6"/>
    <w:basedOn w:val="30"/>
    <w:qFormat/>
    <w:uiPriority w:val="0"/>
    <w:rPr>
      <w:color w:val="FFFFFF"/>
      <w:shd w:val="clear" w:fill="48CFAD"/>
    </w:rPr>
  </w:style>
  <w:style w:type="paragraph" w:customStyle="1" w:styleId="174">
    <w:name w:val="_Style 173"/>
    <w:basedOn w:val="1"/>
    <w:next w:val="1"/>
    <w:qFormat/>
    <w:uiPriority w:val="0"/>
    <w:pPr>
      <w:pBdr>
        <w:bottom w:val="single" w:color="auto" w:sz="6" w:space="1"/>
      </w:pBdr>
      <w:jc w:val="center"/>
    </w:pPr>
    <w:rPr>
      <w:rFonts w:ascii="Arial" w:eastAsia="宋体"/>
      <w:vanish/>
      <w:sz w:val="16"/>
    </w:rPr>
  </w:style>
  <w:style w:type="paragraph" w:customStyle="1" w:styleId="175">
    <w:name w:val="_Style 17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header" Target="header12.xml"/><Relationship Id="rId22" Type="http://schemas.openxmlformats.org/officeDocument/2006/relationships/footer" Target="footer8.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7.xml"/><Relationship Id="rId14" Type="http://schemas.openxmlformats.org/officeDocument/2006/relationships/footer" Target="footer5.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72</Pages>
  <Words>34856</Words>
  <Characters>36323</Characters>
  <Lines>290</Lines>
  <Paragraphs>81</Paragraphs>
  <TotalTime>5</TotalTime>
  <ScaleCrop>false</ScaleCrop>
  <LinksUpToDate>false</LinksUpToDate>
  <CharactersWithSpaces>37685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2023-06-01T06:56:00Z</dcterms:created>
  <dc:creator>lenovo</dc:creator>
  <cp:lastModifiedBy>不要香菜</cp:lastModifiedBy>
  <cp:lastPrinted>2021-04-13T07:29:00Z</cp:lastPrinted>
  <dcterms:modified xsi:type="dcterms:W3CDTF">2024-06-04T08:31:37Z</dcterms:modified>
  <dc:title>秦安县自然资源局国土空间基础信息平台及规划“一张图”实施监督信息系统建设项目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8A19572C391A49A9B0B4870AC807D654_13</vt:lpwstr>
  </property>
</Properties>
</file>