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ind w:left="210" w:leftChars="0" w:firstLineChars="0"/>
        <w:jc w:val="left"/>
        <w:rPr>
          <w:rFonts w:hint="eastAsia" w:ascii="仿宋" w:hAnsi="仿宋" w:eastAsia="仿宋" w:cs="仿宋"/>
          <w:b/>
          <w:bCs/>
          <w:color w:val="000000"/>
          <w:kern w:val="0"/>
          <w:sz w:val="27"/>
          <w:szCs w:val="27"/>
          <w:highlight w:val="none"/>
          <w:lang w:val="en-US" w:eastAsia="zh-CN" w:bidi="ar"/>
        </w:rPr>
      </w:pPr>
      <w:r>
        <w:rPr>
          <w:rFonts w:hint="eastAsia" w:ascii="仿宋" w:hAnsi="仿宋" w:eastAsia="仿宋" w:cs="仿宋"/>
          <w:b/>
          <w:bCs/>
          <w:color w:val="000000"/>
          <w:kern w:val="0"/>
          <w:sz w:val="27"/>
          <w:szCs w:val="27"/>
          <w:highlight w:val="none"/>
          <w:lang w:val="en-US" w:eastAsia="zh-CN" w:bidi="ar"/>
        </w:rPr>
        <w:t>采购需求</w:t>
      </w:r>
    </w:p>
    <w:p>
      <w:pPr>
        <w:keepNext w:val="0"/>
        <w:keepLines w:val="0"/>
        <w:widowControl/>
        <w:suppressLineNumbers w:val="0"/>
        <w:ind w:firstLine="480" w:firstLineChars="200"/>
        <w:jc w:val="left"/>
        <w:rPr>
          <w:rFonts w:hint="default" w:ascii="仿宋" w:hAnsi="仿宋" w:eastAsia="仿宋" w:cs="仿宋"/>
          <w:b/>
          <w:bCs/>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为</w:t>
      </w:r>
      <w:r>
        <w:rPr>
          <w:rFonts w:ascii="仿宋" w:hAnsi="仿宋" w:eastAsia="仿宋" w:cs="仿宋"/>
          <w:color w:val="000000"/>
          <w:kern w:val="0"/>
          <w:sz w:val="24"/>
          <w:szCs w:val="24"/>
          <w:highlight w:val="none"/>
          <w:lang w:val="en-US" w:eastAsia="zh-CN" w:bidi="ar"/>
        </w:rPr>
        <w:t>落实</w:t>
      </w:r>
      <w:r>
        <w:rPr>
          <w:rFonts w:hint="eastAsia" w:ascii="仿宋" w:hAnsi="仿宋" w:eastAsia="仿宋" w:cs="仿宋"/>
          <w:color w:val="000000"/>
          <w:kern w:val="0"/>
          <w:sz w:val="24"/>
          <w:szCs w:val="24"/>
          <w:highlight w:val="none"/>
          <w:lang w:val="en-US" w:eastAsia="zh-CN" w:bidi="ar"/>
        </w:rPr>
        <w:t>甘肃省委、省政府村庄规划工作部署，指导各地因地制宜编制“多规合一”实用性村庄规划，在村域空间内形成“一本规划、一张蓝图”，实现有条件、有需求的村庄规划应编尽编。根据国家相关法律法规、政策文件及规范标准的要求，结合甘肃省情实际，特对礼县34个村庄进行规划招标，其中：第一包共计8个村庄，具体划分如下：</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3538"/>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服务乡镇名</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highlight w:val="none"/>
                <w:u w:val="none"/>
                <w:lang w:val="en-US"/>
              </w:rPr>
            </w:pPr>
            <w:r>
              <w:rPr>
                <w:rFonts w:hint="eastAsia" w:ascii="仿宋" w:hAnsi="仿宋" w:eastAsia="仿宋" w:cs="仿宋"/>
                <w:b/>
                <w:bCs/>
                <w:i w:val="0"/>
                <w:iCs w:val="0"/>
                <w:color w:val="000000"/>
                <w:kern w:val="0"/>
                <w:sz w:val="22"/>
                <w:szCs w:val="22"/>
                <w:highlight w:val="none"/>
                <w:u w:val="none"/>
                <w:lang w:val="en-US" w:eastAsia="zh-CN" w:bidi="ar"/>
              </w:rPr>
              <w:t>服务地点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城关镇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油坊村、石寨村、石岭村</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村庄发展定位与规模预测、国土空间布局(生态空间、农业空间、建设空间)产业发展布局、居民点布局与建设管控 (居民点布局、建设管控和风貌引导、农宅及院落设计、总平面布置)基础设施和公共服务设施、历史文化保护与传承、国土综合整治与生态保护修复、安全和防灾减灾。规划成果达到《甘肃省村庄规划编制导则》及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7"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永兴镇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蒙张村、峡口村、赵坪村</w:t>
            </w: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固城镇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sz w:val="20"/>
                <w:szCs w:val="20"/>
                <w:highlight w:val="none"/>
                <w:u w:val="none"/>
              </w:rPr>
              <w:t>朱磨村、西山村</w:t>
            </w: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bl>
    <w:p>
      <w:pPr>
        <w:keepNext w:val="0"/>
        <w:keepLines w:val="0"/>
        <w:widowControl/>
        <w:numPr>
          <w:ilvl w:val="0"/>
          <w:numId w:val="0"/>
        </w:numPr>
        <w:suppressLineNumbers w:val="0"/>
        <w:ind w:left="210" w:leftChars="0"/>
        <w:jc w:val="left"/>
        <w:rPr>
          <w:rFonts w:hint="eastAsia" w:ascii="仿宋" w:hAnsi="仿宋" w:eastAsia="仿宋" w:cs="仿宋"/>
          <w:b/>
          <w:bCs/>
          <w:color w:val="000000"/>
          <w:kern w:val="0"/>
          <w:sz w:val="27"/>
          <w:szCs w:val="27"/>
          <w:highlight w:val="none"/>
          <w:lang w:val="en-US" w:eastAsia="zh-CN" w:bidi="ar"/>
        </w:rPr>
      </w:pPr>
    </w:p>
    <w:p>
      <w:pPr>
        <w:keepNext w:val="0"/>
        <w:keepLines w:val="0"/>
        <w:widowControl/>
        <w:numPr>
          <w:ilvl w:val="0"/>
          <w:numId w:val="0"/>
        </w:numPr>
        <w:suppressLineNumbers w:val="0"/>
        <w:jc w:val="left"/>
        <w:rPr>
          <w:rFonts w:hint="eastAsia" w:ascii="仿宋" w:hAnsi="仿宋" w:eastAsia="仿宋" w:cs="仿宋"/>
          <w:b/>
          <w:bCs/>
          <w:color w:val="000000"/>
          <w:kern w:val="0"/>
          <w:sz w:val="27"/>
          <w:szCs w:val="27"/>
          <w:highlight w:val="none"/>
          <w:lang w:val="en-US" w:eastAsia="zh-CN" w:bidi="ar"/>
        </w:rPr>
      </w:pPr>
      <w:r>
        <w:rPr>
          <w:rFonts w:hint="eastAsia" w:ascii="仿宋" w:hAnsi="仿宋" w:eastAsia="仿宋" w:cs="仿宋"/>
          <w:b/>
          <w:bCs/>
          <w:color w:val="000000"/>
          <w:kern w:val="0"/>
          <w:sz w:val="27"/>
          <w:szCs w:val="27"/>
          <w:highlight w:val="none"/>
          <w:lang w:val="en-US" w:eastAsia="zh-CN" w:bidi="ar"/>
        </w:rPr>
        <w:t>一、采购需求</w:t>
      </w:r>
    </w:p>
    <w:p>
      <w:pPr>
        <w:keepNext w:val="0"/>
        <w:keepLines w:val="0"/>
        <w:widowControl/>
        <w:suppressLineNumbers w:val="0"/>
        <w:ind w:firstLine="480" w:firstLineChars="200"/>
        <w:jc w:val="left"/>
        <w:rPr>
          <w:rFonts w:hint="default" w:ascii="仿宋" w:hAnsi="仿宋" w:eastAsia="仿宋" w:cs="仿宋"/>
          <w:b/>
          <w:bCs/>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为</w:t>
      </w:r>
      <w:r>
        <w:rPr>
          <w:rFonts w:ascii="仿宋" w:hAnsi="仿宋" w:eastAsia="仿宋" w:cs="仿宋"/>
          <w:color w:val="000000"/>
          <w:kern w:val="0"/>
          <w:sz w:val="24"/>
          <w:szCs w:val="24"/>
          <w:highlight w:val="none"/>
          <w:lang w:val="en-US" w:eastAsia="zh-CN" w:bidi="ar"/>
        </w:rPr>
        <w:t>落实</w:t>
      </w:r>
      <w:r>
        <w:rPr>
          <w:rFonts w:hint="eastAsia" w:ascii="仿宋" w:hAnsi="仿宋" w:eastAsia="仿宋" w:cs="仿宋"/>
          <w:color w:val="000000"/>
          <w:kern w:val="0"/>
          <w:sz w:val="24"/>
          <w:szCs w:val="24"/>
          <w:highlight w:val="none"/>
          <w:lang w:val="en-US" w:eastAsia="zh-CN" w:bidi="ar"/>
        </w:rPr>
        <w:t>甘肃省委、省政府村庄规划工作部署，指导各地因地制宜编制“多规合一”实用性村庄规划，在村域空间内形成“一本规划、一张蓝图”，实现有条件、有需求的村庄规划应编尽编。根据国家相关法律法规、政策文件及规范标准的要求，结合甘肃省情实际，特对礼县34个村庄进行规划招标，其中：第二包共计8个村庄，具体划分如下：</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3538"/>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服务乡镇名</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highlight w:val="none"/>
                <w:u w:val="none"/>
                <w:lang w:val="en-US"/>
              </w:rPr>
            </w:pPr>
            <w:r>
              <w:rPr>
                <w:rFonts w:hint="eastAsia" w:ascii="仿宋" w:hAnsi="仿宋" w:eastAsia="仿宋" w:cs="仿宋"/>
                <w:b/>
                <w:bCs/>
                <w:i w:val="0"/>
                <w:iCs w:val="0"/>
                <w:color w:val="000000"/>
                <w:kern w:val="0"/>
                <w:sz w:val="22"/>
                <w:szCs w:val="22"/>
                <w:highlight w:val="none"/>
                <w:u w:val="none"/>
                <w:lang w:val="en-US" w:eastAsia="zh-CN" w:bidi="ar"/>
              </w:rPr>
              <w:t>服务地点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上坪乡</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上坪村、赵坝村</w:t>
            </w:r>
          </w:p>
        </w:tc>
        <w:tc>
          <w:tcPr>
            <w:tcW w:w="3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村庄发展定位与规模预测、国土空间布局(生态空间、农业空间、建设空间)产业发展布局、居民点布局与建设管控 (居民点布局、建设管控和风貌引导、农宅及院落设计、总平面布置)基础设施和公共服务设施、历史文化保护与传承、国土综合整治与生态保护修复、安全和防灾减灾。规划成果达到《甘肃省村庄规划编制导则》及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龙林镇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龙林村、肖家村、小林村</w:t>
            </w:r>
          </w:p>
        </w:tc>
        <w:tc>
          <w:tcPr>
            <w:tcW w:w="37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桥头镇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桥头村</w:t>
            </w:r>
          </w:p>
        </w:tc>
        <w:tc>
          <w:tcPr>
            <w:tcW w:w="37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雷王乡</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龙潭村、阳坡村</w:t>
            </w:r>
          </w:p>
        </w:tc>
        <w:tc>
          <w:tcPr>
            <w:tcW w:w="37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bl>
    <w:p>
      <w:pPr>
        <w:keepNext w:val="0"/>
        <w:keepLines w:val="0"/>
        <w:widowControl/>
        <w:numPr>
          <w:ilvl w:val="0"/>
          <w:numId w:val="0"/>
        </w:numPr>
        <w:suppressLineNumbers w:val="0"/>
        <w:jc w:val="left"/>
        <w:rPr>
          <w:rFonts w:hint="eastAsia" w:ascii="仿宋" w:hAnsi="仿宋" w:eastAsia="仿宋" w:cs="仿宋"/>
          <w:b/>
          <w:bCs/>
          <w:color w:val="000000"/>
          <w:kern w:val="0"/>
          <w:sz w:val="27"/>
          <w:szCs w:val="27"/>
          <w:highlight w:val="none"/>
          <w:lang w:val="en-US" w:eastAsia="zh-CN" w:bidi="ar"/>
        </w:rPr>
      </w:pPr>
    </w:p>
    <w:p>
      <w:pPr>
        <w:keepNext w:val="0"/>
        <w:keepLines w:val="0"/>
        <w:widowControl/>
        <w:numPr>
          <w:ilvl w:val="0"/>
          <w:numId w:val="0"/>
        </w:numPr>
        <w:suppressLineNumbers w:val="0"/>
        <w:jc w:val="left"/>
      </w:pPr>
      <w:r>
        <w:rPr>
          <w:rFonts w:hint="eastAsia" w:ascii="仿宋" w:hAnsi="仿宋" w:eastAsia="仿宋" w:cs="仿宋"/>
          <w:b/>
          <w:bCs/>
          <w:color w:val="000000"/>
          <w:kern w:val="0"/>
          <w:sz w:val="27"/>
          <w:szCs w:val="27"/>
          <w:highlight w:val="none"/>
          <w:lang w:val="en-US" w:eastAsia="zh-CN" w:bidi="ar"/>
        </w:rPr>
        <w:t>一、采购需求</w:t>
      </w:r>
    </w:p>
    <w:p>
      <w:pPr>
        <w:keepNext w:val="0"/>
        <w:keepLines w:val="0"/>
        <w:widowControl/>
        <w:suppressLineNumbers w:val="0"/>
        <w:ind w:firstLine="480" w:firstLineChars="200"/>
        <w:jc w:val="left"/>
        <w:rPr>
          <w:rFonts w:hint="default" w:ascii="仿宋" w:hAnsi="仿宋" w:eastAsia="仿宋" w:cs="仿宋"/>
          <w:b/>
          <w:bCs/>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为</w:t>
      </w:r>
      <w:r>
        <w:rPr>
          <w:rFonts w:ascii="仿宋" w:hAnsi="仿宋" w:eastAsia="仿宋" w:cs="仿宋"/>
          <w:color w:val="000000"/>
          <w:kern w:val="0"/>
          <w:sz w:val="24"/>
          <w:szCs w:val="24"/>
          <w:highlight w:val="none"/>
          <w:lang w:val="en-US" w:eastAsia="zh-CN" w:bidi="ar"/>
        </w:rPr>
        <w:t>落实</w:t>
      </w:r>
      <w:r>
        <w:rPr>
          <w:rFonts w:hint="eastAsia" w:ascii="仿宋" w:hAnsi="仿宋" w:eastAsia="仿宋" w:cs="仿宋"/>
          <w:color w:val="000000"/>
          <w:kern w:val="0"/>
          <w:sz w:val="24"/>
          <w:szCs w:val="24"/>
          <w:highlight w:val="none"/>
          <w:lang w:val="en-US" w:eastAsia="zh-CN" w:bidi="ar"/>
        </w:rPr>
        <w:t>甘肃省委、省政府村庄规划工作部署，指导各地因地制宜编制“多规合一”实用性村庄规划，在村域空间内形成“一本规划、一张蓝图”，实现有条件、有需求的村庄规划应编尽编。根据国家相关法律法规、政策文件及规范标准的要求，结合甘肃省情实际，特对礼县34个村庄进行规划招标，其中：第三包共计8个村庄，具体划分如下：</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3538"/>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服务乡镇名</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highlight w:val="none"/>
                <w:u w:val="none"/>
                <w:lang w:val="en-US"/>
              </w:rPr>
            </w:pPr>
            <w:r>
              <w:rPr>
                <w:rFonts w:hint="eastAsia" w:ascii="仿宋" w:hAnsi="仿宋" w:eastAsia="仿宋" w:cs="仿宋"/>
                <w:b/>
                <w:bCs/>
                <w:i w:val="0"/>
                <w:iCs w:val="0"/>
                <w:color w:val="000000"/>
                <w:kern w:val="0"/>
                <w:sz w:val="22"/>
                <w:szCs w:val="22"/>
                <w:highlight w:val="none"/>
                <w:u w:val="none"/>
                <w:lang w:val="en-US" w:eastAsia="zh-CN" w:bidi="ar"/>
              </w:rPr>
              <w:t>服务地点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白关镇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榆树村、红崖村、元丁村</w:t>
            </w:r>
          </w:p>
        </w:tc>
        <w:tc>
          <w:tcPr>
            <w:tcW w:w="3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村庄发展定位与规模预测、国土空间布局(生态空间、农业空间、建设空间)产业发展布局、居民点布局与建设管控 (居民点布局、建设管控和风貌引导、农宅及院落设计、总平面布置)基础设施和公共服务设施、历史文化保护与传承、国土综合整治与生态保护修复、安全和防灾减灾。规划成果达到《甘肃省村庄规划编制导则》及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白河镇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Style w:val="8"/>
                <w:lang w:val="en-US" w:eastAsia="zh-CN" w:bidi="ar"/>
              </w:rPr>
              <w:t>张坪村</w:t>
            </w:r>
            <w:r>
              <w:rPr>
                <w:rStyle w:val="8"/>
                <w:u w:val="none"/>
                <w:lang w:val="en-US" w:eastAsia="zh-CN" w:bidi="ar"/>
              </w:rPr>
              <w:t>、</w:t>
            </w:r>
            <w:r>
              <w:rPr>
                <w:rStyle w:val="9"/>
                <w:u w:val="none"/>
                <w:lang w:val="en-US" w:eastAsia="zh-CN" w:bidi="ar"/>
              </w:rPr>
              <w:t>小河村、铨水村</w:t>
            </w:r>
          </w:p>
        </w:tc>
        <w:tc>
          <w:tcPr>
            <w:tcW w:w="37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雷坝镇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蒲城村</w:t>
            </w:r>
          </w:p>
        </w:tc>
        <w:tc>
          <w:tcPr>
            <w:tcW w:w="375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中坝镇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中坝村</w:t>
            </w:r>
          </w:p>
        </w:tc>
        <w:tc>
          <w:tcPr>
            <w:tcW w:w="37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bl>
    <w:p/>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highlight w:val="none"/>
          <w:lang w:val="en-US" w:eastAsia="zh-CN" w:bidi="ar"/>
        </w:rPr>
      </w:pPr>
    </w:p>
    <w:p>
      <w:pPr>
        <w:keepNext w:val="0"/>
        <w:keepLines w:val="0"/>
        <w:widowControl/>
        <w:numPr>
          <w:ilvl w:val="0"/>
          <w:numId w:val="0"/>
        </w:numPr>
        <w:suppressLineNumbers w:val="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b/>
          <w:bCs/>
          <w:color w:val="000000"/>
          <w:kern w:val="0"/>
          <w:sz w:val="27"/>
          <w:szCs w:val="27"/>
          <w:highlight w:val="none"/>
          <w:lang w:val="en-US" w:eastAsia="zh-CN" w:bidi="ar"/>
        </w:rPr>
        <w:t>一、采购需求</w:t>
      </w:r>
    </w:p>
    <w:p>
      <w:pPr>
        <w:keepNext w:val="0"/>
        <w:keepLines w:val="0"/>
        <w:widowControl/>
        <w:suppressLineNumbers w:val="0"/>
        <w:ind w:firstLine="480" w:firstLineChars="200"/>
        <w:jc w:val="left"/>
        <w:rPr>
          <w:rFonts w:hint="default" w:ascii="仿宋" w:hAnsi="仿宋" w:eastAsia="仿宋" w:cs="仿宋"/>
          <w:b/>
          <w:bCs/>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为</w:t>
      </w:r>
      <w:r>
        <w:rPr>
          <w:rFonts w:ascii="仿宋" w:hAnsi="仿宋" w:eastAsia="仿宋" w:cs="仿宋"/>
          <w:color w:val="000000"/>
          <w:kern w:val="0"/>
          <w:sz w:val="24"/>
          <w:szCs w:val="24"/>
          <w:highlight w:val="none"/>
          <w:lang w:val="en-US" w:eastAsia="zh-CN" w:bidi="ar"/>
        </w:rPr>
        <w:t>落实</w:t>
      </w:r>
      <w:r>
        <w:rPr>
          <w:rFonts w:hint="eastAsia" w:ascii="仿宋" w:hAnsi="仿宋" w:eastAsia="仿宋" w:cs="仿宋"/>
          <w:color w:val="000000"/>
          <w:kern w:val="0"/>
          <w:sz w:val="24"/>
          <w:szCs w:val="24"/>
          <w:highlight w:val="none"/>
          <w:lang w:val="en-US" w:eastAsia="zh-CN" w:bidi="ar"/>
        </w:rPr>
        <w:t>甘肃省委、省政府村庄规划工作部署，指导各地因地制宜编制“多规合一”实用性村庄规划，在村域空间内形成“一本规划、一张蓝图”，实现有条件、有需求的村庄规划应编尽编。根据国家相关法律法规、政策文件及规范标准的要求，结合甘肃省情实际，特对礼县34个村庄进行规划招标，其中：第四包共计8个村庄，具体划分如下：</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3538"/>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服务乡镇名</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2"/>
                <w:szCs w:val="22"/>
                <w:highlight w:val="none"/>
                <w:u w:val="none"/>
                <w:lang w:val="en-US"/>
              </w:rPr>
            </w:pPr>
            <w:r>
              <w:rPr>
                <w:rFonts w:hint="eastAsia" w:ascii="仿宋" w:hAnsi="仿宋" w:eastAsia="仿宋" w:cs="仿宋"/>
                <w:b/>
                <w:bCs/>
                <w:i w:val="0"/>
                <w:iCs w:val="0"/>
                <w:color w:val="000000"/>
                <w:kern w:val="0"/>
                <w:sz w:val="22"/>
                <w:szCs w:val="22"/>
                <w:highlight w:val="none"/>
                <w:u w:val="none"/>
                <w:lang w:val="en-US" w:eastAsia="zh-CN" w:bidi="ar"/>
              </w:rPr>
              <w:t>服务地点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石桥镇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石桥村、柳树村、圣泉村、二土村</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村庄发展定位与规模预测、国土空间布局(生态空间、农业空间、建设空间)产业发展布局、居民点布局与建设管控 (居民点布局、建设管控和风貌引导、农宅及院落设计、总平面布置)基础设施和公共服务设施、历史文化保护与传承、国土综合整治与生态保护修复、安全和防灾减灾。规划成果达到《甘肃省村庄规划编制导则》及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沙金乡</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庄科村、三联村、牛尾村、红砖村</w:t>
            </w: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滩坪镇</w:t>
            </w:r>
          </w:p>
        </w:tc>
        <w:tc>
          <w:tcPr>
            <w:tcW w:w="3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拉吴村、彦滩村</w:t>
            </w: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highlight w:val="none"/>
                <w:u w:val="none"/>
              </w:rPr>
            </w:pPr>
          </w:p>
        </w:tc>
      </w:tr>
    </w:tbl>
    <w:p/>
    <w:p>
      <w:pPr>
        <w:rPr>
          <w:rFonts w:hint="eastAsia" w:ascii="仿宋" w:hAnsi="仿宋" w:eastAsia="仿宋" w:cs="仿宋"/>
          <w:b/>
          <w:bCs/>
          <w:color w:val="000000"/>
          <w:kern w:val="0"/>
          <w:sz w:val="27"/>
          <w:szCs w:val="27"/>
          <w:highlight w:val="none"/>
          <w:lang w:val="en-US" w:eastAsia="zh-CN" w:bidi="ar"/>
        </w:rPr>
      </w:pPr>
      <w:r>
        <w:rPr>
          <w:rFonts w:hint="eastAsia" w:ascii="仿宋" w:hAnsi="仿宋" w:eastAsia="仿宋" w:cs="仿宋"/>
          <w:b/>
          <w:bCs/>
          <w:color w:val="000000"/>
          <w:kern w:val="0"/>
          <w:sz w:val="27"/>
          <w:szCs w:val="27"/>
          <w:highlight w:val="none"/>
          <w:lang w:val="en-US" w:eastAsia="zh-CN" w:bidi="ar"/>
        </w:rPr>
        <w:br w:type="page"/>
      </w:r>
    </w:p>
    <w:p>
      <w:pPr>
        <w:keepNext w:val="0"/>
        <w:keepLines w:val="0"/>
        <w:widowControl/>
        <w:suppressLineNumbers w:val="0"/>
        <w:jc w:val="left"/>
        <w:rPr>
          <w:highlight w:val="none"/>
        </w:rPr>
      </w:pPr>
      <w:bookmarkStart w:id="0" w:name="_GoBack"/>
      <w:bookmarkEnd w:id="0"/>
      <w:r>
        <w:rPr>
          <w:rFonts w:hint="eastAsia" w:ascii="仿宋" w:hAnsi="仿宋" w:eastAsia="仿宋" w:cs="仿宋"/>
          <w:b/>
          <w:bCs/>
          <w:color w:val="000000"/>
          <w:kern w:val="0"/>
          <w:sz w:val="27"/>
          <w:szCs w:val="27"/>
          <w:highlight w:val="none"/>
          <w:lang w:val="en-US" w:eastAsia="zh-CN" w:bidi="ar"/>
        </w:rPr>
        <w:t>二、编制要求</w:t>
      </w:r>
      <w:r>
        <w:rPr>
          <w:rFonts w:ascii="仿宋" w:hAnsi="仿宋" w:eastAsia="仿宋" w:cs="仿宋"/>
          <w:b/>
          <w:bCs/>
          <w:color w:val="000000"/>
          <w:kern w:val="0"/>
          <w:sz w:val="27"/>
          <w:szCs w:val="27"/>
          <w:highlight w:val="none"/>
          <w:lang w:val="en-US" w:eastAsia="zh-CN" w:bidi="ar"/>
        </w:rPr>
        <w:t xml:space="preserve"> </w:t>
      </w:r>
    </w:p>
    <w:p>
      <w:pPr>
        <w:keepNext w:val="0"/>
        <w:keepLines w:val="0"/>
        <w:widowControl/>
        <w:suppressLineNumbers w:val="0"/>
        <w:jc w:val="left"/>
        <w:rPr>
          <w:sz w:val="24"/>
          <w:szCs w:val="24"/>
          <w:highlight w:val="none"/>
        </w:rPr>
      </w:pPr>
      <w:r>
        <w:rPr>
          <w:rFonts w:hint="eastAsia" w:ascii="仿宋" w:hAnsi="仿宋" w:eastAsia="仿宋" w:cs="仿宋"/>
          <w:b/>
          <w:bCs/>
          <w:color w:val="000000"/>
          <w:kern w:val="0"/>
          <w:sz w:val="24"/>
          <w:szCs w:val="24"/>
          <w:highlight w:val="none"/>
          <w:lang w:val="en-US" w:eastAsia="zh-CN" w:bidi="ar"/>
        </w:rPr>
        <w:t xml:space="preserve">1、 法律法规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（1）《中华人民共和国土地管理法》（2019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（2）《中华人民共和国城乡规划法》（2019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（3）《中华人民共和国环境保护法》（2014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（4）《中华人民共和国自然保护区条例》（2017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（5）《中华人民共和国水法》（2016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（6）《中华人民共和国矿产资源法》（2009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（7）《中华人民共和国土地管理法实施条例》（2021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（8）《基本农田保护条例》（2011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（9）《土地复垦条例》（2011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（10）《甘肃省城乡规划条例》（2021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（11）《甘肃省环境保护条例》（2019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（12）《甘肃省矿产资源管理条例》（2004 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（13）《甘肃省实施&lt;中华人民共和国土地管理法&gt;办法》（2021年）。 </w:t>
      </w:r>
    </w:p>
    <w:p>
      <w:pPr>
        <w:keepNext w:val="0"/>
        <w:keepLines w:val="0"/>
        <w:widowControl/>
        <w:suppressLineNumbers w:val="0"/>
        <w:jc w:val="left"/>
        <w:rPr>
          <w:sz w:val="24"/>
          <w:szCs w:val="24"/>
          <w:highlight w:val="none"/>
        </w:rPr>
      </w:pPr>
      <w:r>
        <w:rPr>
          <w:rFonts w:hint="eastAsia" w:ascii="仿宋" w:hAnsi="仿宋" w:eastAsia="仿宋" w:cs="仿宋"/>
          <w:b/>
          <w:bCs/>
          <w:color w:val="000000"/>
          <w:kern w:val="0"/>
          <w:sz w:val="24"/>
          <w:szCs w:val="24"/>
          <w:highlight w:val="none"/>
          <w:lang w:val="en-US" w:eastAsia="zh-CN" w:bidi="ar"/>
        </w:rPr>
        <w:t xml:space="preserve">2、政策文件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（1）《中共中央国务院关于建立国土空间规划体系并监督实施的若干意见》（中发〔2019〕18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（2）《中共中央 国务院关于建立健全城乡融合发展体制机制和政策体系的意见》（中发〔2019〕12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（3）《中共中央办公厅关于印发&lt;深化农村宅基地制度改革试点方案&gt;的通知》（厅字〔2020〕18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（4）《国务院关于促进乡村产业振兴的指导意见》（国发〔2019〕 12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（5）《中共中央办公厅国务院办公厅印发&lt;农村人居环境整治提升五年行动方案（2021-2025 年）&gt;的通知》（厅字〔2021〕41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（6）《中央农办农业农村部自然资源部国家发展改革委财政部关于统筹推进村庄规划工作的意见》（农规发〔2019〕1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（7）《自然资源部农业农村部关于加强和改进永久基本农田保护工作的通知》（自然资规〔2019〕1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（8）《自然资源部农业农村部关于设施农业用地管理有关问题的通知》（自然资规〔2019〕4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（9）《自然资源部办公厅关于加强村庄规划促进乡村振兴的通知》（自然资办发〔2019〕35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（10）《自然资源部办公厅关于进一步做好村庄规划工作的意见》 （自然资办发〔2020〕57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（11）《自然资源部农业农村部关于农村乱占耕地建房“八不准” 的通知》（自然资发〔2020〕127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（12）《自然资源部农业农村部关于保障农村村民住宅建设合理用地的通知》（自然资发〔2020〕128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（13）《自然资源部关于在全国开展“三区三线”划定工作的函》 （自然资函〔2022〕47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（14）《国家发展改革委自然资源部农业农村部关于村庄建设项目施行简易审批的指导意见》（发改农经〔2020〕1337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（15）《中共甘肃省委甘肃省人民政府关于实施乡村振兴战略的若干意见》（2018 年 2 月 14 日）；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（16）《中共甘肃省委甘肃省人民政府关于坚持农业农村优先发展做好全省“三农”工作的实施意见》（2019 年 2 月 28 日）；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（17）《中共甘肃省委农村工作领导小组 甘肃省实施乡村振兴战略领导小组印发&lt;关于开展乡村建设示范行动的指导意见&gt;的通知》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（甘农领发〔2021〕4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（18）《甘肃省人民政府关于印发甘肃省“十四五”推进农业农村现代化规划的通知》（甘政发〔2022〕17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（19）《甘肃省自然资源厅 甘肃省农业农村厅关于进一步加快推进全省村庄规划工作的通知》（甘资规划发〔2019〕32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（20）《甘肃省自然资源厅中共甘肃省委农村工作领导小组办公室甘肃省农业农村厅甘肃省发展和改革委员会甘肃省财政厅关于印发 关于印发&lt;甘肃省村庄规划编制实施方案&gt;的通知》（甘资规划发〔2019〕13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（21）《关于进一步加快推进全省村庄规划工作的通知》（甘资规划发〔2019〕32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（22）《甘肃省自然资源厅甘肃省委农办甘肃省农业农村厅甘肃省发展和改革委员会甘肃省财政厅印发&lt;关于加强乡村规划建设的指导意见&gt;的通知》（甘资发〔2021〕148 号）；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 xml:space="preserve">（23）《中共中央办公厅国务院办公厅关于严格规范村庄撤并工作的通知》（中办发〔2020〕39 号）； </w:t>
      </w:r>
    </w:p>
    <w:p>
      <w:pPr>
        <w:keepNext w:val="0"/>
        <w:keepLines w:val="0"/>
        <w:widowControl/>
        <w:suppressLineNumbers w:val="0"/>
        <w:jc w:val="left"/>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（24）《国土空间调查、规划、用途管制用地用海分类指南（试行）》（自然资办发〔2020〕51 号）</w:t>
      </w:r>
    </w:p>
    <w:p>
      <w:pPr>
        <w:pStyle w:val="5"/>
        <w:ind w:left="0" w:leftChars="0" w:firstLine="0" w:firstLineChars="0"/>
        <w:rPr>
          <w:rFonts w:hint="eastAsia"/>
          <w:lang w:val="en-US" w:eastAsia="zh-CN"/>
        </w:rPr>
      </w:pPr>
      <w:r>
        <w:rPr>
          <w:rFonts w:hint="eastAsia" w:ascii="仿宋" w:hAnsi="仿宋" w:eastAsia="仿宋" w:cs="仿宋"/>
          <w:color w:val="000000"/>
          <w:kern w:val="0"/>
          <w:sz w:val="24"/>
          <w:szCs w:val="24"/>
          <w:highlight w:val="none"/>
          <w:lang w:val="en-US" w:eastAsia="zh-CN" w:bidi="ar"/>
        </w:rPr>
        <w:t>（25）《陇南市“和美乡村”创建“395666”导则》</w:t>
      </w:r>
    </w:p>
    <w:p>
      <w:pPr>
        <w:keepNext w:val="0"/>
        <w:keepLines w:val="0"/>
        <w:widowControl/>
        <w:suppressLineNumbers w:val="0"/>
        <w:jc w:val="left"/>
        <w:rPr>
          <w:highlight w:val="none"/>
        </w:rPr>
      </w:pPr>
      <w:r>
        <w:rPr>
          <w:rFonts w:hint="eastAsia" w:ascii="仿宋" w:hAnsi="仿宋" w:eastAsia="仿宋" w:cs="仿宋"/>
          <w:b/>
          <w:bCs/>
          <w:color w:val="000000"/>
          <w:kern w:val="0"/>
          <w:sz w:val="27"/>
          <w:szCs w:val="27"/>
          <w:highlight w:val="none"/>
          <w:lang w:val="en-US" w:eastAsia="zh-CN" w:bidi="ar"/>
        </w:rPr>
        <w:t>三、基本要求</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1</w:t>
      </w:r>
      <w:r>
        <w:rPr>
          <w:rFonts w:hint="eastAsia" w:ascii="仿宋" w:hAnsi="仿宋" w:eastAsia="仿宋" w:cs="仿宋"/>
          <w:color w:val="000000"/>
          <w:kern w:val="0"/>
          <w:sz w:val="24"/>
          <w:szCs w:val="24"/>
          <w:highlight w:val="none"/>
          <w:lang w:val="en-US" w:eastAsia="zh-CN" w:bidi="ar"/>
        </w:rPr>
        <w:t xml:space="preserve">）约束性指标落实。明确耕地保有量、永久基本农田保护面 积、生态保护红线面积、村庄建设用地面积及范围等指标。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2</w:t>
      </w:r>
      <w:r>
        <w:rPr>
          <w:rFonts w:hint="eastAsia" w:ascii="仿宋" w:hAnsi="仿宋" w:eastAsia="仿宋" w:cs="仿宋"/>
          <w:color w:val="000000"/>
          <w:kern w:val="0"/>
          <w:sz w:val="24"/>
          <w:szCs w:val="24"/>
          <w:highlight w:val="none"/>
          <w:lang w:val="en-US" w:eastAsia="zh-CN" w:bidi="ar"/>
        </w:rPr>
        <w:t xml:space="preserve">）底线管控。落实生态保护红线、永久基本农田控制线等底 线范围。 </w:t>
      </w:r>
    </w:p>
    <w:p>
      <w:pPr>
        <w:keepNext w:val="0"/>
        <w:keepLines w:val="0"/>
        <w:widowControl/>
        <w:suppressLineNumbers w:val="0"/>
        <w:jc w:val="left"/>
        <w:rPr>
          <w:sz w:val="24"/>
          <w:szCs w:val="24"/>
          <w:highlight w:val="none"/>
        </w:rPr>
      </w:pPr>
      <w:r>
        <w:rPr>
          <w:rFonts w:hint="eastAsia" w:ascii="仿宋" w:hAnsi="仿宋" w:eastAsia="仿宋" w:cs="仿宋"/>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3</w:t>
      </w:r>
      <w:r>
        <w:rPr>
          <w:rFonts w:hint="eastAsia" w:ascii="仿宋" w:hAnsi="仿宋" w:eastAsia="仿宋" w:cs="仿宋"/>
          <w:color w:val="000000"/>
          <w:kern w:val="0"/>
          <w:sz w:val="24"/>
          <w:szCs w:val="24"/>
          <w:highlight w:val="none"/>
          <w:lang w:val="en-US" w:eastAsia="zh-CN" w:bidi="ar"/>
        </w:rPr>
        <w:t xml:space="preserve">）国土空间用途管制规则。重点对城乡建设用地、耕地、湿 地、林地、设施农业建设用地等用地提出国土空间用途管制规则。 </w:t>
      </w:r>
    </w:p>
    <w:p>
      <w:pPr>
        <w:keepNext w:val="0"/>
        <w:keepLines w:val="0"/>
        <w:widowControl/>
        <w:suppressLineNumbers w:val="0"/>
        <w:jc w:val="left"/>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w:t>
      </w:r>
      <w:r>
        <w:rPr>
          <w:rFonts w:hint="default" w:ascii="Times New Roman" w:hAnsi="Times New Roman" w:eastAsia="宋体" w:cs="Times New Roman"/>
          <w:color w:val="000000"/>
          <w:kern w:val="0"/>
          <w:sz w:val="24"/>
          <w:szCs w:val="24"/>
          <w:highlight w:val="none"/>
          <w:lang w:val="en-US" w:eastAsia="zh-CN" w:bidi="ar"/>
        </w:rPr>
        <w:t>4</w:t>
      </w:r>
      <w:r>
        <w:rPr>
          <w:rFonts w:hint="eastAsia" w:ascii="仿宋" w:hAnsi="仿宋" w:eastAsia="仿宋" w:cs="仿宋"/>
          <w:color w:val="000000"/>
          <w:kern w:val="0"/>
          <w:sz w:val="24"/>
          <w:szCs w:val="24"/>
          <w:highlight w:val="none"/>
          <w:lang w:val="en-US" w:eastAsia="zh-CN" w:bidi="ar"/>
        </w:rPr>
        <w:t>）建设管控和人居环境整治要求。对各类建设活动用地用途、开发强度提出管控要求，与各地人居环境整治重点任务规划、计划、行动方案对接，对农村厕所革命、农村生活污水治理、农村生活垃圾治理、村容村貌提升等活动，在空间上提出引导管控。</w:t>
      </w:r>
    </w:p>
    <w:p>
      <w:pPr>
        <w:keepNext w:val="0"/>
        <w:keepLines w:val="0"/>
        <w:widowControl/>
        <w:numPr>
          <w:ilvl w:val="0"/>
          <w:numId w:val="0"/>
        </w:numPr>
        <w:suppressLineNumbers w:val="0"/>
        <w:jc w:val="left"/>
        <w:rPr>
          <w:rFonts w:hint="default" w:ascii="仿宋" w:hAnsi="仿宋" w:eastAsia="仿宋" w:cs="仿宋"/>
          <w:b/>
          <w:bCs/>
          <w:color w:val="000000"/>
          <w:kern w:val="0"/>
          <w:sz w:val="28"/>
          <w:szCs w:val="28"/>
          <w:highlight w:val="none"/>
          <w:lang w:val="en-US" w:eastAsia="zh-CN" w:bidi="ar"/>
        </w:rPr>
      </w:pPr>
      <w:r>
        <w:rPr>
          <w:rFonts w:hint="eastAsia" w:ascii="仿宋" w:hAnsi="仿宋" w:eastAsia="仿宋" w:cs="仿宋"/>
          <w:b/>
          <w:bCs/>
          <w:color w:val="000000"/>
          <w:kern w:val="0"/>
          <w:sz w:val="28"/>
          <w:szCs w:val="28"/>
          <w:highlight w:val="none"/>
          <w:lang w:val="en-US" w:eastAsia="zh-CN" w:bidi="ar"/>
        </w:rPr>
        <w:t>四、</w:t>
      </w:r>
      <w:r>
        <w:rPr>
          <w:rFonts w:hint="default" w:ascii="仿宋" w:hAnsi="仿宋" w:eastAsia="仿宋" w:cs="仿宋"/>
          <w:b/>
          <w:bCs/>
          <w:color w:val="000000"/>
          <w:kern w:val="0"/>
          <w:sz w:val="28"/>
          <w:szCs w:val="28"/>
          <w:highlight w:val="none"/>
          <w:lang w:val="en-US" w:eastAsia="zh-CN" w:bidi="ar"/>
        </w:rPr>
        <w:t>成果要求</w:t>
      </w:r>
    </w:p>
    <w:p>
      <w:pPr>
        <w:keepNext w:val="0"/>
        <w:keepLines w:val="0"/>
        <w:widowControl/>
        <w:numPr>
          <w:ilvl w:val="0"/>
          <w:numId w:val="0"/>
        </w:numPr>
        <w:suppressLineNumbers w:val="0"/>
        <w:ind w:firstLine="480" w:firstLineChars="200"/>
        <w:jc w:val="left"/>
        <w:rPr>
          <w:rFonts w:hint="default"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规划成果包括管理版和村民手册，各类成果要实现图、数、库、 文本、实地一致的要求。</w:t>
      </w:r>
      <w:r>
        <w:rPr>
          <w:rFonts w:hint="default" w:ascii="仿宋" w:hAnsi="仿宋" w:eastAsia="仿宋" w:cs="仿宋"/>
          <w:color w:val="000000"/>
          <w:kern w:val="0"/>
          <w:sz w:val="24"/>
          <w:szCs w:val="24"/>
          <w:highlight w:val="none"/>
          <w:lang w:val="en-US" w:eastAsia="zh-CN" w:bidi="ar"/>
        </w:rPr>
        <w:t>规划编制成果的内容必须符合国家部委和省市有关标准及数据入库要求</w:t>
      </w:r>
      <w:r>
        <w:rPr>
          <w:rFonts w:hint="eastAsia" w:ascii="仿宋" w:hAnsi="仿宋" w:eastAsia="仿宋" w:cs="仿宋"/>
          <w:color w:val="000000"/>
          <w:kern w:val="0"/>
          <w:sz w:val="24"/>
          <w:szCs w:val="24"/>
          <w:highlight w:val="none"/>
          <w:lang w:val="en-US" w:eastAsia="zh-CN" w:bidi="ar"/>
        </w:rPr>
        <w:t>。</w:t>
      </w:r>
    </w:p>
    <w:p>
      <w:pPr>
        <w:keepNext w:val="0"/>
        <w:keepLines w:val="0"/>
        <w:widowControl/>
        <w:numPr>
          <w:ilvl w:val="0"/>
          <w:numId w:val="0"/>
        </w:numPr>
        <w:suppressLineNumbers w:val="0"/>
        <w:jc w:val="left"/>
        <w:rPr>
          <w:rFonts w:hint="default" w:ascii="仿宋" w:hAnsi="仿宋" w:eastAsia="仿宋" w:cs="仿宋"/>
          <w:b/>
          <w:bCs/>
          <w:color w:val="000000"/>
          <w:kern w:val="0"/>
          <w:sz w:val="28"/>
          <w:szCs w:val="28"/>
          <w:highlight w:val="none"/>
          <w:lang w:val="en-US" w:eastAsia="zh-CN" w:bidi="ar"/>
        </w:rPr>
      </w:pPr>
      <w:r>
        <w:rPr>
          <w:rFonts w:hint="eastAsia" w:ascii="仿宋" w:hAnsi="仿宋" w:eastAsia="仿宋" w:cs="仿宋"/>
          <w:b/>
          <w:bCs/>
          <w:color w:val="000000"/>
          <w:kern w:val="0"/>
          <w:sz w:val="28"/>
          <w:szCs w:val="28"/>
          <w:highlight w:val="none"/>
          <w:lang w:val="en-US" w:eastAsia="zh-CN" w:bidi="ar"/>
        </w:rPr>
        <w:t>五、</w:t>
      </w:r>
      <w:r>
        <w:rPr>
          <w:rFonts w:hint="default" w:ascii="仿宋" w:hAnsi="仿宋" w:eastAsia="仿宋" w:cs="仿宋"/>
          <w:b/>
          <w:bCs/>
          <w:color w:val="000000"/>
          <w:kern w:val="0"/>
          <w:sz w:val="28"/>
          <w:szCs w:val="28"/>
          <w:highlight w:val="none"/>
          <w:lang w:val="en-US" w:eastAsia="zh-CN" w:bidi="ar"/>
        </w:rPr>
        <w:t>村庄规划建设区地形图测量</w:t>
      </w:r>
      <w:r>
        <w:rPr>
          <w:rFonts w:hint="eastAsia" w:ascii="仿宋" w:hAnsi="仿宋" w:eastAsia="仿宋" w:cs="仿宋"/>
          <w:b/>
          <w:bCs/>
          <w:color w:val="000000"/>
          <w:kern w:val="0"/>
          <w:sz w:val="28"/>
          <w:szCs w:val="28"/>
          <w:highlight w:val="none"/>
          <w:lang w:val="en-US" w:eastAsia="zh-CN" w:bidi="ar"/>
        </w:rPr>
        <w:t>要求</w:t>
      </w:r>
    </w:p>
    <w:p>
      <w:r>
        <w:rPr>
          <w:rFonts w:hint="default" w:ascii="仿宋" w:hAnsi="仿宋" w:eastAsia="仿宋" w:cs="仿宋"/>
          <w:color w:val="000000"/>
          <w:kern w:val="0"/>
          <w:sz w:val="24"/>
          <w:szCs w:val="24"/>
          <w:highlight w:val="none"/>
          <w:lang w:val="en-US" w:eastAsia="zh-CN" w:bidi="ar"/>
        </w:rPr>
        <w:t>村庄规划建设区1:1000地形图测量，村庄全域1:2000地形图测量</w:t>
      </w:r>
      <w:r>
        <w:rPr>
          <w:rFonts w:hint="eastAsia" w:ascii="仿宋" w:hAnsi="仿宋" w:eastAsia="仿宋" w:cs="仿宋"/>
          <w:color w:val="000000"/>
          <w:kern w:val="0"/>
          <w:sz w:val="24"/>
          <w:szCs w:val="24"/>
          <w:highlight w:val="none"/>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79292"/>
    <w:multiLevelType w:val="singleLevel"/>
    <w:tmpl w:val="2A879292"/>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964C0"/>
    <w:rsid w:val="2F666001"/>
    <w:rsid w:val="62D0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widowControl w:val="0"/>
      <w:spacing w:after="120"/>
      <w:ind w:left="200" w:left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20"/>
    </w:rPr>
  </w:style>
  <w:style w:type="paragraph" w:styleId="5">
    <w:name w:val="Body Text First Indent 2"/>
    <w:basedOn w:val="2"/>
    <w:qFormat/>
    <w:uiPriority w:val="0"/>
    <w:pPr>
      <w:ind w:left="420" w:firstLine="420" w:firstLineChars="200"/>
    </w:pPr>
  </w:style>
  <w:style w:type="character" w:customStyle="1" w:styleId="8">
    <w:name w:val="font11"/>
    <w:basedOn w:val="7"/>
    <w:qFormat/>
    <w:uiPriority w:val="0"/>
    <w:rPr>
      <w:rFonts w:hint="eastAsia" w:ascii="宋体" w:hAnsi="宋体" w:eastAsia="宋体" w:cs="宋体"/>
      <w:color w:val="000000"/>
      <w:sz w:val="22"/>
      <w:szCs w:val="22"/>
      <w:u w:val="none"/>
    </w:rPr>
  </w:style>
  <w:style w:type="character" w:customStyle="1" w:styleId="9">
    <w:name w:val="font01"/>
    <w:basedOn w:val="7"/>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2024-06-22T06:48:00Z</dcterms:created>
  <dc:creator>1</dc:creator>
  <cp:lastModifiedBy>啦啦啦</cp:lastModifiedBy>
  <dcterms:modified xsi:type="dcterms:W3CDTF">2024-06-25T01:34:02Z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250E3A82F1BD4E3C92EC5882E14CEFCA</vt:lpwstr>
  </property>
</Properties>
</file>