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63522">
      <w:pPr>
        <w:pStyle w:val="64"/>
        <w:ind w:left="108"/>
        <w:jc w:val="center"/>
        <w:rPr>
          <w:rFonts w:cs="Times New Roman"/>
          <w:b/>
          <w:bCs/>
          <w:sz w:val="48"/>
          <w:szCs w:val="48"/>
          <w:lang w:val="en-US"/>
        </w:rPr>
      </w:pPr>
    </w:p>
    <w:p w14:paraId="25CF1550">
      <w:pPr>
        <w:pStyle w:val="64"/>
        <w:jc w:val="center"/>
        <w:rPr>
          <w:rFonts w:cs="Times New Roman"/>
          <w:b/>
          <w:bCs/>
          <w:sz w:val="72"/>
          <w:szCs w:val="72"/>
          <w:lang w:val="en-US"/>
        </w:rPr>
      </w:pPr>
    </w:p>
    <w:p w14:paraId="0855C408">
      <w:pPr>
        <w:pStyle w:val="64"/>
        <w:jc w:val="center"/>
        <w:outlineLvl w:val="9"/>
        <w:rPr>
          <w:rFonts w:cs="Times New Roman"/>
          <w:b/>
          <w:bCs/>
          <w:sz w:val="72"/>
          <w:szCs w:val="72"/>
          <w:lang w:val="en-US"/>
        </w:rPr>
      </w:pPr>
      <w:r>
        <w:rPr>
          <w:rFonts w:hint="eastAsia"/>
          <w:b/>
          <w:bCs/>
          <w:sz w:val="72"/>
          <w:szCs w:val="72"/>
          <w:lang w:val="en-US"/>
        </w:rPr>
        <w:t>陇南市政府</w:t>
      </w:r>
      <w:r>
        <w:rPr>
          <w:rFonts w:hint="eastAsia"/>
          <w:b/>
          <w:bCs/>
          <w:sz w:val="72"/>
          <w:szCs w:val="72"/>
          <w:lang w:val="en-US" w:eastAsia="zh-CN"/>
        </w:rPr>
        <w:t>集中</w:t>
      </w:r>
      <w:r>
        <w:rPr>
          <w:rFonts w:hint="eastAsia"/>
          <w:b/>
          <w:bCs/>
          <w:sz w:val="72"/>
          <w:szCs w:val="72"/>
          <w:lang w:val="en-US"/>
        </w:rPr>
        <w:t>采购</w:t>
      </w:r>
    </w:p>
    <w:p w14:paraId="6F2BAD00">
      <w:pPr>
        <w:jc w:val="center"/>
        <w:outlineLvl w:val="9"/>
        <w:rPr>
          <w:rFonts w:ascii="宋体"/>
          <w:b/>
          <w:bCs/>
          <w:sz w:val="96"/>
          <w:szCs w:val="96"/>
        </w:rPr>
      </w:pPr>
    </w:p>
    <w:p w14:paraId="265E9520">
      <w:pPr>
        <w:jc w:val="center"/>
        <w:outlineLvl w:val="9"/>
        <w:rPr>
          <w:rFonts w:ascii="宋体"/>
          <w:b/>
          <w:bCs/>
          <w:sz w:val="72"/>
          <w:szCs w:val="72"/>
        </w:rPr>
      </w:pPr>
      <w:r>
        <w:rPr>
          <w:rFonts w:hint="eastAsia" w:ascii="宋体" w:hAnsi="宋体" w:cs="宋体"/>
          <w:b/>
          <w:bCs/>
          <w:sz w:val="72"/>
          <w:szCs w:val="72"/>
        </w:rPr>
        <w:t>招标文件</w:t>
      </w:r>
    </w:p>
    <w:p w14:paraId="02236029">
      <w:pPr>
        <w:spacing w:line="360" w:lineRule="auto"/>
        <w:outlineLvl w:val="9"/>
        <w:rPr>
          <w:rFonts w:ascii="宋体"/>
          <w:sz w:val="28"/>
          <w:szCs w:val="28"/>
        </w:rPr>
      </w:pPr>
    </w:p>
    <w:p w14:paraId="3EF3CA16">
      <w:pPr>
        <w:adjustRightInd w:val="0"/>
        <w:snapToGrid w:val="0"/>
        <w:spacing w:line="360" w:lineRule="auto"/>
        <w:jc w:val="center"/>
        <w:outlineLvl w:val="9"/>
        <w:rPr>
          <w:rFonts w:hAnsi="宋体"/>
          <w:b/>
          <w:bCs/>
          <w:spacing w:val="20"/>
          <w:sz w:val="36"/>
          <w:szCs w:val="36"/>
        </w:rPr>
      </w:pPr>
    </w:p>
    <w:p w14:paraId="43E3ED7F">
      <w:pPr>
        <w:adjustRightInd w:val="0"/>
        <w:snapToGrid w:val="0"/>
        <w:spacing w:line="360" w:lineRule="auto"/>
        <w:jc w:val="center"/>
        <w:outlineLvl w:val="9"/>
        <w:rPr>
          <w:rFonts w:hAnsi="宋体"/>
          <w:b w:val="0"/>
          <w:bCs w:val="0"/>
          <w:spacing w:val="20"/>
          <w:sz w:val="52"/>
          <w:szCs w:val="52"/>
          <w:highlight w:val="none"/>
        </w:rPr>
      </w:pPr>
      <w:r>
        <w:rPr>
          <w:rFonts w:hint="eastAsia" w:hAnsi="宋体" w:cs="宋体"/>
          <w:b/>
          <w:bCs/>
          <w:spacing w:val="20"/>
          <w:sz w:val="36"/>
          <w:szCs w:val="36"/>
          <w:highlight w:val="none"/>
        </w:rPr>
        <w:t>（货物类）</w:t>
      </w:r>
    </w:p>
    <w:p w14:paraId="7A0E1406">
      <w:pPr>
        <w:adjustRightInd w:val="0"/>
        <w:snapToGrid w:val="0"/>
        <w:spacing w:line="360" w:lineRule="auto"/>
        <w:outlineLvl w:val="9"/>
        <w:rPr>
          <w:rFonts w:hAnsi="宋体"/>
          <w:b/>
          <w:bCs/>
          <w:sz w:val="36"/>
          <w:szCs w:val="36"/>
        </w:rPr>
      </w:pPr>
      <w:r>
        <w:rPr>
          <w:rFonts w:hAnsi="宋体"/>
          <w:b/>
          <w:bCs/>
          <w:sz w:val="36"/>
          <w:szCs w:val="36"/>
        </w:rPr>
        <w:t xml:space="preserve">           </w:t>
      </w:r>
    </w:p>
    <w:p w14:paraId="2DE96882">
      <w:pPr>
        <w:pStyle w:val="16"/>
        <w:outlineLvl w:val="9"/>
        <w:rPr>
          <w:rFonts w:ascii="宋体"/>
        </w:rPr>
      </w:pPr>
    </w:p>
    <w:p w14:paraId="39806357">
      <w:pPr>
        <w:pStyle w:val="17"/>
        <w:outlineLvl w:val="9"/>
        <w:rPr>
          <w:rFonts w:cs="Times New Roman"/>
        </w:rPr>
      </w:pPr>
    </w:p>
    <w:p w14:paraId="3215A7F7">
      <w:pPr>
        <w:pStyle w:val="16"/>
        <w:outlineLvl w:val="9"/>
        <w:rPr>
          <w:rFonts w:ascii="宋体"/>
        </w:rPr>
      </w:pPr>
    </w:p>
    <w:p w14:paraId="2875154D">
      <w:pPr>
        <w:pStyle w:val="17"/>
        <w:outlineLvl w:val="9"/>
        <w:rPr>
          <w:rFonts w:cs="Times New Roman"/>
        </w:rPr>
      </w:pPr>
    </w:p>
    <w:p w14:paraId="0F781157">
      <w:pPr>
        <w:spacing w:line="360" w:lineRule="auto"/>
        <w:outlineLvl w:val="9"/>
        <w:rPr>
          <w:rFonts w:ascii="宋体"/>
          <w:b/>
          <w:bCs/>
          <w:sz w:val="28"/>
          <w:szCs w:val="28"/>
        </w:rPr>
      </w:pPr>
      <w:r>
        <w:rPr>
          <w:rFonts w:hint="eastAsia" w:ascii="宋体" w:hAnsi="宋体" w:cs="宋体"/>
          <w:b/>
          <w:bCs/>
          <w:sz w:val="28"/>
          <w:szCs w:val="28"/>
        </w:rPr>
        <w:t>项目编号：111001JH6212037</w:t>
      </w:r>
    </w:p>
    <w:p w14:paraId="3AC40104">
      <w:pPr>
        <w:spacing w:line="360" w:lineRule="auto"/>
        <w:outlineLvl w:val="9"/>
        <w:rPr>
          <w:rFonts w:hint="eastAsia" w:ascii="宋体" w:hAnsi="宋体" w:cs="宋体"/>
          <w:b/>
          <w:bCs/>
          <w:sz w:val="28"/>
          <w:szCs w:val="28"/>
        </w:rPr>
      </w:pPr>
      <w:r>
        <w:rPr>
          <w:rFonts w:hint="eastAsia" w:ascii="宋体" w:hAnsi="宋体" w:cs="宋体"/>
          <w:b/>
          <w:bCs/>
          <w:sz w:val="28"/>
          <w:szCs w:val="28"/>
        </w:rPr>
        <w:t>项目名称：陇南市司法局行政复议信息化建设项目</w:t>
      </w:r>
    </w:p>
    <w:p w14:paraId="39B695BA">
      <w:pPr>
        <w:spacing w:line="360" w:lineRule="auto"/>
        <w:outlineLvl w:val="9"/>
        <w:rPr>
          <w:rFonts w:hint="default" w:ascii="宋体" w:eastAsia="宋体"/>
          <w:b/>
          <w:bCs/>
          <w:sz w:val="28"/>
          <w:szCs w:val="28"/>
          <w:lang w:val="en-US" w:eastAsia="zh-CN"/>
        </w:rPr>
      </w:pPr>
      <w:r>
        <w:rPr>
          <w:rFonts w:hint="eastAsia" w:ascii="宋体" w:hAnsi="宋体" w:cs="宋体"/>
          <w:b/>
          <w:bCs/>
          <w:sz w:val="28"/>
          <w:szCs w:val="28"/>
        </w:rPr>
        <w:t>采</w:t>
      </w:r>
      <w:r>
        <w:rPr>
          <w:rFonts w:ascii="宋体" w:hAnsi="宋体" w:cs="宋体"/>
          <w:b/>
          <w:bCs/>
          <w:sz w:val="28"/>
          <w:szCs w:val="28"/>
        </w:rPr>
        <w:t xml:space="preserve"> </w:t>
      </w:r>
      <w:r>
        <w:rPr>
          <w:rFonts w:hint="eastAsia" w:ascii="宋体" w:hAnsi="宋体" w:cs="宋体"/>
          <w:b/>
          <w:bCs/>
          <w:sz w:val="28"/>
          <w:szCs w:val="28"/>
        </w:rPr>
        <w:t>购</w:t>
      </w:r>
      <w:r>
        <w:rPr>
          <w:rFonts w:ascii="宋体" w:hAnsi="宋体" w:cs="宋体"/>
          <w:b/>
          <w:bCs/>
          <w:sz w:val="28"/>
          <w:szCs w:val="28"/>
        </w:rPr>
        <w:t xml:space="preserve"> </w:t>
      </w:r>
      <w:r>
        <w:rPr>
          <w:rFonts w:hint="eastAsia" w:ascii="宋体" w:hAnsi="宋体" w:cs="宋体"/>
          <w:b/>
          <w:bCs/>
          <w:sz w:val="28"/>
          <w:szCs w:val="28"/>
        </w:rPr>
        <w:t>人：</w:t>
      </w:r>
      <w:r>
        <w:rPr>
          <w:rFonts w:hint="eastAsia" w:ascii="宋体" w:hAnsi="宋体" w:cs="宋体"/>
          <w:b/>
          <w:bCs/>
          <w:sz w:val="28"/>
          <w:szCs w:val="28"/>
          <w:lang w:val="en-US" w:eastAsia="zh-CN"/>
        </w:rPr>
        <w:t>陇南市司法局</w:t>
      </w:r>
    </w:p>
    <w:p w14:paraId="1F4B11AE">
      <w:pPr>
        <w:pStyle w:val="37"/>
        <w:jc w:val="left"/>
        <w:outlineLvl w:val="9"/>
        <w:rPr>
          <w:rFonts w:hint="default" w:hAnsi="宋体" w:eastAsia="宋体" w:cs="Times New Roman"/>
          <w:b/>
          <w:bCs/>
          <w:sz w:val="28"/>
          <w:szCs w:val="28"/>
          <w:lang w:val="en-US" w:eastAsia="zh-CN"/>
        </w:rPr>
      </w:pPr>
      <w:r>
        <w:rPr>
          <w:rFonts w:hint="eastAsia" w:hAnsi="宋体"/>
          <w:b/>
          <w:bCs/>
          <w:sz w:val="28"/>
          <w:szCs w:val="28"/>
          <w:lang w:val="en-US" w:eastAsia="zh-CN"/>
        </w:rPr>
        <w:t>集采</w:t>
      </w:r>
      <w:r>
        <w:rPr>
          <w:rFonts w:hint="eastAsia" w:hAnsi="宋体"/>
          <w:b/>
          <w:bCs/>
          <w:sz w:val="28"/>
          <w:szCs w:val="28"/>
          <w:lang w:eastAsia="zh-CN"/>
        </w:rPr>
        <w:t>机构</w:t>
      </w:r>
      <w:r>
        <w:rPr>
          <w:rFonts w:hint="eastAsia" w:hAnsi="宋体"/>
          <w:b/>
          <w:bCs/>
          <w:sz w:val="28"/>
          <w:szCs w:val="28"/>
        </w:rPr>
        <w:t>：</w:t>
      </w:r>
      <w:r>
        <w:rPr>
          <w:rFonts w:hint="eastAsia" w:hAnsi="宋体"/>
          <w:b/>
          <w:bCs/>
          <w:sz w:val="28"/>
          <w:szCs w:val="28"/>
          <w:lang w:val="en-US" w:eastAsia="zh-CN"/>
        </w:rPr>
        <w:t>陇南市公共资源交易中心</w:t>
      </w:r>
    </w:p>
    <w:p w14:paraId="37BC90F5">
      <w:pPr>
        <w:pStyle w:val="37"/>
        <w:jc w:val="left"/>
        <w:outlineLvl w:val="9"/>
        <w:rPr>
          <w:rFonts w:hAnsi="宋体" w:cs="Times New Roman"/>
          <w:sz w:val="28"/>
          <w:szCs w:val="28"/>
        </w:rPr>
      </w:pPr>
    </w:p>
    <w:p w14:paraId="682936D9">
      <w:pPr>
        <w:pStyle w:val="37"/>
        <w:jc w:val="left"/>
        <w:outlineLvl w:val="9"/>
        <w:rPr>
          <w:rFonts w:hAnsi="宋体" w:cs="Times New Roman"/>
          <w:sz w:val="28"/>
          <w:szCs w:val="28"/>
        </w:rPr>
      </w:pPr>
    </w:p>
    <w:p w14:paraId="2E0483E0">
      <w:pPr>
        <w:pStyle w:val="37"/>
        <w:jc w:val="left"/>
        <w:outlineLvl w:val="9"/>
        <w:rPr>
          <w:rFonts w:hAnsi="宋体" w:cs="Times New Roman"/>
          <w:sz w:val="28"/>
          <w:szCs w:val="28"/>
        </w:rPr>
      </w:pPr>
    </w:p>
    <w:p w14:paraId="544C9F2A">
      <w:pPr>
        <w:pStyle w:val="37"/>
        <w:jc w:val="left"/>
        <w:outlineLvl w:val="9"/>
        <w:rPr>
          <w:rFonts w:hAnsi="宋体" w:cs="Times New Roman"/>
          <w:sz w:val="28"/>
          <w:szCs w:val="28"/>
        </w:rPr>
      </w:pPr>
    </w:p>
    <w:p w14:paraId="46D0486C">
      <w:pPr>
        <w:pStyle w:val="37"/>
        <w:jc w:val="left"/>
        <w:outlineLvl w:val="9"/>
        <w:rPr>
          <w:rFonts w:hAnsi="宋体" w:cs="Times New Roman"/>
          <w:sz w:val="28"/>
          <w:szCs w:val="28"/>
        </w:rPr>
      </w:pPr>
    </w:p>
    <w:p w14:paraId="38F8A8B2">
      <w:pPr>
        <w:spacing w:line="360" w:lineRule="auto"/>
        <w:jc w:val="center"/>
        <w:outlineLvl w:val="9"/>
        <w:rPr>
          <w:rFonts w:ascii="宋体"/>
          <w:b/>
          <w:bCs/>
          <w:sz w:val="36"/>
          <w:szCs w:val="36"/>
        </w:rPr>
        <w:sectPr>
          <w:headerReference r:id="rId3" w:type="default"/>
          <w:footerReference r:id="rId4" w:type="default"/>
          <w:type w:val="continuous"/>
          <w:pgSz w:w="11910" w:h="16840"/>
          <w:pgMar w:top="1460" w:right="1680" w:bottom="1280" w:left="1640" w:header="0" w:footer="1096" w:gutter="0"/>
          <w:pgNumType w:fmt="decimal"/>
          <w:cols w:space="720" w:num="1"/>
        </w:sectPr>
      </w:pPr>
      <w:r>
        <w:rPr>
          <w:rFonts w:ascii="宋体" w:hAnsi="宋体" w:cs="宋体"/>
          <w:b/>
          <w:bCs/>
          <w:sz w:val="36"/>
          <w:szCs w:val="36"/>
          <w:u w:val="single"/>
        </w:rPr>
        <w:t>202</w:t>
      </w:r>
      <w:r>
        <w:rPr>
          <w:rFonts w:hint="eastAsia" w:ascii="宋体" w:hAnsi="宋体" w:cs="宋体"/>
          <w:b/>
          <w:bCs/>
          <w:sz w:val="36"/>
          <w:szCs w:val="36"/>
          <w:u w:val="single"/>
          <w:lang w:val="en-US" w:eastAsia="zh-CN"/>
        </w:rPr>
        <w:t>4</w:t>
      </w:r>
      <w:r>
        <w:rPr>
          <w:rFonts w:hint="eastAsia" w:ascii="宋体" w:hAnsi="宋体" w:cs="宋体"/>
          <w:b/>
          <w:bCs/>
          <w:sz w:val="36"/>
          <w:szCs w:val="36"/>
        </w:rPr>
        <w:t>年</w:t>
      </w:r>
      <w:r>
        <w:rPr>
          <w:rFonts w:hint="eastAsia" w:ascii="宋体" w:hAnsi="宋体" w:cs="宋体"/>
          <w:b/>
          <w:bCs/>
          <w:sz w:val="36"/>
          <w:szCs w:val="36"/>
          <w:u w:val="single"/>
          <w:lang w:val="en-US" w:eastAsia="zh-CN"/>
        </w:rPr>
        <w:t>7</w:t>
      </w:r>
      <w:r>
        <w:rPr>
          <w:rFonts w:hint="eastAsia" w:ascii="宋体" w:hAnsi="宋体" w:cs="宋体"/>
          <w:b/>
          <w:bCs/>
          <w:sz w:val="36"/>
          <w:szCs w:val="36"/>
        </w:rPr>
        <w:t>月</w:t>
      </w:r>
    </w:p>
    <w:p w14:paraId="3B7C637C">
      <w:pPr>
        <w:jc w:val="center"/>
        <w:rPr>
          <w:rFonts w:ascii="宋体"/>
          <w:b/>
          <w:bCs/>
          <w:sz w:val="44"/>
          <w:szCs w:val="44"/>
        </w:rPr>
      </w:pPr>
      <w:r>
        <w:rPr>
          <w:rFonts w:hint="eastAsia" w:ascii="宋体" w:hAnsi="宋体" w:cs="宋体"/>
          <w:b/>
          <w:bCs/>
          <w:sz w:val="40"/>
          <w:szCs w:val="40"/>
        </w:rPr>
        <w:t>目</w:t>
      </w:r>
      <w:r>
        <w:rPr>
          <w:rFonts w:ascii="宋体" w:hAnsi="宋体" w:cs="宋体"/>
          <w:b/>
          <w:bCs/>
          <w:sz w:val="40"/>
          <w:szCs w:val="40"/>
        </w:rPr>
        <w:t xml:space="preserve">  </w:t>
      </w:r>
      <w:r>
        <w:rPr>
          <w:rFonts w:hint="eastAsia" w:ascii="宋体" w:hAnsi="宋体" w:cs="宋体"/>
          <w:b/>
          <w:bCs/>
          <w:sz w:val="40"/>
          <w:szCs w:val="40"/>
        </w:rPr>
        <w:t>录</w:t>
      </w:r>
    </w:p>
    <w:p w14:paraId="0FF9EC85">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bookmarkStart w:id="0" w:name="_Hlk484387211"/>
      <w:bookmarkStart w:id="1" w:name="_Toc373314691"/>
      <w:r>
        <w:fldChar w:fldCharType="begin"/>
      </w:r>
      <w:r>
        <w:instrText xml:space="preserve">TOC \o "1-2" \h \u </w:instrText>
      </w:r>
      <w:r>
        <w:fldChar w:fldCharType="separate"/>
      </w:r>
      <w:r>
        <w:rPr>
          <w:sz w:val="21"/>
          <w:szCs w:val="21"/>
        </w:rPr>
        <w:fldChar w:fldCharType="begin"/>
      </w:r>
      <w:r>
        <w:rPr>
          <w:sz w:val="21"/>
          <w:szCs w:val="21"/>
        </w:rPr>
        <w:instrText xml:space="preserve"> HYPERLINK \l _Toc1120 </w:instrText>
      </w:r>
      <w:r>
        <w:rPr>
          <w:sz w:val="21"/>
          <w:szCs w:val="21"/>
        </w:rPr>
        <w:fldChar w:fldCharType="separate"/>
      </w:r>
      <w:r>
        <w:rPr>
          <w:rFonts w:hint="eastAsia" w:ascii="宋体"/>
          <w:bCs/>
          <w:sz w:val="21"/>
          <w:szCs w:val="40"/>
        </w:rPr>
        <w:t xml:space="preserve">第一章 </w:t>
      </w:r>
      <w:r>
        <w:rPr>
          <w:rFonts w:hint="eastAsia" w:ascii="宋体" w:hAnsi="宋体" w:cs="宋体"/>
          <w:bCs/>
          <w:sz w:val="21"/>
          <w:szCs w:val="40"/>
        </w:rPr>
        <w:t>招标公告</w:t>
      </w:r>
      <w:r>
        <w:rPr>
          <w:sz w:val="21"/>
          <w:szCs w:val="21"/>
        </w:rPr>
        <w:tab/>
      </w:r>
      <w:r>
        <w:rPr>
          <w:sz w:val="21"/>
          <w:szCs w:val="21"/>
        </w:rPr>
        <w:fldChar w:fldCharType="begin"/>
      </w:r>
      <w:r>
        <w:rPr>
          <w:sz w:val="21"/>
          <w:szCs w:val="21"/>
        </w:rPr>
        <w:instrText xml:space="preserve"> PAGEREF _Toc1120 \h </w:instrText>
      </w:r>
      <w:r>
        <w:rPr>
          <w:sz w:val="21"/>
          <w:szCs w:val="21"/>
        </w:rPr>
        <w:fldChar w:fldCharType="separate"/>
      </w:r>
      <w:r>
        <w:rPr>
          <w:sz w:val="21"/>
          <w:szCs w:val="21"/>
        </w:rPr>
        <w:t>4</w:t>
      </w:r>
      <w:r>
        <w:rPr>
          <w:sz w:val="21"/>
          <w:szCs w:val="21"/>
        </w:rPr>
        <w:fldChar w:fldCharType="end"/>
      </w:r>
      <w:r>
        <w:rPr>
          <w:sz w:val="21"/>
          <w:szCs w:val="21"/>
        </w:rPr>
        <w:fldChar w:fldCharType="end"/>
      </w:r>
    </w:p>
    <w:p w14:paraId="70D85EB0">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_Toc6346 </w:instrText>
      </w:r>
      <w:r>
        <w:rPr>
          <w:sz w:val="21"/>
          <w:szCs w:val="21"/>
        </w:rPr>
        <w:fldChar w:fldCharType="separate"/>
      </w:r>
      <w:r>
        <w:rPr>
          <w:rFonts w:hint="eastAsia" w:ascii="宋体" w:hAnsi="宋体" w:cs="宋体"/>
          <w:bCs/>
          <w:kern w:val="0"/>
          <w:sz w:val="21"/>
          <w:szCs w:val="44"/>
        </w:rPr>
        <w:t>第二章 供应商须知及前附表</w:t>
      </w:r>
      <w:r>
        <w:rPr>
          <w:sz w:val="21"/>
          <w:szCs w:val="21"/>
        </w:rPr>
        <w:tab/>
      </w:r>
      <w:r>
        <w:rPr>
          <w:sz w:val="21"/>
          <w:szCs w:val="21"/>
        </w:rPr>
        <w:fldChar w:fldCharType="begin"/>
      </w:r>
      <w:r>
        <w:rPr>
          <w:sz w:val="21"/>
          <w:szCs w:val="21"/>
        </w:rPr>
        <w:instrText xml:space="preserve"> PAGEREF _Toc6346 \h </w:instrText>
      </w:r>
      <w:r>
        <w:rPr>
          <w:sz w:val="21"/>
          <w:szCs w:val="21"/>
        </w:rPr>
        <w:fldChar w:fldCharType="separate"/>
      </w:r>
      <w:r>
        <w:rPr>
          <w:sz w:val="21"/>
          <w:szCs w:val="21"/>
        </w:rPr>
        <w:t>5</w:t>
      </w:r>
      <w:r>
        <w:rPr>
          <w:sz w:val="21"/>
          <w:szCs w:val="21"/>
        </w:rPr>
        <w:fldChar w:fldCharType="end"/>
      </w:r>
      <w:r>
        <w:rPr>
          <w:sz w:val="21"/>
          <w:szCs w:val="21"/>
        </w:rPr>
        <w:fldChar w:fldCharType="end"/>
      </w:r>
    </w:p>
    <w:p w14:paraId="7128F576">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_Toc11402 </w:instrText>
      </w:r>
      <w:r>
        <w:rPr>
          <w:sz w:val="21"/>
          <w:szCs w:val="21"/>
        </w:rPr>
        <w:fldChar w:fldCharType="separate"/>
      </w:r>
      <w:r>
        <w:rPr>
          <w:rFonts w:hint="eastAsia" w:ascii="宋体" w:hAnsi="宋体" w:eastAsia="宋体" w:cs="宋体"/>
          <w:bCs/>
          <w:smallCaps w:val="0"/>
          <w:kern w:val="0"/>
          <w:sz w:val="21"/>
          <w:szCs w:val="36"/>
          <w:lang w:val="en-US" w:eastAsia="zh-CN" w:bidi="ar-SA"/>
        </w:rPr>
        <w:t>第一节</w:t>
      </w:r>
      <w:r>
        <w:rPr>
          <w:rFonts w:hint="eastAsia" w:ascii="宋体" w:hAnsi="宋体" w:cs="宋体"/>
          <w:bCs/>
          <w:smallCaps w:val="0"/>
          <w:kern w:val="0"/>
          <w:sz w:val="21"/>
          <w:szCs w:val="36"/>
          <w:lang w:val="en-US" w:eastAsia="zh-CN" w:bidi="ar-SA"/>
        </w:rPr>
        <w:t xml:space="preserve"> </w:t>
      </w:r>
      <w:r>
        <w:rPr>
          <w:rFonts w:hint="eastAsia" w:ascii="宋体" w:hAnsi="宋体" w:eastAsia="宋体" w:cs="宋体"/>
          <w:bCs/>
          <w:smallCaps w:val="0"/>
          <w:kern w:val="0"/>
          <w:sz w:val="21"/>
          <w:szCs w:val="36"/>
          <w:lang w:val="en-US" w:eastAsia="zh-CN" w:bidi="ar-SA"/>
        </w:rPr>
        <w:t>供应商须知前附表</w:t>
      </w:r>
      <w:r>
        <w:rPr>
          <w:sz w:val="21"/>
          <w:szCs w:val="21"/>
        </w:rPr>
        <w:tab/>
      </w:r>
      <w:r>
        <w:rPr>
          <w:sz w:val="21"/>
          <w:szCs w:val="21"/>
        </w:rPr>
        <w:fldChar w:fldCharType="begin"/>
      </w:r>
      <w:r>
        <w:rPr>
          <w:sz w:val="21"/>
          <w:szCs w:val="21"/>
        </w:rPr>
        <w:instrText xml:space="preserve"> PAGEREF _Toc11402 \h </w:instrText>
      </w:r>
      <w:r>
        <w:rPr>
          <w:sz w:val="21"/>
          <w:szCs w:val="21"/>
        </w:rPr>
        <w:fldChar w:fldCharType="separate"/>
      </w:r>
      <w:r>
        <w:rPr>
          <w:sz w:val="21"/>
          <w:szCs w:val="21"/>
        </w:rPr>
        <w:t>5</w:t>
      </w:r>
      <w:r>
        <w:rPr>
          <w:sz w:val="21"/>
          <w:szCs w:val="21"/>
        </w:rPr>
        <w:fldChar w:fldCharType="end"/>
      </w:r>
      <w:r>
        <w:rPr>
          <w:sz w:val="21"/>
          <w:szCs w:val="21"/>
        </w:rPr>
        <w:fldChar w:fldCharType="end"/>
      </w:r>
    </w:p>
    <w:p w14:paraId="632849E1">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_Toc4912 </w:instrText>
      </w:r>
      <w:r>
        <w:rPr>
          <w:sz w:val="21"/>
          <w:szCs w:val="21"/>
        </w:rPr>
        <w:fldChar w:fldCharType="separate"/>
      </w:r>
      <w:r>
        <w:rPr>
          <w:rFonts w:hint="eastAsia" w:ascii="宋体" w:hAnsi="宋体" w:cs="宋体"/>
          <w:bCs/>
          <w:kern w:val="0"/>
          <w:sz w:val="21"/>
          <w:szCs w:val="36"/>
        </w:rPr>
        <w:t>第二节</w:t>
      </w:r>
      <w:r>
        <w:rPr>
          <w:rFonts w:hint="eastAsia" w:ascii="宋体" w:hAnsi="宋体" w:cs="宋体"/>
          <w:bCs/>
          <w:kern w:val="0"/>
          <w:sz w:val="21"/>
          <w:szCs w:val="36"/>
          <w:lang w:val="en-US" w:eastAsia="zh-CN"/>
        </w:rPr>
        <w:t xml:space="preserve"> </w:t>
      </w:r>
      <w:r>
        <w:rPr>
          <w:rFonts w:hint="eastAsia" w:ascii="宋体" w:hAnsi="宋体" w:cs="宋体"/>
          <w:bCs/>
          <w:kern w:val="0"/>
          <w:sz w:val="21"/>
          <w:szCs w:val="36"/>
        </w:rPr>
        <w:t>投标文件否决性条款</w:t>
      </w:r>
      <w:r>
        <w:rPr>
          <w:sz w:val="21"/>
          <w:szCs w:val="21"/>
        </w:rPr>
        <w:tab/>
      </w:r>
      <w:r>
        <w:rPr>
          <w:sz w:val="21"/>
          <w:szCs w:val="21"/>
        </w:rPr>
        <w:fldChar w:fldCharType="begin"/>
      </w:r>
      <w:r>
        <w:rPr>
          <w:sz w:val="21"/>
          <w:szCs w:val="21"/>
        </w:rPr>
        <w:instrText xml:space="preserve"> PAGEREF _Toc4912 \h </w:instrText>
      </w:r>
      <w:r>
        <w:rPr>
          <w:sz w:val="21"/>
          <w:szCs w:val="21"/>
        </w:rPr>
        <w:fldChar w:fldCharType="separate"/>
      </w:r>
      <w:r>
        <w:rPr>
          <w:sz w:val="21"/>
          <w:szCs w:val="21"/>
        </w:rPr>
        <w:t>10</w:t>
      </w:r>
      <w:r>
        <w:rPr>
          <w:sz w:val="21"/>
          <w:szCs w:val="21"/>
        </w:rPr>
        <w:fldChar w:fldCharType="end"/>
      </w:r>
      <w:r>
        <w:rPr>
          <w:sz w:val="21"/>
          <w:szCs w:val="21"/>
        </w:rPr>
        <w:fldChar w:fldCharType="end"/>
      </w:r>
    </w:p>
    <w:p w14:paraId="0B13CFF4">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_Toc12216 </w:instrText>
      </w:r>
      <w:r>
        <w:rPr>
          <w:sz w:val="21"/>
          <w:szCs w:val="21"/>
        </w:rPr>
        <w:fldChar w:fldCharType="separate"/>
      </w:r>
      <w:r>
        <w:rPr>
          <w:rFonts w:hint="eastAsia" w:ascii="宋体"/>
          <w:bCs/>
          <w:kern w:val="0"/>
          <w:sz w:val="21"/>
          <w:szCs w:val="40"/>
        </w:rPr>
        <w:t xml:space="preserve">第三章 </w:t>
      </w:r>
      <w:r>
        <w:rPr>
          <w:rFonts w:hint="eastAsia" w:ascii="宋体" w:hAnsi="宋体" w:cs="宋体"/>
          <w:bCs/>
          <w:kern w:val="0"/>
          <w:sz w:val="21"/>
          <w:szCs w:val="40"/>
        </w:rPr>
        <w:t>采购</w:t>
      </w:r>
      <w:r>
        <w:rPr>
          <w:rFonts w:hint="eastAsia" w:ascii="宋体" w:hAnsi="宋体" w:cs="宋体"/>
          <w:bCs/>
          <w:kern w:val="0"/>
          <w:sz w:val="21"/>
          <w:szCs w:val="40"/>
          <w:lang w:val="en-US" w:eastAsia="zh-CN"/>
        </w:rPr>
        <w:t>项目</w:t>
      </w:r>
      <w:r>
        <w:rPr>
          <w:rFonts w:hint="eastAsia" w:ascii="宋体" w:hAnsi="宋体" w:cs="宋体"/>
          <w:bCs/>
          <w:kern w:val="0"/>
          <w:sz w:val="21"/>
          <w:szCs w:val="40"/>
        </w:rPr>
        <w:t>需求及要求</w:t>
      </w:r>
      <w:r>
        <w:rPr>
          <w:sz w:val="21"/>
          <w:szCs w:val="21"/>
        </w:rPr>
        <w:tab/>
      </w:r>
      <w:r>
        <w:rPr>
          <w:sz w:val="21"/>
          <w:szCs w:val="21"/>
        </w:rPr>
        <w:fldChar w:fldCharType="begin"/>
      </w:r>
      <w:r>
        <w:rPr>
          <w:sz w:val="21"/>
          <w:szCs w:val="21"/>
        </w:rPr>
        <w:instrText xml:space="preserve"> PAGEREF _Toc12216 \h </w:instrText>
      </w:r>
      <w:r>
        <w:rPr>
          <w:sz w:val="21"/>
          <w:szCs w:val="21"/>
        </w:rPr>
        <w:fldChar w:fldCharType="separate"/>
      </w:r>
      <w:r>
        <w:rPr>
          <w:sz w:val="21"/>
          <w:szCs w:val="21"/>
        </w:rPr>
        <w:t>25</w:t>
      </w:r>
      <w:r>
        <w:rPr>
          <w:sz w:val="21"/>
          <w:szCs w:val="21"/>
        </w:rPr>
        <w:fldChar w:fldCharType="end"/>
      </w:r>
      <w:r>
        <w:rPr>
          <w:sz w:val="21"/>
          <w:szCs w:val="21"/>
        </w:rPr>
        <w:fldChar w:fldCharType="end"/>
      </w:r>
    </w:p>
    <w:p w14:paraId="42424F0F">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_Toc32293 </w:instrText>
      </w:r>
      <w:r>
        <w:rPr>
          <w:sz w:val="21"/>
          <w:szCs w:val="21"/>
        </w:rPr>
        <w:fldChar w:fldCharType="separate"/>
      </w:r>
      <w:r>
        <w:rPr>
          <w:rFonts w:ascii="Times New Roman"/>
          <w:sz w:val="21"/>
          <w:szCs w:val="36"/>
          <w:highlight w:val="none"/>
        </w:rPr>
        <w:t>第</w:t>
      </w:r>
      <w:r>
        <w:rPr>
          <w:rFonts w:hint="eastAsia" w:ascii="Times New Roman"/>
          <w:sz w:val="21"/>
          <w:szCs w:val="36"/>
          <w:highlight w:val="none"/>
        </w:rPr>
        <w:t>一</w:t>
      </w:r>
      <w:r>
        <w:rPr>
          <w:rFonts w:ascii="Times New Roman"/>
          <w:sz w:val="21"/>
          <w:szCs w:val="36"/>
          <w:highlight w:val="none"/>
        </w:rPr>
        <w:t xml:space="preserve">部分 </w:t>
      </w:r>
      <w:r>
        <w:rPr>
          <w:rFonts w:hint="eastAsia" w:ascii="Times New Roman"/>
          <w:sz w:val="21"/>
          <w:szCs w:val="36"/>
          <w:highlight w:val="none"/>
        </w:rPr>
        <w:t>商务要求</w:t>
      </w:r>
      <w:r>
        <w:rPr>
          <w:sz w:val="21"/>
          <w:szCs w:val="21"/>
        </w:rPr>
        <w:tab/>
      </w:r>
      <w:r>
        <w:rPr>
          <w:sz w:val="21"/>
          <w:szCs w:val="21"/>
        </w:rPr>
        <w:fldChar w:fldCharType="begin"/>
      </w:r>
      <w:r>
        <w:rPr>
          <w:sz w:val="21"/>
          <w:szCs w:val="21"/>
        </w:rPr>
        <w:instrText xml:space="preserve"> PAGEREF _Toc32293 \h </w:instrText>
      </w:r>
      <w:r>
        <w:rPr>
          <w:sz w:val="21"/>
          <w:szCs w:val="21"/>
        </w:rPr>
        <w:fldChar w:fldCharType="separate"/>
      </w:r>
      <w:r>
        <w:rPr>
          <w:sz w:val="21"/>
          <w:szCs w:val="21"/>
        </w:rPr>
        <w:t>25</w:t>
      </w:r>
      <w:r>
        <w:rPr>
          <w:sz w:val="21"/>
          <w:szCs w:val="21"/>
        </w:rPr>
        <w:fldChar w:fldCharType="end"/>
      </w:r>
      <w:r>
        <w:rPr>
          <w:sz w:val="21"/>
          <w:szCs w:val="21"/>
        </w:rPr>
        <w:fldChar w:fldCharType="end"/>
      </w:r>
    </w:p>
    <w:p w14:paraId="36610015">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_Toc26753 </w:instrText>
      </w:r>
      <w:r>
        <w:rPr>
          <w:sz w:val="21"/>
          <w:szCs w:val="21"/>
        </w:rPr>
        <w:fldChar w:fldCharType="separate"/>
      </w:r>
      <w:r>
        <w:rPr>
          <w:rFonts w:hint="eastAsia" w:ascii="Times New Roman"/>
          <w:sz w:val="21"/>
          <w:szCs w:val="36"/>
          <w:highlight w:val="none"/>
          <w:lang w:eastAsia="zh-CN"/>
        </w:rPr>
        <w:t>第</w:t>
      </w:r>
      <w:r>
        <w:rPr>
          <w:rFonts w:hint="eastAsia" w:ascii="Times New Roman"/>
          <w:sz w:val="21"/>
          <w:szCs w:val="36"/>
          <w:highlight w:val="none"/>
        </w:rPr>
        <w:t>二</w:t>
      </w:r>
      <w:r>
        <w:rPr>
          <w:rFonts w:ascii="Times New Roman"/>
          <w:sz w:val="21"/>
          <w:szCs w:val="36"/>
          <w:highlight w:val="none"/>
        </w:rPr>
        <w:t xml:space="preserve">部分 </w:t>
      </w:r>
      <w:r>
        <w:rPr>
          <w:rFonts w:hint="eastAsia" w:ascii="Times New Roman"/>
          <w:sz w:val="21"/>
          <w:szCs w:val="36"/>
          <w:highlight w:val="none"/>
        </w:rPr>
        <w:t>项目需求书</w:t>
      </w:r>
      <w:r>
        <w:rPr>
          <w:sz w:val="21"/>
          <w:szCs w:val="21"/>
        </w:rPr>
        <w:tab/>
      </w:r>
      <w:r>
        <w:rPr>
          <w:sz w:val="21"/>
          <w:szCs w:val="21"/>
        </w:rPr>
        <w:fldChar w:fldCharType="begin"/>
      </w:r>
      <w:r>
        <w:rPr>
          <w:sz w:val="21"/>
          <w:szCs w:val="21"/>
        </w:rPr>
        <w:instrText xml:space="preserve"> PAGEREF _Toc26753 \h </w:instrText>
      </w:r>
      <w:r>
        <w:rPr>
          <w:sz w:val="21"/>
          <w:szCs w:val="21"/>
        </w:rPr>
        <w:fldChar w:fldCharType="separate"/>
      </w:r>
      <w:r>
        <w:rPr>
          <w:sz w:val="21"/>
          <w:szCs w:val="21"/>
        </w:rPr>
        <w:t>26</w:t>
      </w:r>
      <w:r>
        <w:rPr>
          <w:sz w:val="21"/>
          <w:szCs w:val="21"/>
        </w:rPr>
        <w:fldChar w:fldCharType="end"/>
      </w:r>
      <w:r>
        <w:rPr>
          <w:sz w:val="21"/>
          <w:szCs w:val="21"/>
        </w:rPr>
        <w:fldChar w:fldCharType="end"/>
      </w:r>
    </w:p>
    <w:p w14:paraId="587683BE">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_Toc9079 </w:instrText>
      </w:r>
      <w:r>
        <w:rPr>
          <w:sz w:val="21"/>
          <w:szCs w:val="21"/>
        </w:rPr>
        <w:fldChar w:fldCharType="separate"/>
      </w:r>
      <w:r>
        <w:rPr>
          <w:rFonts w:hint="eastAsia" w:ascii="宋体"/>
          <w:bCs/>
          <w:kern w:val="0"/>
          <w:sz w:val="21"/>
          <w:szCs w:val="40"/>
        </w:rPr>
        <w:t xml:space="preserve">第四章 </w:t>
      </w:r>
      <w:r>
        <w:rPr>
          <w:rFonts w:hint="eastAsia" w:ascii="宋体" w:hAnsi="宋体" w:cs="宋体"/>
          <w:bCs/>
          <w:kern w:val="0"/>
          <w:sz w:val="21"/>
          <w:szCs w:val="40"/>
        </w:rPr>
        <w:t>评标方法及标准</w:t>
      </w:r>
      <w:r>
        <w:rPr>
          <w:sz w:val="21"/>
          <w:szCs w:val="21"/>
        </w:rPr>
        <w:tab/>
      </w:r>
      <w:r>
        <w:rPr>
          <w:sz w:val="21"/>
          <w:szCs w:val="21"/>
        </w:rPr>
        <w:fldChar w:fldCharType="begin"/>
      </w:r>
      <w:r>
        <w:rPr>
          <w:sz w:val="21"/>
          <w:szCs w:val="21"/>
        </w:rPr>
        <w:instrText xml:space="preserve"> PAGEREF _Toc9079 \h </w:instrText>
      </w:r>
      <w:r>
        <w:rPr>
          <w:sz w:val="21"/>
          <w:szCs w:val="21"/>
        </w:rPr>
        <w:fldChar w:fldCharType="separate"/>
      </w:r>
      <w:r>
        <w:rPr>
          <w:sz w:val="21"/>
          <w:szCs w:val="21"/>
        </w:rPr>
        <w:t>40</w:t>
      </w:r>
      <w:r>
        <w:rPr>
          <w:sz w:val="21"/>
          <w:szCs w:val="21"/>
        </w:rPr>
        <w:fldChar w:fldCharType="end"/>
      </w:r>
      <w:r>
        <w:rPr>
          <w:sz w:val="21"/>
          <w:szCs w:val="21"/>
        </w:rPr>
        <w:fldChar w:fldCharType="end"/>
      </w:r>
    </w:p>
    <w:p w14:paraId="1B1D2C50">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_Toc21415 </w:instrText>
      </w:r>
      <w:r>
        <w:rPr>
          <w:sz w:val="21"/>
          <w:szCs w:val="21"/>
        </w:rPr>
        <w:fldChar w:fldCharType="separate"/>
      </w:r>
      <w:r>
        <w:rPr>
          <w:rFonts w:hint="eastAsia" w:ascii="宋体" w:hAnsi="宋体" w:cs="宋体"/>
          <w:bCs w:val="0"/>
          <w:kern w:val="2"/>
          <w:sz w:val="21"/>
          <w:szCs w:val="36"/>
        </w:rPr>
        <w:t>一、总则</w:t>
      </w:r>
      <w:r>
        <w:rPr>
          <w:sz w:val="21"/>
          <w:szCs w:val="21"/>
        </w:rPr>
        <w:tab/>
      </w:r>
      <w:r>
        <w:rPr>
          <w:sz w:val="21"/>
          <w:szCs w:val="21"/>
        </w:rPr>
        <w:fldChar w:fldCharType="begin"/>
      </w:r>
      <w:r>
        <w:rPr>
          <w:sz w:val="21"/>
          <w:szCs w:val="21"/>
        </w:rPr>
        <w:instrText xml:space="preserve"> PAGEREF _Toc21415 \h </w:instrText>
      </w:r>
      <w:r>
        <w:rPr>
          <w:sz w:val="21"/>
          <w:szCs w:val="21"/>
        </w:rPr>
        <w:fldChar w:fldCharType="separate"/>
      </w:r>
      <w:r>
        <w:rPr>
          <w:sz w:val="21"/>
          <w:szCs w:val="21"/>
        </w:rPr>
        <w:t>40</w:t>
      </w:r>
      <w:r>
        <w:rPr>
          <w:sz w:val="21"/>
          <w:szCs w:val="21"/>
        </w:rPr>
        <w:fldChar w:fldCharType="end"/>
      </w:r>
      <w:r>
        <w:rPr>
          <w:sz w:val="21"/>
          <w:szCs w:val="21"/>
        </w:rPr>
        <w:fldChar w:fldCharType="end"/>
      </w:r>
    </w:p>
    <w:p w14:paraId="08BB38BD">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_Toc29266 </w:instrText>
      </w:r>
      <w:r>
        <w:rPr>
          <w:sz w:val="21"/>
          <w:szCs w:val="21"/>
        </w:rPr>
        <w:fldChar w:fldCharType="separate"/>
      </w:r>
      <w:r>
        <w:rPr>
          <w:rFonts w:hint="eastAsia" w:hAnsi="宋体"/>
          <w:bCs/>
          <w:sz w:val="21"/>
          <w:szCs w:val="36"/>
        </w:rPr>
        <w:t>二、评标程序</w:t>
      </w:r>
      <w:r>
        <w:rPr>
          <w:sz w:val="21"/>
          <w:szCs w:val="21"/>
        </w:rPr>
        <w:tab/>
      </w:r>
      <w:r>
        <w:rPr>
          <w:sz w:val="21"/>
          <w:szCs w:val="21"/>
        </w:rPr>
        <w:fldChar w:fldCharType="begin"/>
      </w:r>
      <w:r>
        <w:rPr>
          <w:sz w:val="21"/>
          <w:szCs w:val="21"/>
        </w:rPr>
        <w:instrText xml:space="preserve"> PAGEREF _Toc29266 \h </w:instrText>
      </w:r>
      <w:r>
        <w:rPr>
          <w:sz w:val="21"/>
          <w:szCs w:val="21"/>
        </w:rPr>
        <w:fldChar w:fldCharType="separate"/>
      </w:r>
      <w:r>
        <w:rPr>
          <w:sz w:val="21"/>
          <w:szCs w:val="21"/>
        </w:rPr>
        <w:t>45</w:t>
      </w:r>
      <w:r>
        <w:rPr>
          <w:sz w:val="21"/>
          <w:szCs w:val="21"/>
        </w:rPr>
        <w:fldChar w:fldCharType="end"/>
      </w:r>
      <w:r>
        <w:rPr>
          <w:sz w:val="21"/>
          <w:szCs w:val="21"/>
        </w:rPr>
        <w:fldChar w:fldCharType="end"/>
      </w:r>
    </w:p>
    <w:p w14:paraId="5BEDE17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_Toc20818 </w:instrText>
      </w:r>
      <w:r>
        <w:rPr>
          <w:sz w:val="21"/>
          <w:szCs w:val="21"/>
        </w:rPr>
        <w:fldChar w:fldCharType="separate"/>
      </w:r>
      <w:r>
        <w:rPr>
          <w:rFonts w:hint="eastAsia" w:ascii="宋体"/>
          <w:bCs/>
          <w:kern w:val="0"/>
          <w:sz w:val="21"/>
          <w:szCs w:val="40"/>
        </w:rPr>
        <w:t xml:space="preserve">第五章 </w:t>
      </w:r>
      <w:r>
        <w:rPr>
          <w:rFonts w:hint="eastAsia" w:ascii="宋体" w:hAnsi="宋体" w:cs="宋体"/>
          <w:bCs/>
          <w:kern w:val="0"/>
          <w:sz w:val="21"/>
          <w:szCs w:val="40"/>
        </w:rPr>
        <w:t>投标文件格式</w:t>
      </w:r>
      <w:r>
        <w:rPr>
          <w:sz w:val="21"/>
          <w:szCs w:val="21"/>
        </w:rPr>
        <w:tab/>
      </w:r>
      <w:r>
        <w:rPr>
          <w:sz w:val="21"/>
          <w:szCs w:val="21"/>
        </w:rPr>
        <w:fldChar w:fldCharType="begin"/>
      </w:r>
      <w:r>
        <w:rPr>
          <w:sz w:val="21"/>
          <w:szCs w:val="21"/>
        </w:rPr>
        <w:instrText xml:space="preserve"> PAGEREF _Toc20818 \h </w:instrText>
      </w:r>
      <w:r>
        <w:rPr>
          <w:sz w:val="21"/>
          <w:szCs w:val="21"/>
        </w:rPr>
        <w:fldChar w:fldCharType="separate"/>
      </w:r>
      <w:r>
        <w:rPr>
          <w:sz w:val="21"/>
          <w:szCs w:val="21"/>
        </w:rPr>
        <w:t>48</w:t>
      </w:r>
      <w:r>
        <w:rPr>
          <w:sz w:val="21"/>
          <w:szCs w:val="21"/>
        </w:rPr>
        <w:fldChar w:fldCharType="end"/>
      </w:r>
      <w:r>
        <w:rPr>
          <w:sz w:val="21"/>
          <w:szCs w:val="21"/>
        </w:rPr>
        <w:fldChar w:fldCharType="end"/>
      </w:r>
    </w:p>
    <w:p w14:paraId="31615E17">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_Toc26944 </w:instrText>
      </w:r>
      <w:r>
        <w:rPr>
          <w:sz w:val="21"/>
          <w:szCs w:val="21"/>
        </w:rPr>
        <w:fldChar w:fldCharType="separate"/>
      </w:r>
      <w:r>
        <w:rPr>
          <w:rFonts w:hint="eastAsia" w:ascii="宋体" w:hAnsi="宋体" w:cs="宋体"/>
          <w:sz w:val="21"/>
          <w:szCs w:val="32"/>
        </w:rPr>
        <w:t>一、投标文件封面</w:t>
      </w:r>
      <w:r>
        <w:rPr>
          <w:sz w:val="21"/>
          <w:szCs w:val="21"/>
        </w:rPr>
        <w:tab/>
      </w:r>
      <w:r>
        <w:rPr>
          <w:sz w:val="21"/>
          <w:szCs w:val="21"/>
        </w:rPr>
        <w:fldChar w:fldCharType="begin"/>
      </w:r>
      <w:r>
        <w:rPr>
          <w:sz w:val="21"/>
          <w:szCs w:val="21"/>
        </w:rPr>
        <w:instrText xml:space="preserve"> PAGEREF _Toc26944 \h </w:instrText>
      </w:r>
      <w:r>
        <w:rPr>
          <w:sz w:val="21"/>
          <w:szCs w:val="21"/>
        </w:rPr>
        <w:fldChar w:fldCharType="separate"/>
      </w:r>
      <w:r>
        <w:rPr>
          <w:sz w:val="21"/>
          <w:szCs w:val="21"/>
        </w:rPr>
        <w:t>48</w:t>
      </w:r>
      <w:r>
        <w:rPr>
          <w:sz w:val="21"/>
          <w:szCs w:val="21"/>
        </w:rPr>
        <w:fldChar w:fldCharType="end"/>
      </w:r>
      <w:r>
        <w:rPr>
          <w:sz w:val="21"/>
          <w:szCs w:val="21"/>
        </w:rPr>
        <w:fldChar w:fldCharType="end"/>
      </w:r>
    </w:p>
    <w:p w14:paraId="3B492B5B">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_Toc4316 </w:instrText>
      </w:r>
      <w:r>
        <w:rPr>
          <w:sz w:val="21"/>
          <w:szCs w:val="21"/>
        </w:rPr>
        <w:fldChar w:fldCharType="separate"/>
      </w:r>
      <w:r>
        <w:rPr>
          <w:rFonts w:hint="eastAsia" w:ascii="宋体" w:hAnsi="宋体" w:cs="宋体"/>
          <w:bCs w:val="0"/>
          <w:kern w:val="2"/>
          <w:sz w:val="21"/>
          <w:szCs w:val="32"/>
          <w:lang w:val="en-US" w:eastAsia="zh-CN"/>
        </w:rPr>
        <w:t>二</w:t>
      </w:r>
      <w:r>
        <w:rPr>
          <w:rFonts w:hint="eastAsia" w:ascii="宋体" w:hAnsi="宋体" w:cs="宋体"/>
          <w:bCs w:val="0"/>
          <w:kern w:val="2"/>
          <w:sz w:val="21"/>
          <w:szCs w:val="32"/>
        </w:rPr>
        <w:t>、</w:t>
      </w:r>
      <w:r>
        <w:rPr>
          <w:rFonts w:hint="eastAsia" w:ascii="宋体" w:hAnsi="宋体" w:eastAsia="宋体" w:cs="宋体"/>
          <w:bCs w:val="0"/>
          <w:kern w:val="2"/>
          <w:sz w:val="21"/>
          <w:szCs w:val="32"/>
          <w:lang w:val="en-US" w:eastAsia="zh-CN" w:bidi="ar-SA"/>
        </w:rPr>
        <w:t>投 标 函</w:t>
      </w:r>
      <w:r>
        <w:rPr>
          <w:sz w:val="21"/>
          <w:szCs w:val="21"/>
        </w:rPr>
        <w:tab/>
      </w:r>
      <w:r>
        <w:rPr>
          <w:sz w:val="21"/>
          <w:szCs w:val="21"/>
        </w:rPr>
        <w:fldChar w:fldCharType="begin"/>
      </w:r>
      <w:r>
        <w:rPr>
          <w:sz w:val="21"/>
          <w:szCs w:val="21"/>
        </w:rPr>
        <w:instrText xml:space="preserve"> PAGEREF _Toc4316 \h </w:instrText>
      </w:r>
      <w:r>
        <w:rPr>
          <w:sz w:val="21"/>
          <w:szCs w:val="21"/>
        </w:rPr>
        <w:fldChar w:fldCharType="separate"/>
      </w:r>
      <w:r>
        <w:rPr>
          <w:sz w:val="21"/>
          <w:szCs w:val="21"/>
        </w:rPr>
        <w:t>49</w:t>
      </w:r>
      <w:r>
        <w:rPr>
          <w:sz w:val="21"/>
          <w:szCs w:val="21"/>
        </w:rPr>
        <w:fldChar w:fldCharType="end"/>
      </w:r>
      <w:r>
        <w:rPr>
          <w:sz w:val="21"/>
          <w:szCs w:val="21"/>
        </w:rPr>
        <w:fldChar w:fldCharType="end"/>
      </w:r>
    </w:p>
    <w:p w14:paraId="2B27C777">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_Toc24899 </w:instrText>
      </w:r>
      <w:r>
        <w:rPr>
          <w:sz w:val="21"/>
          <w:szCs w:val="21"/>
        </w:rPr>
        <w:fldChar w:fldCharType="separate"/>
      </w:r>
      <w:r>
        <w:rPr>
          <w:rFonts w:hint="eastAsia" w:ascii="宋体" w:hAnsi="宋体" w:cs="宋体"/>
          <w:bCs w:val="0"/>
          <w:kern w:val="2"/>
          <w:sz w:val="21"/>
          <w:szCs w:val="32"/>
          <w:lang w:val="en-US" w:eastAsia="zh-CN"/>
        </w:rPr>
        <w:t>三</w:t>
      </w:r>
      <w:r>
        <w:rPr>
          <w:rFonts w:hint="eastAsia" w:ascii="宋体" w:hAnsi="宋体" w:cs="宋体"/>
          <w:bCs w:val="0"/>
          <w:kern w:val="2"/>
          <w:sz w:val="21"/>
          <w:szCs w:val="32"/>
        </w:rPr>
        <w:t>、开标一览表</w:t>
      </w:r>
      <w:r>
        <w:rPr>
          <w:sz w:val="21"/>
          <w:szCs w:val="21"/>
        </w:rPr>
        <w:tab/>
      </w:r>
      <w:r>
        <w:rPr>
          <w:sz w:val="21"/>
          <w:szCs w:val="21"/>
        </w:rPr>
        <w:fldChar w:fldCharType="begin"/>
      </w:r>
      <w:r>
        <w:rPr>
          <w:sz w:val="21"/>
          <w:szCs w:val="21"/>
        </w:rPr>
        <w:instrText xml:space="preserve"> PAGEREF _Toc24899 \h </w:instrText>
      </w:r>
      <w:r>
        <w:rPr>
          <w:sz w:val="21"/>
          <w:szCs w:val="21"/>
        </w:rPr>
        <w:fldChar w:fldCharType="separate"/>
      </w:r>
      <w:r>
        <w:rPr>
          <w:sz w:val="21"/>
          <w:szCs w:val="21"/>
        </w:rPr>
        <w:t>51</w:t>
      </w:r>
      <w:r>
        <w:rPr>
          <w:sz w:val="21"/>
          <w:szCs w:val="21"/>
        </w:rPr>
        <w:fldChar w:fldCharType="end"/>
      </w:r>
      <w:r>
        <w:rPr>
          <w:sz w:val="21"/>
          <w:szCs w:val="21"/>
        </w:rPr>
        <w:fldChar w:fldCharType="end"/>
      </w:r>
    </w:p>
    <w:p w14:paraId="25934F23">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_Toc6666 </w:instrText>
      </w:r>
      <w:r>
        <w:rPr>
          <w:sz w:val="21"/>
          <w:szCs w:val="21"/>
        </w:rPr>
        <w:fldChar w:fldCharType="separate"/>
      </w:r>
      <w:r>
        <w:rPr>
          <w:rFonts w:hint="eastAsia" w:ascii="宋体" w:hAnsi="宋体" w:cs="宋体"/>
          <w:bCs w:val="0"/>
          <w:kern w:val="2"/>
          <w:sz w:val="21"/>
          <w:szCs w:val="32"/>
          <w:lang w:val="en-US" w:eastAsia="zh-CN"/>
        </w:rPr>
        <w:t>四</w:t>
      </w:r>
      <w:r>
        <w:rPr>
          <w:rFonts w:hint="eastAsia" w:ascii="宋体" w:hAnsi="宋体" w:cs="宋体"/>
          <w:bCs w:val="0"/>
          <w:kern w:val="2"/>
          <w:sz w:val="21"/>
          <w:szCs w:val="32"/>
        </w:rPr>
        <w:t>、</w:t>
      </w:r>
      <w:r>
        <w:rPr>
          <w:rFonts w:hint="eastAsia" w:ascii="宋体" w:hAnsi="宋体" w:cs="宋体"/>
          <w:bCs w:val="0"/>
          <w:kern w:val="2"/>
          <w:sz w:val="21"/>
          <w:szCs w:val="32"/>
          <w:lang w:val="en-US" w:eastAsia="zh-CN"/>
        </w:rPr>
        <w:t>报价明细</w:t>
      </w:r>
      <w:r>
        <w:rPr>
          <w:rFonts w:hint="eastAsia" w:ascii="宋体" w:hAnsi="宋体" w:cs="宋体"/>
          <w:bCs w:val="0"/>
          <w:kern w:val="2"/>
          <w:sz w:val="21"/>
          <w:szCs w:val="32"/>
        </w:rPr>
        <w:t>表</w:t>
      </w:r>
      <w:r>
        <w:rPr>
          <w:sz w:val="21"/>
          <w:szCs w:val="21"/>
        </w:rPr>
        <w:tab/>
      </w:r>
      <w:r>
        <w:rPr>
          <w:sz w:val="21"/>
          <w:szCs w:val="21"/>
        </w:rPr>
        <w:fldChar w:fldCharType="begin"/>
      </w:r>
      <w:r>
        <w:rPr>
          <w:sz w:val="21"/>
          <w:szCs w:val="21"/>
        </w:rPr>
        <w:instrText xml:space="preserve"> PAGEREF _Toc6666 \h </w:instrText>
      </w:r>
      <w:r>
        <w:rPr>
          <w:sz w:val="21"/>
          <w:szCs w:val="21"/>
        </w:rPr>
        <w:fldChar w:fldCharType="separate"/>
      </w:r>
      <w:r>
        <w:rPr>
          <w:sz w:val="21"/>
          <w:szCs w:val="21"/>
        </w:rPr>
        <w:t>52</w:t>
      </w:r>
      <w:r>
        <w:rPr>
          <w:sz w:val="21"/>
          <w:szCs w:val="21"/>
        </w:rPr>
        <w:fldChar w:fldCharType="end"/>
      </w:r>
      <w:r>
        <w:rPr>
          <w:sz w:val="21"/>
          <w:szCs w:val="21"/>
        </w:rPr>
        <w:fldChar w:fldCharType="end"/>
      </w:r>
    </w:p>
    <w:p w14:paraId="16A38172">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_Toc12979 </w:instrText>
      </w:r>
      <w:r>
        <w:rPr>
          <w:sz w:val="21"/>
          <w:szCs w:val="21"/>
        </w:rPr>
        <w:fldChar w:fldCharType="separate"/>
      </w:r>
      <w:r>
        <w:rPr>
          <w:rFonts w:hint="eastAsia" w:ascii="宋体" w:hAnsi="宋体" w:cs="宋体"/>
          <w:bCs w:val="0"/>
          <w:kern w:val="2"/>
          <w:sz w:val="21"/>
          <w:szCs w:val="32"/>
          <w:lang w:val="en-US" w:eastAsia="zh-CN"/>
        </w:rPr>
        <w:t>五</w:t>
      </w:r>
      <w:r>
        <w:rPr>
          <w:rFonts w:hint="eastAsia" w:ascii="宋体" w:hAnsi="宋体" w:cs="宋体"/>
          <w:bCs w:val="0"/>
          <w:kern w:val="2"/>
          <w:sz w:val="21"/>
          <w:szCs w:val="32"/>
        </w:rPr>
        <w:t>、投标人资格证明文件</w:t>
      </w:r>
      <w:r>
        <w:rPr>
          <w:sz w:val="21"/>
          <w:szCs w:val="21"/>
        </w:rPr>
        <w:tab/>
      </w:r>
      <w:r>
        <w:rPr>
          <w:sz w:val="21"/>
          <w:szCs w:val="21"/>
        </w:rPr>
        <w:fldChar w:fldCharType="begin"/>
      </w:r>
      <w:r>
        <w:rPr>
          <w:sz w:val="21"/>
          <w:szCs w:val="21"/>
        </w:rPr>
        <w:instrText xml:space="preserve"> PAGEREF _Toc12979 \h </w:instrText>
      </w:r>
      <w:r>
        <w:rPr>
          <w:sz w:val="21"/>
          <w:szCs w:val="21"/>
        </w:rPr>
        <w:fldChar w:fldCharType="separate"/>
      </w:r>
      <w:r>
        <w:rPr>
          <w:sz w:val="21"/>
          <w:szCs w:val="21"/>
        </w:rPr>
        <w:t>53</w:t>
      </w:r>
      <w:r>
        <w:rPr>
          <w:sz w:val="21"/>
          <w:szCs w:val="21"/>
        </w:rPr>
        <w:fldChar w:fldCharType="end"/>
      </w:r>
      <w:r>
        <w:rPr>
          <w:sz w:val="21"/>
          <w:szCs w:val="21"/>
        </w:rPr>
        <w:fldChar w:fldCharType="end"/>
      </w:r>
    </w:p>
    <w:p w14:paraId="434A5C53">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_Toc9740 </w:instrText>
      </w:r>
      <w:r>
        <w:rPr>
          <w:sz w:val="21"/>
          <w:szCs w:val="21"/>
        </w:rPr>
        <w:fldChar w:fldCharType="separate"/>
      </w:r>
      <w:r>
        <w:rPr>
          <w:rFonts w:hint="eastAsia" w:hAnsi="宋体"/>
          <w:kern w:val="2"/>
          <w:sz w:val="21"/>
          <w:szCs w:val="32"/>
          <w:highlight w:val="none"/>
          <w:lang w:val="en-US" w:eastAsia="zh-CN"/>
        </w:rPr>
        <w:t>六</w:t>
      </w:r>
      <w:r>
        <w:rPr>
          <w:rFonts w:hint="eastAsia" w:hAnsi="宋体"/>
          <w:kern w:val="2"/>
          <w:sz w:val="21"/>
          <w:szCs w:val="32"/>
          <w:highlight w:val="none"/>
        </w:rPr>
        <w:t>、投标人及其投标产品的相关资料和业绩证明材料</w:t>
      </w:r>
      <w:r>
        <w:rPr>
          <w:sz w:val="21"/>
          <w:szCs w:val="21"/>
        </w:rPr>
        <w:tab/>
      </w:r>
      <w:r>
        <w:rPr>
          <w:sz w:val="21"/>
          <w:szCs w:val="21"/>
        </w:rPr>
        <w:fldChar w:fldCharType="begin"/>
      </w:r>
      <w:r>
        <w:rPr>
          <w:sz w:val="21"/>
          <w:szCs w:val="21"/>
        </w:rPr>
        <w:instrText xml:space="preserve"> PAGEREF _Toc9740 \h </w:instrText>
      </w:r>
      <w:r>
        <w:rPr>
          <w:sz w:val="21"/>
          <w:szCs w:val="21"/>
        </w:rPr>
        <w:fldChar w:fldCharType="separate"/>
      </w:r>
      <w:r>
        <w:rPr>
          <w:sz w:val="21"/>
          <w:szCs w:val="21"/>
        </w:rPr>
        <w:t>58</w:t>
      </w:r>
      <w:r>
        <w:rPr>
          <w:sz w:val="21"/>
          <w:szCs w:val="21"/>
        </w:rPr>
        <w:fldChar w:fldCharType="end"/>
      </w:r>
      <w:r>
        <w:rPr>
          <w:sz w:val="21"/>
          <w:szCs w:val="21"/>
        </w:rPr>
        <w:fldChar w:fldCharType="end"/>
      </w:r>
    </w:p>
    <w:p w14:paraId="7019C91E">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_Toc13304 </w:instrText>
      </w:r>
      <w:r>
        <w:rPr>
          <w:sz w:val="21"/>
          <w:szCs w:val="21"/>
        </w:rPr>
        <w:fldChar w:fldCharType="separate"/>
      </w:r>
      <w:r>
        <w:rPr>
          <w:rFonts w:hint="eastAsia" w:ascii="宋体" w:hAnsi="宋体" w:cs="宋体"/>
          <w:bCs w:val="0"/>
          <w:kern w:val="2"/>
          <w:sz w:val="21"/>
          <w:szCs w:val="32"/>
          <w:lang w:val="en-US" w:eastAsia="zh-CN"/>
        </w:rPr>
        <w:t>七</w:t>
      </w:r>
      <w:r>
        <w:rPr>
          <w:rFonts w:hint="eastAsia" w:ascii="宋体" w:hAnsi="宋体" w:cs="宋体"/>
          <w:bCs w:val="0"/>
          <w:kern w:val="2"/>
          <w:sz w:val="21"/>
          <w:szCs w:val="32"/>
        </w:rPr>
        <w:t>、商务响应表</w:t>
      </w:r>
      <w:r>
        <w:rPr>
          <w:sz w:val="21"/>
          <w:szCs w:val="21"/>
        </w:rPr>
        <w:tab/>
      </w:r>
      <w:r>
        <w:rPr>
          <w:sz w:val="21"/>
          <w:szCs w:val="21"/>
        </w:rPr>
        <w:fldChar w:fldCharType="begin"/>
      </w:r>
      <w:r>
        <w:rPr>
          <w:sz w:val="21"/>
          <w:szCs w:val="21"/>
        </w:rPr>
        <w:instrText xml:space="preserve"> PAGEREF _Toc13304 \h </w:instrText>
      </w:r>
      <w:r>
        <w:rPr>
          <w:sz w:val="21"/>
          <w:szCs w:val="21"/>
        </w:rPr>
        <w:fldChar w:fldCharType="separate"/>
      </w:r>
      <w:r>
        <w:rPr>
          <w:sz w:val="21"/>
          <w:szCs w:val="21"/>
        </w:rPr>
        <w:t>59</w:t>
      </w:r>
      <w:r>
        <w:rPr>
          <w:sz w:val="21"/>
          <w:szCs w:val="21"/>
        </w:rPr>
        <w:fldChar w:fldCharType="end"/>
      </w:r>
      <w:r>
        <w:rPr>
          <w:sz w:val="21"/>
          <w:szCs w:val="21"/>
        </w:rPr>
        <w:fldChar w:fldCharType="end"/>
      </w:r>
    </w:p>
    <w:p w14:paraId="3459D7D9">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_Toc122 </w:instrText>
      </w:r>
      <w:r>
        <w:rPr>
          <w:sz w:val="21"/>
          <w:szCs w:val="21"/>
        </w:rPr>
        <w:fldChar w:fldCharType="separate"/>
      </w:r>
      <w:r>
        <w:rPr>
          <w:rFonts w:hint="eastAsia"/>
          <w:sz w:val="21"/>
          <w:szCs w:val="32"/>
          <w:highlight w:val="none"/>
          <w:lang w:val="en-US" w:eastAsia="zh-CN"/>
        </w:rPr>
        <w:t>八</w:t>
      </w:r>
      <w:r>
        <w:rPr>
          <w:rFonts w:hint="eastAsia"/>
          <w:sz w:val="21"/>
          <w:szCs w:val="32"/>
          <w:highlight w:val="none"/>
        </w:rPr>
        <w:t>、</w:t>
      </w:r>
      <w:r>
        <w:rPr>
          <w:rFonts w:hint="eastAsia"/>
          <w:bCs/>
          <w:sz w:val="21"/>
          <w:szCs w:val="32"/>
          <w:highlight w:val="none"/>
        </w:rPr>
        <w:t>售后服务承诺</w:t>
      </w:r>
      <w:r>
        <w:rPr>
          <w:sz w:val="21"/>
          <w:szCs w:val="21"/>
        </w:rPr>
        <w:tab/>
      </w:r>
      <w:r>
        <w:rPr>
          <w:sz w:val="21"/>
          <w:szCs w:val="21"/>
        </w:rPr>
        <w:fldChar w:fldCharType="begin"/>
      </w:r>
      <w:r>
        <w:rPr>
          <w:sz w:val="21"/>
          <w:szCs w:val="21"/>
        </w:rPr>
        <w:instrText xml:space="preserve"> PAGEREF _Toc122 \h </w:instrText>
      </w:r>
      <w:r>
        <w:rPr>
          <w:sz w:val="21"/>
          <w:szCs w:val="21"/>
        </w:rPr>
        <w:fldChar w:fldCharType="separate"/>
      </w:r>
      <w:r>
        <w:rPr>
          <w:sz w:val="21"/>
          <w:szCs w:val="21"/>
        </w:rPr>
        <w:t>60</w:t>
      </w:r>
      <w:r>
        <w:rPr>
          <w:sz w:val="21"/>
          <w:szCs w:val="21"/>
        </w:rPr>
        <w:fldChar w:fldCharType="end"/>
      </w:r>
      <w:r>
        <w:rPr>
          <w:sz w:val="21"/>
          <w:szCs w:val="21"/>
        </w:rPr>
        <w:fldChar w:fldCharType="end"/>
      </w:r>
    </w:p>
    <w:p w14:paraId="17B68638">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_Toc9110 </w:instrText>
      </w:r>
      <w:r>
        <w:rPr>
          <w:sz w:val="21"/>
          <w:szCs w:val="21"/>
        </w:rPr>
        <w:fldChar w:fldCharType="separate"/>
      </w:r>
      <w:r>
        <w:rPr>
          <w:rFonts w:hint="eastAsia" w:ascii="宋体" w:hAnsi="宋体" w:cs="宋体"/>
          <w:bCs/>
          <w:kern w:val="2"/>
          <w:sz w:val="21"/>
          <w:szCs w:val="32"/>
          <w:lang w:val="en-US" w:eastAsia="zh-CN"/>
        </w:rPr>
        <w:t>九</w:t>
      </w:r>
      <w:r>
        <w:rPr>
          <w:rFonts w:hint="eastAsia" w:ascii="宋体" w:hAnsi="宋体" w:cs="宋体"/>
          <w:bCs/>
          <w:kern w:val="2"/>
          <w:sz w:val="21"/>
          <w:szCs w:val="32"/>
        </w:rPr>
        <w:t>、</w:t>
      </w:r>
      <w:r>
        <w:rPr>
          <w:rFonts w:hint="eastAsia" w:hAnsi="宋体"/>
          <w:bCs/>
          <w:sz w:val="21"/>
          <w:szCs w:val="32"/>
          <w:highlight w:val="none"/>
          <w:lang w:eastAsia="zh-CN"/>
        </w:rPr>
        <w:t>技术响应表</w:t>
      </w:r>
      <w:r>
        <w:rPr>
          <w:sz w:val="21"/>
          <w:szCs w:val="21"/>
        </w:rPr>
        <w:tab/>
      </w:r>
      <w:r>
        <w:rPr>
          <w:sz w:val="21"/>
          <w:szCs w:val="21"/>
        </w:rPr>
        <w:fldChar w:fldCharType="begin"/>
      </w:r>
      <w:r>
        <w:rPr>
          <w:sz w:val="21"/>
          <w:szCs w:val="21"/>
        </w:rPr>
        <w:instrText xml:space="preserve"> PAGEREF _Toc9110 \h </w:instrText>
      </w:r>
      <w:r>
        <w:rPr>
          <w:sz w:val="21"/>
          <w:szCs w:val="21"/>
        </w:rPr>
        <w:fldChar w:fldCharType="separate"/>
      </w:r>
      <w:r>
        <w:rPr>
          <w:sz w:val="21"/>
          <w:szCs w:val="21"/>
        </w:rPr>
        <w:t>61</w:t>
      </w:r>
      <w:r>
        <w:rPr>
          <w:sz w:val="21"/>
          <w:szCs w:val="21"/>
        </w:rPr>
        <w:fldChar w:fldCharType="end"/>
      </w:r>
      <w:r>
        <w:rPr>
          <w:sz w:val="21"/>
          <w:szCs w:val="21"/>
        </w:rPr>
        <w:fldChar w:fldCharType="end"/>
      </w:r>
    </w:p>
    <w:p w14:paraId="7800A16A">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_Toc7688 </w:instrText>
      </w:r>
      <w:r>
        <w:rPr>
          <w:sz w:val="21"/>
          <w:szCs w:val="21"/>
        </w:rPr>
        <w:fldChar w:fldCharType="separate"/>
      </w:r>
      <w:r>
        <w:rPr>
          <w:rFonts w:hint="eastAsia" w:ascii="宋体" w:hAnsi="宋体" w:cs="宋体"/>
          <w:bCs/>
          <w:kern w:val="2"/>
          <w:sz w:val="21"/>
          <w:szCs w:val="32"/>
          <w:lang w:val="en-US" w:eastAsia="zh-CN"/>
        </w:rPr>
        <w:t>十</w:t>
      </w:r>
      <w:r>
        <w:rPr>
          <w:rFonts w:hint="eastAsia" w:ascii="宋体" w:hAnsi="宋体" w:cs="宋体"/>
          <w:bCs/>
          <w:kern w:val="2"/>
          <w:sz w:val="21"/>
          <w:szCs w:val="32"/>
        </w:rPr>
        <w:t>、</w:t>
      </w:r>
      <w:r>
        <w:rPr>
          <w:rFonts w:hint="eastAsia" w:ascii="宋体" w:hAnsi="宋体" w:eastAsia="宋体"/>
          <w:bCs/>
          <w:sz w:val="21"/>
          <w:szCs w:val="32"/>
          <w:highlight w:val="none"/>
          <w:lang w:eastAsia="zh-CN"/>
        </w:rPr>
        <w:t>投标产品详细配置</w:t>
      </w:r>
      <w:r>
        <w:rPr>
          <w:sz w:val="21"/>
          <w:szCs w:val="21"/>
        </w:rPr>
        <w:tab/>
      </w:r>
      <w:r>
        <w:rPr>
          <w:sz w:val="21"/>
          <w:szCs w:val="21"/>
        </w:rPr>
        <w:fldChar w:fldCharType="begin"/>
      </w:r>
      <w:r>
        <w:rPr>
          <w:sz w:val="21"/>
          <w:szCs w:val="21"/>
        </w:rPr>
        <w:instrText xml:space="preserve"> PAGEREF _Toc7688 \h </w:instrText>
      </w:r>
      <w:r>
        <w:rPr>
          <w:sz w:val="21"/>
          <w:szCs w:val="21"/>
        </w:rPr>
        <w:fldChar w:fldCharType="separate"/>
      </w:r>
      <w:r>
        <w:rPr>
          <w:sz w:val="21"/>
          <w:szCs w:val="21"/>
        </w:rPr>
        <w:t>62</w:t>
      </w:r>
      <w:r>
        <w:rPr>
          <w:sz w:val="21"/>
          <w:szCs w:val="21"/>
        </w:rPr>
        <w:fldChar w:fldCharType="end"/>
      </w:r>
      <w:r>
        <w:rPr>
          <w:sz w:val="21"/>
          <w:szCs w:val="21"/>
        </w:rPr>
        <w:fldChar w:fldCharType="end"/>
      </w:r>
    </w:p>
    <w:p w14:paraId="18D63B8A">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sz w:val="21"/>
          <w:szCs w:val="21"/>
        </w:rPr>
        <w:fldChar w:fldCharType="begin"/>
      </w:r>
      <w:r>
        <w:rPr>
          <w:sz w:val="21"/>
          <w:szCs w:val="21"/>
        </w:rPr>
        <w:instrText xml:space="preserve"> HYPERLINK \l _Toc23995 </w:instrText>
      </w:r>
      <w:r>
        <w:rPr>
          <w:sz w:val="21"/>
          <w:szCs w:val="21"/>
        </w:rPr>
        <w:fldChar w:fldCharType="separate"/>
      </w:r>
      <w:r>
        <w:rPr>
          <w:rFonts w:hint="eastAsia" w:ascii="宋体"/>
          <w:bCs/>
          <w:kern w:val="0"/>
          <w:sz w:val="21"/>
          <w:szCs w:val="40"/>
        </w:rPr>
        <w:t xml:space="preserve">第六章 </w:t>
      </w:r>
      <w:r>
        <w:rPr>
          <w:rFonts w:hint="eastAsia" w:ascii="宋体" w:hAnsi="宋体" w:cs="宋体"/>
          <w:bCs/>
          <w:kern w:val="0"/>
          <w:sz w:val="21"/>
          <w:szCs w:val="40"/>
        </w:rPr>
        <w:t>政府采购合同（以实际签订的合同为准）</w:t>
      </w:r>
      <w:r>
        <w:rPr>
          <w:sz w:val="21"/>
          <w:szCs w:val="21"/>
        </w:rPr>
        <w:tab/>
      </w:r>
      <w:r>
        <w:rPr>
          <w:sz w:val="21"/>
          <w:szCs w:val="21"/>
        </w:rPr>
        <w:fldChar w:fldCharType="begin"/>
      </w:r>
      <w:r>
        <w:rPr>
          <w:sz w:val="21"/>
          <w:szCs w:val="21"/>
        </w:rPr>
        <w:instrText xml:space="preserve"> PAGEREF _Toc23995 \h </w:instrText>
      </w:r>
      <w:r>
        <w:rPr>
          <w:sz w:val="21"/>
          <w:szCs w:val="21"/>
        </w:rPr>
        <w:fldChar w:fldCharType="separate"/>
      </w:r>
      <w:r>
        <w:rPr>
          <w:sz w:val="21"/>
          <w:szCs w:val="21"/>
        </w:rPr>
        <w:t>63</w:t>
      </w:r>
      <w:r>
        <w:rPr>
          <w:sz w:val="21"/>
          <w:szCs w:val="21"/>
        </w:rPr>
        <w:fldChar w:fldCharType="end"/>
      </w:r>
      <w:r>
        <w:rPr>
          <w:sz w:val="21"/>
          <w:szCs w:val="21"/>
        </w:rPr>
        <w:fldChar w:fldCharType="end"/>
      </w:r>
    </w:p>
    <w:p w14:paraId="3A127A0E">
      <w:pPr>
        <w:rPr>
          <w:rFonts w:ascii="宋体"/>
          <w:sz w:val="22"/>
          <w:szCs w:val="22"/>
        </w:rPr>
      </w:pPr>
      <w:r>
        <w:fldChar w:fldCharType="end"/>
      </w:r>
    </w:p>
    <w:p w14:paraId="149237C9">
      <w:pPr>
        <w:spacing w:line="360" w:lineRule="exact"/>
        <w:rPr>
          <w:rFonts w:ascii="宋体"/>
          <w:sz w:val="22"/>
          <w:szCs w:val="22"/>
        </w:rPr>
      </w:pPr>
    </w:p>
    <w:p w14:paraId="270642C3">
      <w:pPr>
        <w:spacing w:line="360" w:lineRule="exact"/>
        <w:rPr>
          <w:rFonts w:ascii="宋体"/>
          <w:sz w:val="22"/>
          <w:szCs w:val="22"/>
        </w:rPr>
      </w:pPr>
    </w:p>
    <w:p w14:paraId="7C532A11">
      <w:pPr>
        <w:spacing w:line="360" w:lineRule="exact"/>
        <w:rPr>
          <w:rFonts w:ascii="宋体"/>
          <w:b/>
          <w:bCs/>
          <w:sz w:val="36"/>
          <w:szCs w:val="36"/>
        </w:rPr>
      </w:pPr>
      <w:r>
        <w:rPr>
          <w:rFonts w:hint="eastAsia" w:ascii="宋体" w:hAnsi="宋体" w:cs="宋体"/>
          <w:b/>
          <w:bCs/>
          <w:sz w:val="36"/>
          <w:szCs w:val="36"/>
        </w:rPr>
        <w:t>特别提示：</w:t>
      </w:r>
    </w:p>
    <w:p w14:paraId="769F4664">
      <w:pPr>
        <w:pStyle w:val="4"/>
        <w:adjustRightInd w:val="0"/>
        <w:snapToGrid w:val="0"/>
        <w:spacing w:line="360" w:lineRule="auto"/>
        <w:ind w:firstLine="708" w:firstLineChars="196"/>
        <w:rPr>
          <w:rFonts w:ascii="宋体"/>
          <w:b/>
          <w:bCs/>
          <w:sz w:val="36"/>
          <w:szCs w:val="36"/>
        </w:rPr>
      </w:pPr>
    </w:p>
    <w:p w14:paraId="4A518835">
      <w:pPr>
        <w:pStyle w:val="4"/>
        <w:adjustRightInd w:val="0"/>
        <w:snapToGrid w:val="0"/>
        <w:spacing w:line="360" w:lineRule="auto"/>
        <w:ind w:firstLine="708" w:firstLineChars="196"/>
        <w:rPr>
          <w:rFonts w:ascii="宋体"/>
          <w:b/>
          <w:bCs/>
          <w:sz w:val="56"/>
          <w:szCs w:val="56"/>
        </w:rPr>
      </w:pPr>
      <w:r>
        <w:rPr>
          <w:rFonts w:hint="eastAsia" w:ascii="宋体" w:hAnsi="宋体" w:cs="宋体"/>
          <w:b/>
          <w:bCs/>
          <w:sz w:val="36"/>
          <w:szCs w:val="36"/>
        </w:rPr>
        <w:t>请各参与项目的供应商认真阅读招标文件的所有条款，严格按规定的交易流程完成各阶段的投标工作，及时查看甘肃省政府采购网上的关于该项目相关信息，否则造成后果由投标人自负。</w:t>
      </w:r>
    </w:p>
    <w:bookmarkEnd w:id="0"/>
    <w:p w14:paraId="217DA695">
      <w:pPr>
        <w:pStyle w:val="44"/>
        <w:ind w:firstLine="31680"/>
      </w:pPr>
    </w:p>
    <w:p w14:paraId="24118921">
      <w:pPr>
        <w:numPr>
          <w:ilvl w:val="0"/>
          <w:numId w:val="2"/>
        </w:numPr>
        <w:spacing w:line="640" w:lineRule="exact"/>
        <w:jc w:val="center"/>
        <w:outlineLvl w:val="0"/>
        <w:rPr>
          <w:rFonts w:ascii="宋体"/>
          <w:b/>
          <w:bCs/>
          <w:sz w:val="36"/>
          <w:szCs w:val="36"/>
        </w:rPr>
      </w:pPr>
      <w:r>
        <w:rPr>
          <w:rFonts w:ascii="宋体"/>
          <w:sz w:val="32"/>
          <w:szCs w:val="32"/>
        </w:rPr>
        <w:br w:type="page"/>
      </w:r>
      <w:bookmarkStart w:id="2" w:name="_Toc7612"/>
      <w:bookmarkStart w:id="3" w:name="_Toc484102374"/>
      <w:bookmarkStart w:id="4" w:name="_Toc10913"/>
      <w:r>
        <w:rPr>
          <w:rFonts w:ascii="宋体" w:hAnsi="宋体" w:cs="宋体"/>
          <w:b/>
          <w:bCs/>
          <w:sz w:val="36"/>
          <w:szCs w:val="36"/>
        </w:rPr>
        <w:t xml:space="preserve"> </w:t>
      </w:r>
      <w:bookmarkStart w:id="5" w:name="_Toc32708"/>
      <w:bookmarkStart w:id="6" w:name="_Toc6782"/>
      <w:bookmarkStart w:id="7" w:name="_Toc1120"/>
      <w:r>
        <w:rPr>
          <w:rFonts w:hint="eastAsia" w:ascii="宋体" w:hAnsi="宋体" w:cs="宋体"/>
          <w:b/>
          <w:bCs/>
          <w:sz w:val="36"/>
          <w:szCs w:val="36"/>
        </w:rPr>
        <w:t>招标公告</w:t>
      </w:r>
      <w:bookmarkEnd w:id="1"/>
      <w:bookmarkEnd w:id="2"/>
      <w:bookmarkEnd w:id="3"/>
      <w:bookmarkEnd w:id="4"/>
      <w:bookmarkEnd w:id="5"/>
      <w:bookmarkEnd w:id="6"/>
      <w:bookmarkEnd w:id="7"/>
      <w:bookmarkStart w:id="8" w:name="_Toc373314696"/>
    </w:p>
    <w:p w14:paraId="3512963C">
      <w:pPr>
        <w:keepNext w:val="0"/>
        <w:keepLines w:val="0"/>
        <w:widowControl/>
        <w:suppressLineNumbers w:val="0"/>
        <w:spacing w:before="75" w:beforeAutospacing="0" w:after="75" w:afterAutospacing="0"/>
        <w:ind w:left="0" w:right="0" w:firstLine="420"/>
        <w:jc w:val="center"/>
        <w:rPr>
          <w:rFonts w:ascii="Tahoma" w:hAnsi="Tahoma" w:eastAsia="Tahoma" w:cs="Tahoma"/>
          <w:b/>
          <w:bCs/>
          <w:i w:val="0"/>
          <w:iCs w:val="0"/>
          <w:caps w:val="0"/>
          <w:color w:val="000000"/>
          <w:spacing w:val="0"/>
          <w:sz w:val="36"/>
          <w:szCs w:val="36"/>
        </w:rPr>
      </w:pPr>
      <w:r>
        <w:rPr>
          <w:rFonts w:hint="default" w:ascii="Tahoma" w:hAnsi="Tahoma" w:eastAsia="Tahoma" w:cs="Tahoma"/>
          <w:b/>
          <w:bCs/>
          <w:i w:val="0"/>
          <w:iCs w:val="0"/>
          <w:caps w:val="0"/>
          <w:color w:val="000000"/>
          <w:spacing w:val="0"/>
          <w:kern w:val="0"/>
          <w:sz w:val="36"/>
          <w:szCs w:val="36"/>
          <w:lang w:val="en-US" w:eastAsia="zh-CN" w:bidi="ar"/>
        </w:rPr>
        <w:t>陇南市司法局行政复议信息化建设项目公开招标公告</w:t>
      </w:r>
    </w:p>
    <w:p w14:paraId="46938D76">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18"/>
          <w:szCs w:val="18"/>
        </w:rPr>
      </w:pPr>
    </w:p>
    <w:p w14:paraId="013B41A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u w:val="single"/>
          <w:lang w:val="en-US" w:eastAsia="zh-CN" w:bidi="ar"/>
        </w:rPr>
        <w:t>陇南市司法局</w:t>
      </w:r>
      <w:r>
        <w:rPr>
          <w:rFonts w:hint="default" w:ascii="Tahoma" w:hAnsi="Tahoma" w:eastAsia="Tahoma" w:cs="Tahoma"/>
          <w:i w:val="0"/>
          <w:iCs w:val="0"/>
          <w:caps w:val="0"/>
          <w:color w:val="000000"/>
          <w:spacing w:val="0"/>
          <w:kern w:val="0"/>
          <w:sz w:val="18"/>
          <w:szCs w:val="18"/>
          <w:lang w:val="en-US" w:eastAsia="zh-CN" w:bidi="ar"/>
        </w:rPr>
        <w:t>招标项目的潜在投标人应在</w:t>
      </w:r>
      <w:r>
        <w:rPr>
          <w:rFonts w:hint="default" w:ascii="Tahoma" w:hAnsi="Tahoma" w:eastAsia="Tahoma" w:cs="Tahoma"/>
          <w:i w:val="0"/>
          <w:iCs w:val="0"/>
          <w:caps w:val="0"/>
          <w:color w:val="000000"/>
          <w:spacing w:val="0"/>
          <w:kern w:val="0"/>
          <w:sz w:val="18"/>
          <w:szCs w:val="18"/>
          <w:u w:val="single"/>
          <w:lang w:val="en-US" w:eastAsia="zh-CN" w:bidi="ar"/>
        </w:rPr>
        <w:t>陇南市公共资源交易网（网址：http://60.164.200.102/）免费下载</w:t>
      </w:r>
      <w:r>
        <w:rPr>
          <w:rFonts w:hint="default" w:ascii="Tahoma" w:hAnsi="Tahoma" w:eastAsia="Tahoma" w:cs="Tahoma"/>
          <w:i w:val="0"/>
          <w:iCs w:val="0"/>
          <w:caps w:val="0"/>
          <w:color w:val="000000"/>
          <w:spacing w:val="0"/>
          <w:kern w:val="0"/>
          <w:sz w:val="18"/>
          <w:szCs w:val="18"/>
          <w:lang w:val="en-US" w:eastAsia="zh-CN" w:bidi="ar"/>
        </w:rPr>
        <w:t>获取招标文件，并于</w:t>
      </w:r>
      <w:r>
        <w:rPr>
          <w:rFonts w:hint="default" w:ascii="Tahoma" w:hAnsi="Tahoma" w:eastAsia="Tahoma" w:cs="Tahoma"/>
          <w:i w:val="0"/>
          <w:iCs w:val="0"/>
          <w:caps w:val="0"/>
          <w:color w:val="000000"/>
          <w:spacing w:val="0"/>
          <w:kern w:val="0"/>
          <w:sz w:val="18"/>
          <w:szCs w:val="18"/>
          <w:u w:val="single"/>
          <w:lang w:val="en-US" w:eastAsia="zh-CN" w:bidi="ar"/>
        </w:rPr>
        <w:t>2024-08-19 15:00:00</w:t>
      </w:r>
      <w:r>
        <w:rPr>
          <w:rFonts w:hint="default" w:ascii="Tahoma" w:hAnsi="Tahoma" w:eastAsia="Tahoma" w:cs="Tahoma"/>
          <w:i w:val="0"/>
          <w:iCs w:val="0"/>
          <w:caps w:val="0"/>
          <w:color w:val="000000"/>
          <w:spacing w:val="0"/>
          <w:kern w:val="0"/>
          <w:sz w:val="18"/>
          <w:szCs w:val="18"/>
          <w:lang w:val="en-US" w:eastAsia="zh-CN" w:bidi="ar"/>
        </w:rPr>
        <w:t>（北京时间）前递交投标文件。</w:t>
      </w:r>
    </w:p>
    <w:p w14:paraId="65ACEF1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一、项目基本情况</w:t>
      </w:r>
    </w:p>
    <w:p w14:paraId="4E505D1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项目编号：111001JH6212037</w:t>
      </w:r>
    </w:p>
    <w:p w14:paraId="4C5C340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项目名称：陇南市司法局行政复议信息化建设项目</w:t>
      </w:r>
    </w:p>
    <w:p w14:paraId="4DDC631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预算金额：90.000000(万元)</w:t>
      </w:r>
    </w:p>
    <w:p w14:paraId="3B121FE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最高限价：90.000000(万元)</w:t>
      </w:r>
    </w:p>
    <w:p w14:paraId="31F8AB5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采购需求：详见文件及附表。</w:t>
      </w:r>
    </w:p>
    <w:p w14:paraId="6B13438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合同履行期限：按合同约定执行</w:t>
      </w:r>
    </w:p>
    <w:p w14:paraId="0D8C725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本项目（是/否）接受联合体投标：否</w:t>
      </w:r>
    </w:p>
    <w:p w14:paraId="6F1250A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二、申请人的资格要求</w:t>
      </w:r>
    </w:p>
    <w:p w14:paraId="226CE81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1.（1）必须符合《中华人民共和国政府采购法》第二十二条之规定，并提供《中华人民共和国政府采购法实施条例》第十七条所要求的材料。 （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以招标公告发布之日起至投标截止时间前在“信用中国”网站[www.creditchina.gov.cn]、中国政府采购网[www.ccgp.gov.cn]查询结果为准，如相关失信记录已失效，投标人需提供相关证明资料）。 （3）本项目不接受联合体投标。</w:t>
      </w:r>
    </w:p>
    <w:p w14:paraId="695DBF7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落实政府采购政策需满足的资格要求：《政府采购促进中小企业发展管理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785C4D8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3.本项目的特定资格要求：无</w:t>
      </w:r>
      <w:bookmarkStart w:id="138" w:name="_GoBack"/>
      <w:bookmarkEnd w:id="138"/>
    </w:p>
    <w:p w14:paraId="574D90E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三、获取招标文件</w:t>
      </w:r>
    </w:p>
    <w:p w14:paraId="7D5F5E9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w:t>
      </w:r>
      <w:r>
        <w:rPr>
          <w:rFonts w:hint="default" w:ascii="Tahoma" w:hAnsi="Tahoma" w:eastAsia="Tahoma" w:cs="Tahoma"/>
          <w:i w:val="0"/>
          <w:iCs w:val="0"/>
          <w:caps w:val="0"/>
          <w:color w:val="000000"/>
          <w:spacing w:val="0"/>
          <w:kern w:val="0"/>
          <w:sz w:val="18"/>
          <w:szCs w:val="18"/>
          <w:u w:val="single"/>
          <w:lang w:val="en-US" w:eastAsia="zh-CN" w:bidi="ar"/>
        </w:rPr>
        <w:t>2024-07-29</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2024-08-02</w:t>
      </w:r>
      <w:r>
        <w:rPr>
          <w:rFonts w:hint="default" w:ascii="Tahoma" w:hAnsi="Tahoma" w:eastAsia="Tahoma" w:cs="Tahoma"/>
          <w:i w:val="0"/>
          <w:iCs w:val="0"/>
          <w:caps w:val="0"/>
          <w:color w:val="000000"/>
          <w:spacing w:val="0"/>
          <w:kern w:val="0"/>
          <w:sz w:val="18"/>
          <w:szCs w:val="18"/>
          <w:lang w:val="en-US" w:eastAsia="zh-CN" w:bidi="ar"/>
        </w:rPr>
        <w:t>，每天上午</w:t>
      </w:r>
      <w:r>
        <w:rPr>
          <w:rFonts w:hint="default" w:ascii="Tahoma" w:hAnsi="Tahoma" w:eastAsia="Tahoma" w:cs="Tahoma"/>
          <w:i w:val="0"/>
          <w:iCs w:val="0"/>
          <w:caps w:val="0"/>
          <w:color w:val="000000"/>
          <w:spacing w:val="0"/>
          <w:kern w:val="0"/>
          <w:sz w:val="18"/>
          <w:szCs w:val="18"/>
          <w:u w:val="single"/>
          <w:lang w:val="en-US" w:eastAsia="zh-CN" w:bidi="ar"/>
        </w:rPr>
        <w:t>8:30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，下午</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17:30</w:t>
      </w:r>
    </w:p>
    <w:p w14:paraId="66B8FD5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地点：陇南市公共资源交易网（网址：http://60.164.200.102/）免费下载</w:t>
      </w:r>
    </w:p>
    <w:p w14:paraId="72AD0E8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方式：1、社会公众可通过陇南市公共资源交易网免费下载或查阅招标文件，拟参与本项目的潜在投标人在获取期限内，凭CA证书登录陇南市公共资源交易网在线免费下载招标文件，并点击“我要投标”按要求填写信息，未填写信息的投标无效。 2、请潜在投标人随时关注甘肃政府采购网及陇南市公共资源交易网本项目相关变更公告及澄清答疑文件，否则由变更引起的相关责任自负。</w:t>
      </w:r>
    </w:p>
    <w:p w14:paraId="4CFC17D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售价：0(元)</w:t>
      </w:r>
    </w:p>
    <w:p w14:paraId="7A057DF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四、提交投标文件截止时间、开标时间和地点</w:t>
      </w:r>
    </w:p>
    <w:p w14:paraId="0C83715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时间：2024-08-19 15:00:00</w:t>
      </w:r>
    </w:p>
    <w:p w14:paraId="30C3025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地点：陇南市公共资源交易中心网络开标直播二厅第2坐席（陇南市行政中心5号楼环保大厦）</w:t>
      </w:r>
    </w:p>
    <w:p w14:paraId="775D515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五、公告期限</w:t>
      </w:r>
    </w:p>
    <w:p w14:paraId="24690BF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自本公告发布之日起5个工作日。</w:t>
      </w:r>
    </w:p>
    <w:p w14:paraId="45AB61B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六、其他补充事宜</w:t>
      </w:r>
    </w:p>
    <w:p w14:paraId="5549D0E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无</w:t>
      </w:r>
    </w:p>
    <w:p w14:paraId="13F75AF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①陇南市公共资源交易网：http://60.164.200.102/</w:t>
      </w:r>
    </w:p>
    <w:p w14:paraId="033F751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②信用中国”网站：https://www.creditchina.gov.cn</w:t>
      </w:r>
    </w:p>
    <w:p w14:paraId="248EF3B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③中国政府采购网网址：http://www.ccgp.gov.cn/</w:t>
      </w:r>
    </w:p>
    <w:p w14:paraId="6BA2963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七、对本次招标提出询问，请按以下方式联系</w:t>
      </w:r>
    </w:p>
    <w:p w14:paraId="3992409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1.采购人信息</w:t>
      </w:r>
    </w:p>
    <w:p w14:paraId="4969581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陇南市司法局</w:t>
      </w:r>
    </w:p>
    <w:p w14:paraId="37AF35C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甘肃省陇南市武都区东江新区十三号路</w:t>
      </w:r>
    </w:p>
    <w:p w14:paraId="4171AE8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0939-5916539</w:t>
      </w:r>
    </w:p>
    <w:p w14:paraId="718EA56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2.采购代理机构信息</w:t>
      </w:r>
    </w:p>
    <w:p w14:paraId="4E22BDC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陇南市公共资源交易中心</w:t>
      </w:r>
    </w:p>
    <w:p w14:paraId="553F8FF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陇南市东江新区统办5号楼二楼</w:t>
      </w:r>
    </w:p>
    <w:p w14:paraId="5DBADBF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0939-8460432</w:t>
      </w:r>
    </w:p>
    <w:p w14:paraId="13D45C1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3.项目联系方式</w:t>
      </w:r>
    </w:p>
    <w:p w14:paraId="6E98481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项目联系人：</w:t>
      </w:r>
      <w:r>
        <w:rPr>
          <w:rFonts w:hint="default" w:ascii="Tahoma" w:hAnsi="Tahoma" w:eastAsia="Tahoma" w:cs="Tahoma"/>
          <w:i w:val="0"/>
          <w:iCs w:val="0"/>
          <w:caps w:val="0"/>
          <w:color w:val="000000"/>
          <w:spacing w:val="0"/>
          <w:kern w:val="0"/>
          <w:sz w:val="18"/>
          <w:szCs w:val="18"/>
          <w:u w:val="single"/>
          <w:lang w:val="en-US" w:eastAsia="zh-CN" w:bidi="ar"/>
        </w:rPr>
        <w:t>焦陇东</w:t>
      </w:r>
    </w:p>
    <w:p w14:paraId="59DF31F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电　话：</w:t>
      </w:r>
      <w:r>
        <w:rPr>
          <w:rFonts w:hint="default" w:ascii="Tahoma" w:hAnsi="Tahoma" w:eastAsia="Tahoma" w:cs="Tahoma"/>
          <w:i w:val="0"/>
          <w:iCs w:val="0"/>
          <w:caps w:val="0"/>
          <w:color w:val="000000"/>
          <w:spacing w:val="0"/>
          <w:kern w:val="0"/>
          <w:sz w:val="18"/>
          <w:szCs w:val="18"/>
          <w:u w:val="single"/>
          <w:lang w:val="en-US" w:eastAsia="zh-CN" w:bidi="ar"/>
        </w:rPr>
        <w:t>0939-8460432</w:t>
      </w:r>
    </w:p>
    <w:p w14:paraId="5F3C1F97">
      <w:pPr>
        <w:widowControl/>
        <w:spacing w:before="75" w:after="75"/>
        <w:ind w:firstLine="420"/>
        <w:jc w:val="left"/>
      </w:pPr>
    </w:p>
    <w:p w14:paraId="49D6F10C">
      <w:pPr>
        <w:pStyle w:val="44"/>
        <w:ind w:firstLine="31680"/>
        <w:rPr>
          <w:rFonts w:hint="default" w:eastAsia="仿宋_GB2312"/>
          <w:lang w:val="en-US" w:eastAsia="zh-CN"/>
        </w:rPr>
      </w:pPr>
      <w:r>
        <w:t xml:space="preserve">     </w:t>
      </w:r>
      <w:r>
        <w:rPr>
          <w:rFonts w:hint="eastAsia"/>
          <w:lang w:val="en-US" w:eastAsia="zh-CN"/>
        </w:rPr>
        <w:t xml:space="preserve">              </w:t>
      </w:r>
      <w:r>
        <w:rPr>
          <w:rFonts w:hint="eastAsia"/>
          <w:sz w:val="21"/>
          <w:szCs w:val="21"/>
          <w:lang w:val="en-US" w:eastAsia="zh-CN"/>
        </w:rPr>
        <w:t>2024年7月26日</w:t>
      </w:r>
    </w:p>
    <w:p w14:paraId="658ABAEF">
      <w:pPr>
        <w:pStyle w:val="44"/>
        <w:ind w:firstLine="31680"/>
      </w:pPr>
    </w:p>
    <w:p w14:paraId="0B975C7F">
      <w:pPr>
        <w:pStyle w:val="44"/>
        <w:ind w:firstLine="31680"/>
      </w:pPr>
    </w:p>
    <w:p w14:paraId="619050AF">
      <w:pPr>
        <w:pStyle w:val="44"/>
        <w:ind w:firstLine="31680"/>
      </w:pPr>
    </w:p>
    <w:p w14:paraId="3275D6BF">
      <w:pPr>
        <w:pStyle w:val="44"/>
        <w:ind w:firstLine="31680"/>
      </w:pPr>
    </w:p>
    <w:p w14:paraId="7D8DBCE2">
      <w:pPr>
        <w:pStyle w:val="44"/>
        <w:ind w:firstLine="31680"/>
      </w:pPr>
    </w:p>
    <w:p w14:paraId="40F919CB">
      <w:pPr>
        <w:pStyle w:val="44"/>
        <w:ind w:left="0" w:leftChars="0" w:firstLine="0" w:firstLineChars="0"/>
      </w:pPr>
    </w:p>
    <w:p w14:paraId="501C6FF8">
      <w:pPr>
        <w:pageBreakBefore/>
        <w:numPr>
          <w:ilvl w:val="0"/>
          <w:numId w:val="2"/>
        </w:numPr>
        <w:spacing w:line="360" w:lineRule="auto"/>
        <w:ind w:left="0" w:leftChars="0" w:firstLine="0" w:firstLineChars="0"/>
        <w:jc w:val="center"/>
        <w:outlineLvl w:val="0"/>
        <w:rPr>
          <w:rFonts w:hint="eastAsia" w:ascii="宋体" w:hAnsi="宋体" w:cs="宋体"/>
          <w:b/>
          <w:bCs/>
          <w:kern w:val="0"/>
          <w:sz w:val="40"/>
          <w:szCs w:val="40"/>
        </w:rPr>
      </w:pPr>
      <w:bookmarkStart w:id="9" w:name="_Toc15817"/>
      <w:bookmarkStart w:id="10" w:name="_Toc18892"/>
      <w:bookmarkStart w:id="11" w:name="_Toc20397"/>
      <w:r>
        <w:rPr>
          <w:rFonts w:ascii="宋体" w:hAnsi="宋体" w:cs="宋体"/>
          <w:b/>
          <w:bCs/>
          <w:kern w:val="0"/>
          <w:sz w:val="40"/>
          <w:szCs w:val="40"/>
        </w:rPr>
        <w:t xml:space="preserve"> </w:t>
      </w:r>
      <w:bookmarkStart w:id="12" w:name="_Toc6346"/>
      <w:bookmarkStart w:id="13" w:name="_Toc14161"/>
      <w:r>
        <w:rPr>
          <w:rFonts w:hint="eastAsia" w:ascii="宋体" w:hAnsi="宋体" w:cs="宋体"/>
          <w:b/>
          <w:bCs/>
          <w:kern w:val="0"/>
          <w:sz w:val="40"/>
          <w:szCs w:val="40"/>
        </w:rPr>
        <w:t>供应商须知及前附表</w:t>
      </w:r>
      <w:bookmarkEnd w:id="8"/>
      <w:bookmarkEnd w:id="9"/>
      <w:bookmarkEnd w:id="10"/>
      <w:bookmarkEnd w:id="11"/>
      <w:bookmarkEnd w:id="12"/>
      <w:bookmarkEnd w:id="13"/>
    </w:p>
    <w:p w14:paraId="622E60F4">
      <w:pPr>
        <w:pStyle w:val="36"/>
        <w:jc w:val="center"/>
        <w:outlineLvl w:val="1"/>
        <w:rPr>
          <w:rFonts w:hint="eastAsia" w:ascii="宋体" w:hAnsi="宋体" w:eastAsia="宋体" w:cs="宋体"/>
          <w:b/>
          <w:bCs/>
          <w:smallCaps w:val="0"/>
          <w:kern w:val="0"/>
          <w:sz w:val="32"/>
          <w:szCs w:val="32"/>
          <w:lang w:val="en-US" w:eastAsia="zh-CN" w:bidi="ar-SA"/>
        </w:rPr>
      </w:pPr>
      <w:bookmarkStart w:id="14" w:name="_Toc11402"/>
      <w:bookmarkStart w:id="15" w:name="_Toc9189"/>
      <w:r>
        <w:rPr>
          <w:rFonts w:hint="eastAsia" w:ascii="宋体" w:hAnsi="宋体" w:eastAsia="宋体" w:cs="宋体"/>
          <w:b/>
          <w:bCs/>
          <w:smallCaps w:val="0"/>
          <w:kern w:val="0"/>
          <w:sz w:val="32"/>
          <w:szCs w:val="32"/>
          <w:lang w:val="en-US" w:eastAsia="zh-CN" w:bidi="ar-SA"/>
        </w:rPr>
        <w:t>第一节</w:t>
      </w:r>
      <w:r>
        <w:rPr>
          <w:rFonts w:hint="eastAsia" w:ascii="宋体" w:hAnsi="宋体" w:cs="宋体"/>
          <w:b/>
          <w:bCs/>
          <w:smallCaps w:val="0"/>
          <w:kern w:val="0"/>
          <w:sz w:val="32"/>
          <w:szCs w:val="32"/>
          <w:lang w:val="en-US" w:eastAsia="zh-CN" w:bidi="ar-SA"/>
        </w:rPr>
        <w:t xml:space="preserve"> </w:t>
      </w:r>
      <w:r>
        <w:rPr>
          <w:rFonts w:hint="eastAsia" w:ascii="宋体" w:hAnsi="宋体" w:eastAsia="宋体" w:cs="宋体"/>
          <w:b/>
          <w:bCs/>
          <w:smallCaps w:val="0"/>
          <w:kern w:val="0"/>
          <w:sz w:val="32"/>
          <w:szCs w:val="32"/>
          <w:lang w:val="en-US" w:eastAsia="zh-CN" w:bidi="ar-SA"/>
        </w:rPr>
        <w:t>供应商须知前附表</w:t>
      </w:r>
      <w:bookmarkEnd w:id="14"/>
      <w:bookmarkEnd w:id="15"/>
    </w:p>
    <w:tbl>
      <w:tblPr>
        <w:tblStyle w:val="46"/>
        <w:tblW w:w="975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1591"/>
        <w:gridCol w:w="7154"/>
      </w:tblGrid>
      <w:tr w14:paraId="4DCDC9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exact"/>
          <w:tblHeader/>
          <w:jc w:val="center"/>
        </w:trPr>
        <w:tc>
          <w:tcPr>
            <w:tcW w:w="1012" w:type="dxa"/>
            <w:tcBorders>
              <w:top w:val="single" w:color="auto" w:sz="18" w:space="0"/>
            </w:tcBorders>
            <w:vAlign w:val="center"/>
          </w:tcPr>
          <w:p w14:paraId="65613DDC">
            <w:pPr>
              <w:pStyle w:val="110"/>
              <w:ind w:left="9"/>
              <w:jc w:val="center"/>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序号</w:t>
            </w:r>
          </w:p>
        </w:tc>
        <w:tc>
          <w:tcPr>
            <w:tcW w:w="1591" w:type="dxa"/>
            <w:tcBorders>
              <w:top w:val="single" w:color="auto" w:sz="18" w:space="0"/>
            </w:tcBorders>
            <w:vAlign w:val="center"/>
          </w:tcPr>
          <w:p w14:paraId="33239DE2">
            <w:pPr>
              <w:pStyle w:val="110"/>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条款名称</w:t>
            </w:r>
          </w:p>
        </w:tc>
        <w:tc>
          <w:tcPr>
            <w:tcW w:w="7154" w:type="dxa"/>
            <w:tcBorders>
              <w:top w:val="single" w:color="auto" w:sz="18" w:space="0"/>
            </w:tcBorders>
            <w:vAlign w:val="center"/>
          </w:tcPr>
          <w:p w14:paraId="05825655">
            <w:pPr>
              <w:pStyle w:val="110"/>
              <w:jc w:val="center"/>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说明和要求</w:t>
            </w:r>
          </w:p>
        </w:tc>
      </w:tr>
      <w:tr w14:paraId="79A1B5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0" w:hRule="atLeast"/>
          <w:jc w:val="center"/>
        </w:trPr>
        <w:tc>
          <w:tcPr>
            <w:tcW w:w="1012" w:type="dxa"/>
            <w:vAlign w:val="center"/>
          </w:tcPr>
          <w:p w14:paraId="17CFA2EC">
            <w:pPr>
              <w:pStyle w:val="110"/>
              <w:ind w:right="230"/>
              <w:jc w:val="center"/>
              <w:outlineLvl w:val="9"/>
              <w:rPr>
                <w:rFonts w:ascii="仿宋_GB2312" w:hAnsi="仿宋_GB2312" w:eastAsia="仿宋_GB2312" w:cs="仿宋_GB2312"/>
                <w:sz w:val="21"/>
                <w:szCs w:val="21"/>
                <w:lang w:val="zh-CN" w:eastAsia="zh-CN"/>
              </w:rPr>
            </w:pPr>
            <w:r>
              <w:rPr>
                <w:rFonts w:ascii="仿宋_GB2312" w:hAnsi="仿宋_GB2312" w:eastAsia="仿宋_GB2312" w:cs="仿宋_GB2312"/>
                <w:sz w:val="21"/>
                <w:szCs w:val="21"/>
                <w:lang w:val="zh-CN" w:eastAsia="zh-CN"/>
              </w:rPr>
              <w:t>1</w:t>
            </w:r>
          </w:p>
        </w:tc>
        <w:tc>
          <w:tcPr>
            <w:tcW w:w="1591" w:type="dxa"/>
            <w:vAlign w:val="center"/>
          </w:tcPr>
          <w:p w14:paraId="4794D4F4">
            <w:pPr>
              <w:pStyle w:val="110"/>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项目名称</w:t>
            </w:r>
          </w:p>
        </w:tc>
        <w:tc>
          <w:tcPr>
            <w:tcW w:w="7154" w:type="dxa"/>
            <w:vAlign w:val="center"/>
          </w:tcPr>
          <w:p w14:paraId="53037D5A">
            <w:pPr>
              <w:spacing w:line="360" w:lineRule="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 xml:space="preserve"> 陇南市司法局行政复议信息化建设项目</w:t>
            </w:r>
          </w:p>
        </w:tc>
      </w:tr>
      <w:tr w14:paraId="1D98F2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012" w:type="dxa"/>
            <w:vAlign w:val="center"/>
          </w:tcPr>
          <w:p w14:paraId="4F8C9878">
            <w:pPr>
              <w:pStyle w:val="110"/>
              <w:ind w:right="230"/>
              <w:jc w:val="center"/>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591" w:type="dxa"/>
            <w:vAlign w:val="center"/>
          </w:tcPr>
          <w:p w14:paraId="60C18F70">
            <w:pPr>
              <w:pStyle w:val="110"/>
              <w:jc w:val="center"/>
              <w:outlineLvl w:val="9"/>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项目编号</w:t>
            </w:r>
          </w:p>
        </w:tc>
        <w:tc>
          <w:tcPr>
            <w:tcW w:w="7154" w:type="dxa"/>
            <w:vAlign w:val="center"/>
          </w:tcPr>
          <w:p w14:paraId="72E18D29">
            <w:pPr>
              <w:pStyle w:val="110"/>
              <w:jc w:val="left"/>
              <w:outlineLvl w:val="9"/>
              <w:rPr>
                <w:rFonts w:hint="eastAsia" w:ascii="仿宋_GB2312" w:hAnsi="仿宋_GB2312" w:eastAsia="仿宋_GB2312" w:cs="Times New Roman"/>
                <w:sz w:val="21"/>
                <w:szCs w:val="21"/>
                <w:lang w:val="zh-CN" w:eastAsia="zh-CN"/>
              </w:rPr>
            </w:pPr>
            <w:r>
              <w:rPr>
                <w:rFonts w:hint="eastAsia" w:ascii="仿宋_GB2312" w:hAnsi="仿宋_GB2312" w:eastAsia="仿宋_GB2312" w:cs="Times New Roman"/>
                <w:sz w:val="21"/>
                <w:szCs w:val="21"/>
                <w:lang w:val="zh-CN" w:eastAsia="zh-CN"/>
              </w:rPr>
              <w:t>111001JH6212037</w:t>
            </w:r>
          </w:p>
        </w:tc>
      </w:tr>
      <w:tr w14:paraId="037F20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0" w:hRule="atLeast"/>
          <w:jc w:val="center"/>
        </w:trPr>
        <w:tc>
          <w:tcPr>
            <w:tcW w:w="1012" w:type="dxa"/>
            <w:vAlign w:val="center"/>
          </w:tcPr>
          <w:p w14:paraId="544EF17A">
            <w:pPr>
              <w:pStyle w:val="110"/>
              <w:ind w:right="230"/>
              <w:jc w:val="center"/>
              <w:outlineLvl w:val="9"/>
              <w:rPr>
                <w:rFonts w:ascii="仿宋_GB2312" w:hAnsi="仿宋_GB2312" w:eastAsia="仿宋_GB2312" w:cs="仿宋_GB2312"/>
                <w:sz w:val="21"/>
                <w:szCs w:val="21"/>
                <w:lang w:val="zh-CN" w:eastAsia="zh-CN"/>
              </w:rPr>
            </w:pPr>
            <w:r>
              <w:rPr>
                <w:rFonts w:ascii="仿宋_GB2312" w:hAnsi="仿宋_GB2312" w:eastAsia="仿宋_GB2312" w:cs="仿宋_GB2312"/>
                <w:sz w:val="21"/>
                <w:szCs w:val="21"/>
                <w:lang w:val="zh-CN" w:eastAsia="zh-CN"/>
              </w:rPr>
              <w:t>2</w:t>
            </w:r>
          </w:p>
        </w:tc>
        <w:tc>
          <w:tcPr>
            <w:tcW w:w="1591" w:type="dxa"/>
            <w:vAlign w:val="center"/>
          </w:tcPr>
          <w:p w14:paraId="27BDCA2A">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采购人</w:t>
            </w:r>
          </w:p>
        </w:tc>
        <w:tc>
          <w:tcPr>
            <w:tcW w:w="7154" w:type="dxa"/>
            <w:vAlign w:val="center"/>
          </w:tcPr>
          <w:p w14:paraId="1F31BFD2">
            <w:pPr>
              <w:pStyle w:val="110"/>
              <w:jc w:val="left"/>
              <w:outlineLvl w:val="9"/>
              <w:rPr>
                <w:rFonts w:hint="default" w:ascii="仿宋_GB2312" w:hAnsi="仿宋_GB2312" w:eastAsia="仿宋_GB2312" w:cs="Times New Roman"/>
                <w:sz w:val="21"/>
                <w:szCs w:val="21"/>
                <w:lang w:val="en-US" w:eastAsia="zh-CN"/>
              </w:rPr>
            </w:pPr>
            <w:r>
              <w:rPr>
                <w:rFonts w:hint="eastAsia" w:ascii="仿宋_GB2312" w:hAnsi="仿宋_GB2312" w:eastAsia="仿宋_GB2312" w:cs="仿宋_GB2312"/>
                <w:sz w:val="21"/>
                <w:szCs w:val="21"/>
                <w:lang w:val="zh-CN" w:eastAsia="zh-CN"/>
              </w:rPr>
              <w:t>采购人名称：</w:t>
            </w:r>
            <w:r>
              <w:rPr>
                <w:rFonts w:hint="eastAsia" w:ascii="仿宋_GB2312" w:hAnsi="仿宋_GB2312" w:eastAsia="仿宋_GB2312"/>
                <w:lang w:val="en-US" w:eastAsia="zh-CN"/>
              </w:rPr>
              <w:t>陇南市司法局</w:t>
            </w:r>
          </w:p>
          <w:p w14:paraId="564B9B35">
            <w:pPr>
              <w:pStyle w:val="110"/>
              <w:ind w:left="38"/>
              <w:jc w:val="left"/>
              <w:outlineLvl w:val="9"/>
              <w:rPr>
                <w:rFonts w:hint="default" w:ascii="仿宋_GB2312" w:hAnsi="仿宋_GB2312" w:eastAsia="仿宋_GB2312" w:cs="Times New Roman"/>
                <w:sz w:val="21"/>
                <w:szCs w:val="21"/>
                <w:lang w:val="en-US" w:eastAsia="zh-CN"/>
              </w:rPr>
            </w:pPr>
            <w:r>
              <w:rPr>
                <w:rFonts w:hint="eastAsia" w:ascii="仿宋_GB2312" w:hAnsi="仿宋_GB2312" w:eastAsia="仿宋_GB2312" w:cs="仿宋_GB2312"/>
                <w:sz w:val="21"/>
                <w:szCs w:val="21"/>
                <w:lang w:val="zh-CN" w:eastAsia="zh-CN"/>
              </w:rPr>
              <w:t>联系人：</w:t>
            </w:r>
            <w:r>
              <w:rPr>
                <w:rFonts w:hint="eastAsia" w:ascii="仿宋_GB2312" w:hAnsi="仿宋_GB2312" w:eastAsia="仿宋_GB2312" w:cs="仿宋_GB2312"/>
                <w:sz w:val="21"/>
                <w:szCs w:val="21"/>
                <w:lang w:val="en-US" w:eastAsia="zh-CN"/>
              </w:rPr>
              <w:t>孙兴悟</w:t>
            </w:r>
          </w:p>
          <w:p w14:paraId="5949BD32">
            <w:pPr>
              <w:pStyle w:val="110"/>
              <w:jc w:val="left"/>
              <w:outlineLvl w:val="9"/>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zh-CN" w:eastAsia="zh-CN"/>
              </w:rPr>
              <w:t>联系电话：</w:t>
            </w:r>
            <w:r>
              <w:rPr>
                <w:rFonts w:hint="eastAsia" w:ascii="仿宋_GB2312" w:hAnsi="仿宋_GB2312" w:eastAsia="仿宋_GB2312" w:cs="Times New Roman"/>
                <w:sz w:val="21"/>
                <w:szCs w:val="21"/>
                <w:lang w:val="en-US" w:eastAsia="zh-CN"/>
              </w:rPr>
              <w:t>13739394452</w:t>
            </w:r>
          </w:p>
          <w:p w14:paraId="3DB57DCE">
            <w:pPr>
              <w:pStyle w:val="110"/>
              <w:jc w:val="left"/>
              <w:outlineLvl w:val="9"/>
              <w:rPr>
                <w:rFonts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val="zh-CN" w:eastAsia="zh-CN"/>
              </w:rPr>
              <w:t>地址：陇南市武都区东江镇十三号路五凤街</w:t>
            </w:r>
          </w:p>
        </w:tc>
      </w:tr>
      <w:tr w14:paraId="2BC39A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99" w:hRule="atLeast"/>
          <w:jc w:val="center"/>
        </w:trPr>
        <w:tc>
          <w:tcPr>
            <w:tcW w:w="1012" w:type="dxa"/>
            <w:tcBorders>
              <w:bottom w:val="single" w:color="auto" w:sz="4" w:space="0"/>
            </w:tcBorders>
            <w:vAlign w:val="center"/>
          </w:tcPr>
          <w:p w14:paraId="00E3CD5E">
            <w:pPr>
              <w:pStyle w:val="110"/>
              <w:ind w:right="230"/>
              <w:jc w:val="center"/>
              <w:outlineLvl w:val="9"/>
              <w:rPr>
                <w:rFonts w:hint="eastAsia"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en-US" w:eastAsia="zh-CN"/>
              </w:rPr>
              <w:t>4</w:t>
            </w:r>
          </w:p>
        </w:tc>
        <w:tc>
          <w:tcPr>
            <w:tcW w:w="1591" w:type="dxa"/>
            <w:tcBorders>
              <w:bottom w:val="single" w:color="auto" w:sz="4" w:space="0"/>
            </w:tcBorders>
            <w:vAlign w:val="center"/>
          </w:tcPr>
          <w:p w14:paraId="49EE66ED">
            <w:pPr>
              <w:pStyle w:val="110"/>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en-US" w:eastAsia="zh-CN"/>
              </w:rPr>
              <w:t>集采</w:t>
            </w:r>
            <w:r>
              <w:rPr>
                <w:rFonts w:hint="eastAsia" w:ascii="仿宋_GB2312" w:hAnsi="仿宋_GB2312" w:eastAsia="仿宋_GB2312" w:cs="仿宋_GB2312"/>
                <w:b/>
                <w:bCs/>
                <w:sz w:val="21"/>
                <w:szCs w:val="21"/>
                <w:lang w:val="zh-CN" w:eastAsia="zh-CN"/>
              </w:rPr>
              <w:t>机构</w:t>
            </w:r>
          </w:p>
        </w:tc>
        <w:tc>
          <w:tcPr>
            <w:tcW w:w="7154" w:type="dxa"/>
            <w:tcBorders>
              <w:bottom w:val="single" w:color="auto" w:sz="4" w:space="0"/>
            </w:tcBorders>
            <w:vAlign w:val="center"/>
          </w:tcPr>
          <w:p w14:paraId="017340E0">
            <w:pPr>
              <w:pStyle w:val="110"/>
              <w:ind w:left="38"/>
              <w:jc w:val="left"/>
              <w:outlineLvl w:val="9"/>
              <w:rPr>
                <w:rFonts w:hint="eastAsia" w:ascii="仿宋_GB2312" w:hAnsi="仿宋_GB2312" w:eastAsia="仿宋_GB2312" w:cs="Times New Roman"/>
                <w:sz w:val="21"/>
                <w:szCs w:val="21"/>
                <w:lang w:eastAsia="zh-CN"/>
              </w:rPr>
            </w:pPr>
            <w:bookmarkStart w:id="16" w:name="Agency__AgencyName__2"/>
            <w:bookmarkEnd w:id="16"/>
            <w:r>
              <w:rPr>
                <w:rFonts w:hint="eastAsia" w:ascii="仿宋_GB2312" w:hAnsi="仿宋_GB2312" w:eastAsia="仿宋_GB2312" w:cs="Times New Roman"/>
                <w:sz w:val="21"/>
                <w:szCs w:val="21"/>
                <w:lang w:eastAsia="zh-CN"/>
              </w:rPr>
              <w:t xml:space="preserve">集采机构：陇南市公共资源交易中心 </w:t>
            </w:r>
          </w:p>
          <w:p w14:paraId="1E2EBC4F">
            <w:pPr>
              <w:pStyle w:val="110"/>
              <w:ind w:left="38"/>
              <w:jc w:val="left"/>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联系人：焦陇东</w:t>
            </w:r>
          </w:p>
          <w:p w14:paraId="03FDFC94">
            <w:pPr>
              <w:pStyle w:val="110"/>
              <w:ind w:left="38"/>
              <w:jc w:val="left"/>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联系电话：0939-8460432</w:t>
            </w:r>
          </w:p>
          <w:p w14:paraId="223E0708">
            <w:pPr>
              <w:pStyle w:val="110"/>
              <w:ind w:left="38"/>
              <w:jc w:val="left"/>
              <w:outlineLvl w:val="9"/>
              <w:rPr>
                <w:rFonts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地址：陇南市行政中心5号楼（环保大厦）3楼</w:t>
            </w:r>
          </w:p>
        </w:tc>
      </w:tr>
      <w:tr w14:paraId="56DBD1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9" w:hRule="atLeast"/>
          <w:jc w:val="center"/>
        </w:trPr>
        <w:tc>
          <w:tcPr>
            <w:tcW w:w="1012" w:type="dxa"/>
            <w:tcBorders>
              <w:top w:val="single" w:color="auto" w:sz="4" w:space="0"/>
            </w:tcBorders>
            <w:vAlign w:val="center"/>
          </w:tcPr>
          <w:p w14:paraId="423F0A1A">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5</w:t>
            </w:r>
          </w:p>
        </w:tc>
        <w:tc>
          <w:tcPr>
            <w:tcW w:w="1591" w:type="dxa"/>
            <w:tcBorders>
              <w:top w:val="single" w:color="auto" w:sz="4" w:space="0"/>
            </w:tcBorders>
            <w:vAlign w:val="center"/>
          </w:tcPr>
          <w:p w14:paraId="1CF8877C">
            <w:pPr>
              <w:pStyle w:val="110"/>
              <w:jc w:val="center"/>
              <w:outlineLvl w:val="9"/>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项目预算、</w:t>
            </w:r>
          </w:p>
          <w:p w14:paraId="4D01D8ED">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en-US" w:eastAsia="zh-CN"/>
              </w:rPr>
              <w:t>分包情况</w:t>
            </w:r>
          </w:p>
        </w:tc>
        <w:tc>
          <w:tcPr>
            <w:tcW w:w="7154" w:type="dxa"/>
            <w:tcBorders>
              <w:top w:val="single" w:color="auto" w:sz="4" w:space="0"/>
            </w:tcBorders>
            <w:vAlign w:val="center"/>
          </w:tcPr>
          <w:p w14:paraId="407AF42B">
            <w:pPr>
              <w:spacing w:line="360" w:lineRule="auto"/>
              <w:outlineLvl w:val="9"/>
              <w:rPr>
                <w:rFonts w:hint="eastAsia" w:ascii="仿宋_GB2312" w:hAnsi="仿宋_GB2312" w:eastAsia="仿宋_GB2312"/>
                <w:b/>
                <w:bCs/>
                <w:lang w:val="en-US" w:eastAsia="zh-CN"/>
              </w:rPr>
            </w:pPr>
            <w:r>
              <w:rPr>
                <w:rFonts w:hint="eastAsia" w:ascii="仿宋_GB2312" w:hAnsi="仿宋_GB2312" w:eastAsia="仿宋_GB2312" w:cs="仿宋_GB2312"/>
                <w:b/>
                <w:bCs/>
              </w:rPr>
              <w:t>本项目采购预算</w:t>
            </w:r>
            <w:r>
              <w:rPr>
                <w:rFonts w:hint="eastAsia" w:ascii="仿宋_GB2312" w:hAnsi="仿宋_GB2312" w:eastAsia="仿宋_GB2312" w:cs="仿宋_GB2312"/>
                <w:b/>
                <w:bCs/>
                <w:u w:val="single"/>
                <w:lang w:val="en-US" w:eastAsia="zh-CN"/>
              </w:rPr>
              <w:t>90</w:t>
            </w:r>
            <w:r>
              <w:rPr>
                <w:rFonts w:hint="eastAsia" w:ascii="仿宋_GB2312" w:hAnsi="仿宋_GB2312" w:eastAsia="仿宋_GB2312" w:cs="仿宋_GB2312"/>
                <w:b/>
                <w:bCs/>
              </w:rPr>
              <w:t>万元，最高限价为</w:t>
            </w:r>
            <w:r>
              <w:rPr>
                <w:rFonts w:hint="eastAsia" w:ascii="仿宋_GB2312" w:hAnsi="仿宋_GB2312" w:eastAsia="仿宋_GB2312" w:cs="仿宋_GB2312"/>
                <w:b/>
                <w:bCs/>
                <w:u w:val="single"/>
                <w:lang w:val="en-US" w:eastAsia="zh-CN"/>
              </w:rPr>
              <w:t>90</w:t>
            </w:r>
            <w:r>
              <w:rPr>
                <w:rFonts w:hint="eastAsia" w:ascii="仿宋_GB2312" w:hAnsi="仿宋_GB2312" w:eastAsia="仿宋_GB2312" w:cs="仿宋_GB2312"/>
                <w:b/>
                <w:bCs/>
              </w:rPr>
              <w:t>万元，本项目共分为一个包。</w:t>
            </w:r>
            <w:r>
              <w:rPr>
                <w:rFonts w:hint="eastAsia" w:ascii="仿宋_GB2312" w:hAnsi="仿宋_GB2312" w:eastAsia="仿宋_GB2312" w:cs="仿宋_GB2312"/>
                <w:b/>
                <w:bCs/>
                <w:lang w:val="en-US" w:eastAsia="zh-CN"/>
              </w:rPr>
              <w:t>计划采购行政复议信息化设备一批。</w:t>
            </w:r>
          </w:p>
        </w:tc>
      </w:tr>
      <w:tr w14:paraId="6A8CD3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0" w:hRule="exact"/>
          <w:jc w:val="center"/>
        </w:trPr>
        <w:tc>
          <w:tcPr>
            <w:tcW w:w="1012" w:type="dxa"/>
            <w:vAlign w:val="center"/>
          </w:tcPr>
          <w:p w14:paraId="38B38E92">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6</w:t>
            </w:r>
          </w:p>
        </w:tc>
        <w:tc>
          <w:tcPr>
            <w:tcW w:w="1591" w:type="dxa"/>
            <w:vAlign w:val="center"/>
          </w:tcPr>
          <w:p w14:paraId="38A311F6">
            <w:pPr>
              <w:pStyle w:val="110"/>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资金来源</w:t>
            </w:r>
          </w:p>
        </w:tc>
        <w:tc>
          <w:tcPr>
            <w:tcW w:w="7154" w:type="dxa"/>
            <w:vAlign w:val="center"/>
          </w:tcPr>
          <w:p w14:paraId="6928CEA3">
            <w:pPr>
              <w:widowControl/>
              <w:spacing w:line="400" w:lineRule="atLeast"/>
              <w:jc w:val="left"/>
              <w:outlineLvl w:val="9"/>
              <w:rPr>
                <w:rFonts w:ascii="仿宋_GB2312" w:hAnsi="仿宋_GB2312" w:eastAsia="仿宋_GB2312"/>
                <w:sz w:val="22"/>
                <w:szCs w:val="22"/>
                <w:lang w:val="zh-CN"/>
              </w:rPr>
            </w:pPr>
            <w:r>
              <w:rPr>
                <w:rFonts w:hint="eastAsia" w:ascii="仿宋_GB2312" w:hAnsi="仿宋_GB2312" w:eastAsia="仿宋_GB2312" w:cs="仿宋_GB2312"/>
                <w:sz w:val="22"/>
                <w:szCs w:val="22"/>
                <w:lang w:val="zh-CN"/>
              </w:rPr>
              <w:t>（</w:t>
            </w:r>
            <w:r>
              <w:rPr>
                <w:rFonts w:ascii="仿宋_GB2312" w:hAnsi="仿宋_GB2312" w:eastAsia="仿宋_GB2312" w:cs="仿宋_GB2312"/>
                <w:sz w:val="22"/>
                <w:szCs w:val="22"/>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）财政预算</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）单位自有资金。</w:t>
            </w:r>
          </w:p>
          <w:p w14:paraId="583E9913">
            <w:pPr>
              <w:widowControl/>
              <w:spacing w:line="400" w:lineRule="atLeast"/>
              <w:ind w:firstLine="220" w:firstLineChars="100"/>
              <w:jc w:val="left"/>
              <w:outlineLvl w:val="9"/>
              <w:rPr>
                <w:rFonts w:ascii="仿宋_GB2312" w:hAnsi="仿宋_GB2312" w:eastAsia="仿宋_GB2312"/>
                <w:kern w:val="0"/>
              </w:rPr>
            </w:pPr>
            <w:r>
              <w:rPr>
                <w:rFonts w:hint="eastAsia" w:ascii="仿宋_GB2312" w:hAnsi="仿宋_GB2312" w:eastAsia="仿宋_GB2312" w:cs="仿宋_GB2312"/>
                <w:sz w:val="22"/>
                <w:szCs w:val="22"/>
              </w:rPr>
              <w:t>资金已落实，尚未采购。</w:t>
            </w:r>
          </w:p>
        </w:tc>
      </w:tr>
      <w:tr w14:paraId="1EEC83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9" w:hRule="exact"/>
          <w:jc w:val="center"/>
        </w:trPr>
        <w:tc>
          <w:tcPr>
            <w:tcW w:w="1012" w:type="dxa"/>
            <w:vAlign w:val="center"/>
          </w:tcPr>
          <w:p w14:paraId="790C21B2">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7</w:t>
            </w:r>
          </w:p>
        </w:tc>
        <w:tc>
          <w:tcPr>
            <w:tcW w:w="1591" w:type="dxa"/>
            <w:vAlign w:val="center"/>
          </w:tcPr>
          <w:p w14:paraId="552337A9">
            <w:pPr>
              <w:pStyle w:val="110"/>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采购方式</w:t>
            </w:r>
          </w:p>
        </w:tc>
        <w:tc>
          <w:tcPr>
            <w:tcW w:w="7154" w:type="dxa"/>
            <w:vAlign w:val="center"/>
          </w:tcPr>
          <w:p w14:paraId="2460B7D5">
            <w:pPr>
              <w:pStyle w:val="110"/>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val="zh-CN" w:eastAsia="zh-CN"/>
              </w:rPr>
              <w:t xml:space="preserve">  </w:t>
            </w:r>
            <w:r>
              <w:rPr>
                <w:rFonts w:hint="eastAsia" w:ascii="仿宋_GB2312" w:hAnsi="仿宋_GB2312" w:eastAsia="仿宋_GB2312" w:cs="仿宋_GB2312"/>
                <w:sz w:val="21"/>
                <w:szCs w:val="21"/>
                <w:lang w:val="zh-CN" w:eastAsia="zh-CN"/>
              </w:rPr>
              <w:t>公开招标</w:t>
            </w:r>
          </w:p>
        </w:tc>
      </w:tr>
      <w:tr w14:paraId="4A6DF6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1012" w:type="dxa"/>
            <w:vAlign w:val="center"/>
          </w:tcPr>
          <w:p w14:paraId="67A26839">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8</w:t>
            </w:r>
          </w:p>
        </w:tc>
        <w:tc>
          <w:tcPr>
            <w:tcW w:w="1591" w:type="dxa"/>
            <w:vAlign w:val="center"/>
          </w:tcPr>
          <w:p w14:paraId="65A91663">
            <w:pPr>
              <w:pStyle w:val="110"/>
              <w:keepNext w:val="0"/>
              <w:keepLines w:val="0"/>
              <w:pageBreakBefore w:val="0"/>
              <w:widowControl w:val="0"/>
              <w:kinsoku/>
              <w:wordWrap/>
              <w:overflowPunct/>
              <w:topLinePunct w:val="0"/>
              <w:autoSpaceDE w:val="0"/>
              <w:autoSpaceDN w:val="0"/>
              <w:bidi w:val="0"/>
              <w:adjustRightInd w:val="0"/>
              <w:snapToGrid/>
              <w:spacing w:after="0"/>
              <w:jc w:val="center"/>
              <w:textAlignment w:val="auto"/>
              <w:outlineLvl w:val="9"/>
              <w:rPr>
                <w:rFonts w:ascii="仿宋_GB2312" w:hAnsi="仿宋_GB2312" w:eastAsia="仿宋_GB2312" w:cs="Times New Roman"/>
                <w:b/>
                <w:bCs/>
                <w:szCs w:val="21"/>
                <w:lang w:val="zh-CN" w:eastAsia="zh-CN"/>
              </w:rPr>
            </w:pPr>
            <w:r>
              <w:rPr>
                <w:rFonts w:hint="eastAsia" w:ascii="仿宋_GB2312" w:hAnsi="仿宋_GB2312" w:eastAsia="仿宋_GB2312" w:cs="仿宋_GB2312"/>
                <w:b/>
                <w:bCs/>
                <w:sz w:val="21"/>
                <w:szCs w:val="21"/>
                <w:lang w:val="zh-CN" w:eastAsia="zh-CN"/>
              </w:rPr>
              <w:t>评标办法、定标方式</w:t>
            </w:r>
          </w:p>
        </w:tc>
        <w:tc>
          <w:tcPr>
            <w:tcW w:w="7154" w:type="dxa"/>
            <w:vAlign w:val="center"/>
          </w:tcPr>
          <w:p w14:paraId="0C50C236">
            <w:pPr>
              <w:pStyle w:val="110"/>
              <w:ind w:left="634" w:leftChars="102" w:hanging="420" w:hangingChars="200"/>
              <w:jc w:val="left"/>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本项目采用综合评分法；</w:t>
            </w:r>
          </w:p>
          <w:p w14:paraId="00C54F2D">
            <w:pPr>
              <w:pStyle w:val="110"/>
              <w:jc w:val="left"/>
              <w:outlineLvl w:val="9"/>
              <w:rPr>
                <w:rFonts w:ascii="仿宋_GB2312" w:hAnsi="仿宋_GB2312" w:eastAsia="仿宋_GB2312" w:cs="Times New Roman"/>
                <w:kern w:val="2"/>
                <w:sz w:val="21"/>
                <w:szCs w:val="21"/>
                <w:lang w:val="zh-CN" w:eastAsia="zh-CN"/>
              </w:rPr>
            </w:pPr>
            <w:r>
              <w:rPr>
                <w:rFonts w:hint="eastAsia" w:ascii="仿宋_GB2312" w:hAnsi="仿宋_GB2312" w:eastAsia="仿宋_GB2312" w:cs="仿宋_GB2312"/>
                <w:sz w:val="21"/>
                <w:szCs w:val="21"/>
                <w:lang w:val="zh-CN" w:eastAsia="zh-CN"/>
              </w:rPr>
              <w:t>定标方式：由评标委员会推荐，采购单位按照评标报告推荐的顺序确定中标单位。</w:t>
            </w:r>
          </w:p>
        </w:tc>
      </w:tr>
      <w:tr w14:paraId="01CB4C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8" w:hRule="exact"/>
          <w:jc w:val="center"/>
        </w:trPr>
        <w:tc>
          <w:tcPr>
            <w:tcW w:w="1012" w:type="dxa"/>
            <w:vAlign w:val="center"/>
          </w:tcPr>
          <w:p w14:paraId="5145E804">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9</w:t>
            </w:r>
          </w:p>
        </w:tc>
        <w:tc>
          <w:tcPr>
            <w:tcW w:w="1591" w:type="dxa"/>
            <w:vAlign w:val="center"/>
          </w:tcPr>
          <w:p w14:paraId="42BBE557">
            <w:pPr>
              <w:pStyle w:val="110"/>
              <w:keepNext w:val="0"/>
              <w:keepLines w:val="0"/>
              <w:pageBreakBefore w:val="0"/>
              <w:widowControl w:val="0"/>
              <w:kinsoku/>
              <w:wordWrap/>
              <w:overflowPunct/>
              <w:topLinePunct w:val="0"/>
              <w:autoSpaceDE w:val="0"/>
              <w:autoSpaceDN w:val="0"/>
              <w:bidi w:val="0"/>
              <w:adjustRightInd w:val="0"/>
              <w:snapToGrid/>
              <w:spacing w:after="0"/>
              <w:ind w:left="96"/>
              <w:jc w:val="center"/>
              <w:textAlignment w:val="auto"/>
              <w:outlineLvl w:val="9"/>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质量要求、</w:t>
            </w:r>
          </w:p>
          <w:p w14:paraId="0F87A6C3">
            <w:pPr>
              <w:pStyle w:val="110"/>
              <w:keepNext w:val="0"/>
              <w:keepLines w:val="0"/>
              <w:pageBreakBefore w:val="0"/>
              <w:widowControl w:val="0"/>
              <w:kinsoku/>
              <w:wordWrap/>
              <w:overflowPunct/>
              <w:topLinePunct w:val="0"/>
              <w:autoSpaceDE w:val="0"/>
              <w:autoSpaceDN w:val="0"/>
              <w:bidi w:val="0"/>
              <w:adjustRightInd w:val="0"/>
              <w:snapToGrid/>
              <w:spacing w:after="0"/>
              <w:ind w:left="96"/>
              <w:jc w:val="center"/>
              <w:textAlignment w:val="auto"/>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验收标准</w:t>
            </w:r>
          </w:p>
        </w:tc>
        <w:tc>
          <w:tcPr>
            <w:tcW w:w="7154" w:type="dxa"/>
            <w:vAlign w:val="center"/>
          </w:tcPr>
          <w:p w14:paraId="61842945">
            <w:pPr>
              <w:pStyle w:val="110"/>
              <w:ind w:firstLine="210" w:firstLineChars="100"/>
              <w:outlineLvl w:val="9"/>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val="zh-CN" w:eastAsia="zh-CN"/>
              </w:rPr>
              <w:t>质量要求：达到国家现行</w:t>
            </w:r>
            <w:r>
              <w:rPr>
                <w:rFonts w:hint="eastAsia" w:ascii="仿宋_GB2312" w:hAnsi="仿宋_GB2312" w:eastAsia="仿宋_GB2312" w:cs="仿宋_GB2312"/>
                <w:sz w:val="21"/>
                <w:szCs w:val="21"/>
                <w:lang w:eastAsia="zh-CN"/>
              </w:rPr>
              <w:t>技术标准。</w:t>
            </w:r>
          </w:p>
          <w:p w14:paraId="106579EA">
            <w:pPr>
              <w:pStyle w:val="110"/>
              <w:ind w:firstLine="210" w:firstLineChars="100"/>
              <w:outlineLvl w:val="9"/>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eastAsia="zh-CN"/>
              </w:rPr>
              <w:t>验收标准：符合质量要求</w:t>
            </w:r>
          </w:p>
        </w:tc>
      </w:tr>
      <w:tr w14:paraId="73D662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3" w:hRule="atLeast"/>
          <w:jc w:val="center"/>
        </w:trPr>
        <w:tc>
          <w:tcPr>
            <w:tcW w:w="1012" w:type="dxa"/>
            <w:tcBorders>
              <w:bottom w:val="single" w:color="auto" w:sz="4" w:space="0"/>
            </w:tcBorders>
            <w:vAlign w:val="center"/>
          </w:tcPr>
          <w:p w14:paraId="6EC55480">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10</w:t>
            </w:r>
          </w:p>
        </w:tc>
        <w:tc>
          <w:tcPr>
            <w:tcW w:w="1591" w:type="dxa"/>
            <w:tcBorders>
              <w:bottom w:val="single" w:color="auto" w:sz="4" w:space="0"/>
            </w:tcBorders>
            <w:vAlign w:val="center"/>
          </w:tcPr>
          <w:p w14:paraId="7D283D6C">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联合体投标</w:t>
            </w:r>
          </w:p>
        </w:tc>
        <w:tc>
          <w:tcPr>
            <w:tcW w:w="7154" w:type="dxa"/>
            <w:tcBorders>
              <w:bottom w:val="single" w:color="auto" w:sz="4" w:space="0"/>
            </w:tcBorders>
            <w:vAlign w:val="center"/>
          </w:tcPr>
          <w:p w14:paraId="61FC1FF1">
            <w:pPr>
              <w:pStyle w:val="110"/>
              <w:ind w:left="210" w:leftChars="100" w:firstLine="220" w:firstLineChars="100"/>
              <w:outlineLvl w:val="9"/>
              <w:rPr>
                <w:rFonts w:ascii="仿宋_GB2312" w:hAnsi="仿宋_GB2312" w:eastAsia="仿宋_GB2312" w:cs="Times New Roman"/>
                <w:sz w:val="21"/>
                <w:szCs w:val="21"/>
                <w:lang w:val="zh-CN" w:eastAsia="zh-CN"/>
              </w:rPr>
            </w:pPr>
            <w:r>
              <w:rPr>
                <w:rFonts w:ascii="仿宋_GB2312" w:hAnsi="仿宋_GB2312" w:eastAsia="仿宋_GB2312" w:cs="仿宋_GB2312"/>
                <w:kern w:val="2"/>
                <w:sz w:val="22"/>
                <w:szCs w:val="22"/>
                <w:lang w:eastAsia="zh-CN"/>
              </w:rPr>
              <w:t xml:space="preserve">( </w:t>
            </w:r>
            <w:r>
              <w:rPr>
                <w:rFonts w:ascii="仿宋_GB2312" w:hAnsi="仿宋_GB2312" w:eastAsia="仿宋_GB2312" w:cs="仿宋_GB2312"/>
                <w:sz w:val="22"/>
                <w:szCs w:val="22"/>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ascii="仿宋_GB2312" w:hAnsi="仿宋_GB2312" w:eastAsia="仿宋_GB2312" w:cs="仿宋_GB2312"/>
                <w:kern w:val="2"/>
                <w:sz w:val="22"/>
                <w:szCs w:val="22"/>
                <w:lang w:eastAsia="zh-CN"/>
              </w:rPr>
              <w:t xml:space="preserve"> )  </w:t>
            </w:r>
            <w:r>
              <w:rPr>
                <w:rFonts w:hint="eastAsia" w:ascii="仿宋_GB2312" w:hAnsi="仿宋_GB2312" w:eastAsia="仿宋_GB2312" w:cs="仿宋_GB2312"/>
                <w:kern w:val="2"/>
                <w:sz w:val="22"/>
                <w:szCs w:val="22"/>
              </w:rPr>
              <w:t>不接受</w:t>
            </w: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w:t>
            </w: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）接受</w:t>
            </w:r>
          </w:p>
        </w:tc>
      </w:tr>
      <w:tr w14:paraId="171C6A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1012" w:type="dxa"/>
            <w:tcBorders>
              <w:top w:val="single" w:color="auto" w:sz="4" w:space="0"/>
            </w:tcBorders>
            <w:vAlign w:val="center"/>
          </w:tcPr>
          <w:p w14:paraId="4ACA7AD8">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11</w:t>
            </w:r>
          </w:p>
        </w:tc>
        <w:tc>
          <w:tcPr>
            <w:tcW w:w="1591" w:type="dxa"/>
            <w:tcBorders>
              <w:top w:val="single" w:color="auto" w:sz="4" w:space="0"/>
            </w:tcBorders>
            <w:vAlign w:val="center"/>
          </w:tcPr>
          <w:p w14:paraId="4548DAA0">
            <w:pPr>
              <w:pStyle w:val="110"/>
              <w:jc w:val="center"/>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考察现场、</w:t>
            </w:r>
          </w:p>
          <w:p w14:paraId="53DE1C87">
            <w:pPr>
              <w:pStyle w:val="110"/>
              <w:jc w:val="center"/>
              <w:outlineLvl w:val="9"/>
              <w:rPr>
                <w:rFonts w:ascii="仿宋_GB2312" w:hAnsi="仿宋_GB2312" w:eastAsia="仿宋_GB2312" w:cs="Times New Roman"/>
                <w:b/>
                <w:bCs/>
                <w:sz w:val="21"/>
                <w:szCs w:val="21"/>
                <w:lang w:eastAsia="zh-CN"/>
              </w:rPr>
            </w:pPr>
            <w:r>
              <w:rPr>
                <w:rFonts w:hint="eastAsia" w:ascii="仿宋_GB2312" w:hAnsi="仿宋_GB2312" w:eastAsia="仿宋_GB2312" w:cs="仿宋_GB2312"/>
                <w:b/>
                <w:bCs/>
                <w:sz w:val="21"/>
                <w:szCs w:val="21"/>
                <w:lang w:eastAsia="zh-CN"/>
              </w:rPr>
              <w:t>标前答疑会</w:t>
            </w:r>
          </w:p>
        </w:tc>
        <w:tc>
          <w:tcPr>
            <w:tcW w:w="7154" w:type="dxa"/>
            <w:tcBorders>
              <w:top w:val="single" w:color="auto" w:sz="4" w:space="0"/>
            </w:tcBorders>
            <w:vAlign w:val="center"/>
          </w:tcPr>
          <w:p w14:paraId="7626559A">
            <w:pPr>
              <w:pStyle w:val="126"/>
              <w:adjustRightInd/>
              <w:spacing w:before="0" w:after="0" w:line="360" w:lineRule="auto"/>
              <w:ind w:firstLine="440" w:firstLineChars="200"/>
              <w:textAlignment w:val="auto"/>
              <w:outlineLvl w:val="9"/>
              <w:rPr>
                <w:rFonts w:ascii="仿宋_GB2312" w:hAnsi="仿宋_GB2312" w:eastAsia="仿宋_GB2312" w:cs="Times New Roman"/>
                <w:color w:val="auto"/>
                <w:sz w:val="22"/>
                <w:szCs w:val="22"/>
              </w:rPr>
            </w:pPr>
            <w:bookmarkStart w:id="17" w:name="_Toc16900"/>
            <w:bookmarkStart w:id="18" w:name="_Toc17010"/>
            <w:bookmarkStart w:id="19" w:name="_Toc6305"/>
            <w:r>
              <w:rPr>
                <w:rFonts w:hint="eastAsia" w:ascii="仿宋_GB2312" w:hAnsi="仿宋_GB2312" w:eastAsia="仿宋_GB2312" w:cs="仿宋_GB2312"/>
                <w:color w:val="auto"/>
                <w:kern w:val="2"/>
                <w:sz w:val="22"/>
                <w:szCs w:val="22"/>
                <w:lang w:val="zh-CN"/>
              </w:rPr>
              <w:t>（</w:t>
            </w:r>
            <w:r>
              <w:rPr>
                <w:rFonts w:ascii="仿宋_GB2312" w:hAnsi="仿宋_GB2312" w:eastAsia="仿宋_GB2312" w:cs="仿宋_GB2312"/>
                <w:color w:val="auto"/>
                <w:kern w:val="2"/>
                <w:sz w:val="22"/>
                <w:szCs w:val="22"/>
              </w:rPr>
              <w:t xml:space="preserve"> </w:t>
            </w:r>
            <w:r>
              <w:rPr>
                <w:rFonts w:ascii="仿宋_GB2312" w:hAnsi="仿宋_GB2312" w:eastAsia="仿宋_GB2312" w:cs="仿宋_GB2312"/>
                <w:sz w:val="22"/>
                <w:szCs w:val="22"/>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hint="eastAsia" w:ascii="仿宋_GB2312" w:hAnsi="仿宋_GB2312" w:eastAsia="仿宋_GB2312" w:cs="仿宋_GB2312"/>
                <w:color w:val="auto"/>
                <w:kern w:val="2"/>
                <w:sz w:val="22"/>
                <w:szCs w:val="22"/>
                <w:lang w:val="zh-CN"/>
              </w:rPr>
              <w:t>）不组织</w:t>
            </w:r>
            <w:bookmarkEnd w:id="17"/>
            <w:bookmarkEnd w:id="18"/>
            <w:bookmarkEnd w:id="19"/>
          </w:p>
          <w:p w14:paraId="031B75D6">
            <w:pPr>
              <w:pStyle w:val="126"/>
              <w:adjustRightInd/>
              <w:spacing w:before="0" w:after="0" w:line="360" w:lineRule="auto"/>
              <w:ind w:left="31680" w:hanging="442" w:hangingChars="201"/>
              <w:textAlignment w:val="auto"/>
              <w:outlineLvl w:val="9"/>
              <w:rPr>
                <w:rFonts w:ascii="仿宋_GB2312" w:hAnsi="仿宋_GB2312" w:eastAsia="仿宋_GB2312" w:cs="Times New Roman"/>
                <w:color w:val="auto"/>
                <w:sz w:val="22"/>
                <w:szCs w:val="22"/>
                <w:lang w:val="zh-CN"/>
              </w:rPr>
            </w:pPr>
            <w:r>
              <w:rPr>
                <w:rFonts w:ascii="仿宋_GB2312" w:hAnsi="仿宋_GB2312" w:eastAsia="仿宋_GB2312" w:cs="仿宋_GB2312"/>
                <w:color w:val="auto"/>
                <w:sz w:val="22"/>
                <w:szCs w:val="22"/>
              </w:rPr>
              <w:t xml:space="preserve">    </w:t>
            </w:r>
            <w:bookmarkStart w:id="20" w:name="_Toc1116"/>
            <w:bookmarkStart w:id="21" w:name="_Toc29084"/>
            <w:bookmarkStart w:id="22" w:name="_Toc6399"/>
            <w:r>
              <w:rPr>
                <w:rFonts w:hint="eastAsia" w:ascii="仿宋_GB2312" w:hAnsi="仿宋_GB2312" w:eastAsia="仿宋_GB2312" w:cs="仿宋_GB2312"/>
                <w:color w:val="auto"/>
                <w:sz w:val="22"/>
                <w:szCs w:val="22"/>
                <w:lang w:val="zh-CN"/>
              </w:rPr>
              <w:t>（</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）组</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织</w:t>
            </w:r>
            <w:bookmarkEnd w:id="20"/>
            <w:bookmarkEnd w:id="21"/>
            <w:bookmarkEnd w:id="22"/>
            <w:r>
              <w:rPr>
                <w:rFonts w:ascii="仿宋_GB2312" w:hAnsi="仿宋_GB2312" w:eastAsia="仿宋_GB2312" w:cs="仿宋_GB2312"/>
                <w:color w:val="auto"/>
                <w:sz w:val="22"/>
                <w:szCs w:val="22"/>
              </w:rPr>
              <w:t xml:space="preserve">  </w:t>
            </w:r>
          </w:p>
          <w:p w14:paraId="26A76870">
            <w:pPr>
              <w:pStyle w:val="126"/>
              <w:adjustRightInd/>
              <w:spacing w:before="0" w:after="0" w:line="360" w:lineRule="auto"/>
              <w:ind w:left="31680" w:hanging="442" w:hangingChars="201"/>
              <w:textAlignment w:val="auto"/>
              <w:outlineLvl w:val="9"/>
              <w:rPr>
                <w:rFonts w:ascii="仿宋_GB2312" w:hAnsi="仿宋_GB2312" w:eastAsia="仿宋_GB2312" w:cs="Times New Roman"/>
                <w:color w:val="auto"/>
                <w:sz w:val="22"/>
                <w:szCs w:val="22"/>
                <w:lang w:val="zh-CN"/>
              </w:rPr>
            </w:pPr>
            <w:r>
              <w:rPr>
                <w:rFonts w:ascii="仿宋_GB2312" w:hAnsi="仿宋_GB2312" w:eastAsia="仿宋_GB2312" w:cs="仿宋_GB2312"/>
                <w:color w:val="auto"/>
                <w:sz w:val="22"/>
                <w:szCs w:val="22"/>
              </w:rPr>
              <w:t xml:space="preserve">    </w:t>
            </w:r>
            <w:bookmarkStart w:id="23" w:name="_Toc29767"/>
            <w:bookmarkStart w:id="24" w:name="_Toc5679"/>
            <w:bookmarkStart w:id="25" w:name="_Toc23706"/>
            <w:r>
              <w:rPr>
                <w:rFonts w:hint="eastAsia" w:ascii="仿宋_GB2312" w:hAnsi="仿宋_GB2312" w:eastAsia="仿宋_GB2312" w:cs="仿宋_GB2312"/>
                <w:color w:val="auto"/>
                <w:sz w:val="22"/>
                <w:szCs w:val="22"/>
                <w:lang w:val="zh-CN"/>
              </w:rPr>
              <w:t>集合时间</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年</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月</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日</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时</w:t>
            </w:r>
            <w:bookmarkEnd w:id="23"/>
            <w:bookmarkEnd w:id="24"/>
            <w:bookmarkEnd w:id="25"/>
          </w:p>
          <w:p w14:paraId="794CB4DF">
            <w:pPr>
              <w:pStyle w:val="126"/>
              <w:adjustRightInd/>
              <w:spacing w:before="0" w:after="0" w:line="360" w:lineRule="auto"/>
              <w:ind w:left="31680" w:hanging="442" w:hangingChars="201"/>
              <w:textAlignment w:val="auto"/>
              <w:outlineLvl w:val="9"/>
              <w:rPr>
                <w:rFonts w:ascii="仿宋_GB2312" w:hAnsi="仿宋_GB2312" w:eastAsia="仿宋_GB2312" w:cs="Times New Roman"/>
                <w:color w:val="auto"/>
                <w:sz w:val="22"/>
                <w:szCs w:val="22"/>
              </w:rPr>
            </w:pPr>
            <w:r>
              <w:rPr>
                <w:rFonts w:ascii="仿宋_GB2312" w:hAnsi="仿宋_GB2312" w:eastAsia="仿宋_GB2312" w:cs="仿宋_GB2312"/>
                <w:color w:val="auto"/>
                <w:sz w:val="22"/>
                <w:szCs w:val="22"/>
              </w:rPr>
              <w:t xml:space="preserve">    </w:t>
            </w:r>
            <w:bookmarkStart w:id="26" w:name="_Toc29329"/>
            <w:bookmarkStart w:id="27" w:name="_Toc5113"/>
            <w:bookmarkStart w:id="28" w:name="_Toc10078"/>
            <w:r>
              <w:rPr>
                <w:rFonts w:hint="eastAsia" w:ascii="仿宋_GB2312" w:hAnsi="仿宋_GB2312" w:eastAsia="仿宋_GB2312" w:cs="仿宋_GB2312"/>
                <w:color w:val="auto"/>
                <w:sz w:val="22"/>
                <w:szCs w:val="22"/>
                <w:lang w:val="zh-CN"/>
              </w:rPr>
              <w:t>集合地点：</w:t>
            </w:r>
            <w:bookmarkEnd w:id="26"/>
            <w:bookmarkEnd w:id="27"/>
            <w:bookmarkEnd w:id="28"/>
            <w:r>
              <w:rPr>
                <w:rFonts w:ascii="仿宋_GB2312" w:hAnsi="仿宋_GB2312" w:eastAsia="仿宋_GB2312" w:cs="仿宋_GB2312"/>
                <w:color w:val="auto"/>
                <w:sz w:val="22"/>
                <w:szCs w:val="22"/>
              </w:rPr>
              <w:t xml:space="preserve"> </w:t>
            </w:r>
          </w:p>
          <w:p w14:paraId="6BE0580D">
            <w:pPr>
              <w:pStyle w:val="126"/>
              <w:adjustRightInd/>
              <w:spacing w:before="0" w:after="0" w:line="360" w:lineRule="auto"/>
              <w:ind w:left="31680" w:hanging="442" w:hangingChars="201"/>
              <w:textAlignment w:val="auto"/>
              <w:outlineLvl w:val="9"/>
              <w:rPr>
                <w:rFonts w:ascii="仿宋_GB2312" w:hAnsi="仿宋_GB2312" w:eastAsia="仿宋_GB2312" w:cs="仿宋_GB2312"/>
                <w:color w:val="auto"/>
                <w:sz w:val="22"/>
                <w:szCs w:val="22"/>
                <w:lang w:val="zh-CN"/>
              </w:rPr>
            </w:pPr>
            <w:r>
              <w:rPr>
                <w:rFonts w:ascii="仿宋_GB2312" w:hAnsi="仿宋_GB2312" w:eastAsia="仿宋_GB2312" w:cs="仿宋_GB2312"/>
                <w:color w:val="auto"/>
                <w:sz w:val="22"/>
                <w:szCs w:val="22"/>
              </w:rPr>
              <w:t xml:space="preserve">    </w:t>
            </w:r>
            <w:bookmarkStart w:id="29" w:name="_Toc4746"/>
            <w:bookmarkStart w:id="30" w:name="_Toc1097"/>
            <w:bookmarkStart w:id="31" w:name="_Toc3124"/>
            <w:r>
              <w:rPr>
                <w:rFonts w:hint="eastAsia" w:ascii="仿宋_GB2312" w:hAnsi="仿宋_GB2312" w:eastAsia="仿宋_GB2312" w:cs="仿宋_GB2312"/>
                <w:color w:val="auto"/>
                <w:sz w:val="22"/>
                <w:szCs w:val="22"/>
                <w:lang w:val="zh-CN"/>
              </w:rPr>
              <w:t>联系人：</w:t>
            </w:r>
            <w:r>
              <w:rPr>
                <w:rFonts w:ascii="仿宋_GB2312" w:hAnsi="仿宋_GB2312" w:eastAsia="仿宋_GB2312" w:cs="仿宋_GB2312"/>
                <w:color w:val="auto"/>
                <w:sz w:val="22"/>
                <w:szCs w:val="22"/>
              </w:rPr>
              <w:t xml:space="preserve"> </w:t>
            </w:r>
            <w:r>
              <w:rPr>
                <w:rFonts w:ascii="仿宋_GB2312" w:hAnsi="仿宋_GB2312" w:eastAsia="仿宋_GB2312" w:cs="仿宋_GB2312"/>
                <w:color w:val="auto"/>
                <w:sz w:val="22"/>
                <w:szCs w:val="22"/>
                <w:lang w:val="zh-CN"/>
              </w:rPr>
              <w:t xml:space="preserve">  </w:t>
            </w:r>
            <w:r>
              <w:rPr>
                <w:rFonts w:ascii="仿宋_GB2312" w:hAnsi="仿宋_GB2312" w:eastAsia="仿宋_GB2312" w:cs="仿宋_GB2312"/>
                <w:color w:val="auto"/>
                <w:sz w:val="22"/>
                <w:szCs w:val="22"/>
              </w:rPr>
              <w:t xml:space="preserve">        </w:t>
            </w:r>
            <w:r>
              <w:rPr>
                <w:rFonts w:ascii="仿宋_GB2312" w:hAnsi="仿宋_GB2312" w:eastAsia="仿宋_GB2312" w:cs="仿宋_GB2312"/>
                <w:color w:val="auto"/>
                <w:sz w:val="22"/>
                <w:szCs w:val="22"/>
                <w:lang w:val="zh-CN"/>
              </w:rPr>
              <w:t xml:space="preserve">  </w:t>
            </w:r>
            <w:r>
              <w:rPr>
                <w:rFonts w:hint="eastAsia" w:ascii="仿宋_GB2312" w:hAnsi="仿宋_GB2312" w:eastAsia="仿宋_GB2312" w:cs="仿宋_GB2312"/>
                <w:color w:val="auto"/>
                <w:sz w:val="22"/>
                <w:szCs w:val="22"/>
                <w:lang w:val="zh-CN"/>
              </w:rPr>
              <w:t>联系电话：</w:t>
            </w:r>
            <w:bookmarkEnd w:id="29"/>
            <w:bookmarkEnd w:id="30"/>
            <w:bookmarkEnd w:id="31"/>
            <w:r>
              <w:rPr>
                <w:rFonts w:ascii="仿宋_GB2312" w:hAnsi="仿宋_GB2312" w:eastAsia="仿宋_GB2312" w:cs="仿宋_GB2312"/>
                <w:color w:val="auto"/>
                <w:sz w:val="22"/>
                <w:szCs w:val="22"/>
                <w:lang w:val="zh-CN"/>
              </w:rPr>
              <w:t xml:space="preserve">      </w:t>
            </w:r>
          </w:p>
          <w:p w14:paraId="6313C79A">
            <w:pPr>
              <w:pStyle w:val="110"/>
              <w:ind w:left="210" w:leftChars="100"/>
              <w:outlineLvl w:val="9"/>
              <w:rPr>
                <w:rFonts w:ascii="仿宋_GB2312" w:hAnsi="仿宋_GB2312" w:eastAsia="仿宋_GB2312" w:cs="Times New Roman"/>
                <w:sz w:val="21"/>
                <w:szCs w:val="21"/>
                <w:lang w:eastAsia="zh-CN"/>
              </w:rPr>
            </w:pPr>
            <w:r>
              <w:rPr>
                <w:rFonts w:ascii="仿宋_GB2312" w:hAnsi="仿宋_GB2312" w:eastAsia="仿宋_GB2312" w:cs="仿宋_GB2312"/>
                <w:sz w:val="22"/>
                <w:szCs w:val="22"/>
                <w:lang w:eastAsia="zh-CN"/>
              </w:rPr>
              <w:t xml:space="preserve">    </w:t>
            </w:r>
            <w:r>
              <w:rPr>
                <w:rFonts w:hint="eastAsia" w:ascii="仿宋_GB2312" w:hAnsi="仿宋_GB2312" w:eastAsia="仿宋_GB2312" w:cs="仿宋_GB2312"/>
                <w:sz w:val="22"/>
                <w:szCs w:val="22"/>
                <w:lang w:val="zh-CN" w:eastAsia="zh-CN"/>
              </w:rPr>
              <w:t>届时请每家投标人可安排不超过</w:t>
            </w:r>
            <w:r>
              <w:rPr>
                <w:rFonts w:ascii="仿宋_GB2312" w:hAnsi="仿宋_GB2312" w:eastAsia="仿宋_GB2312" w:cs="仿宋_GB2312"/>
                <w:sz w:val="22"/>
                <w:szCs w:val="22"/>
                <w:lang w:val="zh-CN" w:eastAsia="zh-CN"/>
              </w:rPr>
              <w:t>2</w:t>
            </w:r>
            <w:r>
              <w:rPr>
                <w:rFonts w:hint="eastAsia" w:ascii="仿宋_GB2312" w:hAnsi="仿宋_GB2312" w:eastAsia="仿宋_GB2312" w:cs="仿宋_GB2312"/>
                <w:sz w:val="22"/>
                <w:szCs w:val="22"/>
                <w:lang w:val="zh-CN" w:eastAsia="zh-CN"/>
              </w:rPr>
              <w:t>人出席，并须携带本人身份证原件及加盖投标单位公章的介绍信（证明函）。现场踏勘仅组织一次，投标人错过现场踏勘后果自负。</w:t>
            </w:r>
          </w:p>
        </w:tc>
      </w:tr>
      <w:tr w14:paraId="7EA307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24" w:hRule="atLeast"/>
          <w:jc w:val="center"/>
        </w:trPr>
        <w:tc>
          <w:tcPr>
            <w:tcW w:w="1012" w:type="dxa"/>
            <w:vAlign w:val="center"/>
          </w:tcPr>
          <w:p w14:paraId="7FE251B3">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12</w:t>
            </w:r>
          </w:p>
        </w:tc>
        <w:tc>
          <w:tcPr>
            <w:tcW w:w="1591" w:type="dxa"/>
            <w:vAlign w:val="center"/>
          </w:tcPr>
          <w:p w14:paraId="28446EDE">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投标人对招标文件提出质疑的期限</w:t>
            </w:r>
          </w:p>
        </w:tc>
        <w:tc>
          <w:tcPr>
            <w:tcW w:w="7154" w:type="dxa"/>
            <w:vAlign w:val="center"/>
          </w:tcPr>
          <w:p w14:paraId="71638A46">
            <w:pPr>
              <w:pStyle w:val="110"/>
              <w:ind w:firstLine="211" w:firstLineChars="100"/>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b/>
                <w:bCs/>
                <w:sz w:val="21"/>
                <w:szCs w:val="21"/>
                <w:lang w:val="zh-CN" w:eastAsia="zh-CN"/>
              </w:rPr>
              <w:t>自收到采购文件之日或者采购文件公告期限届满之日起七个工作日内，逾期视为默认此项目招标文件所有条款，即对招标文件质疑不予受理。</w:t>
            </w:r>
          </w:p>
        </w:tc>
      </w:tr>
      <w:tr w14:paraId="6125C6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3" w:hRule="exact"/>
          <w:jc w:val="center"/>
        </w:trPr>
        <w:tc>
          <w:tcPr>
            <w:tcW w:w="1012" w:type="dxa"/>
            <w:shd w:val="clear" w:color="auto" w:fill="auto"/>
            <w:vAlign w:val="center"/>
          </w:tcPr>
          <w:p w14:paraId="4DFC265D">
            <w:pPr>
              <w:pStyle w:val="110"/>
              <w:ind w:right="230" w:rightChars="0"/>
              <w:jc w:val="center"/>
              <w:outlineLvl w:val="9"/>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仿宋_GB2312"/>
                <w:sz w:val="21"/>
                <w:szCs w:val="21"/>
                <w:lang w:val="en-US" w:eastAsia="zh-CN"/>
              </w:rPr>
              <w:t>13</w:t>
            </w:r>
          </w:p>
        </w:tc>
        <w:tc>
          <w:tcPr>
            <w:tcW w:w="1591" w:type="dxa"/>
            <w:vAlign w:val="center"/>
          </w:tcPr>
          <w:p w14:paraId="1CA4A5AE">
            <w:pPr>
              <w:pStyle w:val="110"/>
              <w:ind w:left="5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构成招标文件的其他文件</w:t>
            </w:r>
          </w:p>
        </w:tc>
        <w:tc>
          <w:tcPr>
            <w:tcW w:w="7154" w:type="dxa"/>
            <w:vAlign w:val="center"/>
          </w:tcPr>
          <w:p w14:paraId="3FA64EEF">
            <w:pPr>
              <w:pStyle w:val="110"/>
              <w:ind w:left="31680" w:hanging="210" w:hangingChars="100"/>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val="zh-CN" w:eastAsia="zh-CN"/>
              </w:rPr>
              <w:t xml:space="preserve">  </w:t>
            </w:r>
            <w:r>
              <w:rPr>
                <w:rFonts w:hint="eastAsia" w:ascii="仿宋_GB2312" w:hAnsi="仿宋_GB2312" w:eastAsia="仿宋_GB2312" w:cs="仿宋_GB2312"/>
                <w:sz w:val="21"/>
                <w:szCs w:val="21"/>
                <w:lang w:val="zh-CN" w:eastAsia="zh-CN"/>
              </w:rPr>
              <w:t>招标文件的澄清</w:t>
            </w:r>
            <w:r>
              <w:rPr>
                <w:rFonts w:hint="eastAsia" w:ascii="仿宋_GB2312" w:hAnsi="仿宋_GB2312" w:eastAsia="仿宋_GB2312" w:cs="仿宋_GB2312"/>
                <w:sz w:val="21"/>
                <w:szCs w:val="21"/>
                <w:lang w:eastAsia="zh-CN"/>
              </w:rPr>
              <w:t>、修改及有关补充说明为招标文件的有效组成部分。</w:t>
            </w:r>
          </w:p>
        </w:tc>
      </w:tr>
      <w:tr w14:paraId="643F01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6" w:hRule="exact"/>
          <w:jc w:val="center"/>
        </w:trPr>
        <w:tc>
          <w:tcPr>
            <w:tcW w:w="1012" w:type="dxa"/>
            <w:shd w:val="clear" w:color="auto" w:fill="auto"/>
            <w:vAlign w:val="center"/>
          </w:tcPr>
          <w:p w14:paraId="335E2106">
            <w:pPr>
              <w:pStyle w:val="110"/>
              <w:ind w:right="230" w:rightChars="0"/>
              <w:jc w:val="center"/>
              <w:outlineLvl w:val="9"/>
              <w:rPr>
                <w:rFonts w:ascii="仿宋_GB2312" w:hAnsi="仿宋_GB2312" w:eastAsia="仿宋_GB2312" w:cs="Times New Roman"/>
                <w:kern w:val="0"/>
                <w:sz w:val="21"/>
                <w:szCs w:val="21"/>
                <w:lang w:val="zh-CN" w:eastAsia="zh-CN" w:bidi="ar-SA"/>
              </w:rPr>
            </w:pPr>
            <w:r>
              <w:rPr>
                <w:rFonts w:ascii="仿宋_GB2312" w:hAnsi="仿宋_GB2312" w:eastAsia="仿宋_GB2312" w:cs="仿宋_GB2312"/>
                <w:sz w:val="21"/>
                <w:szCs w:val="21"/>
                <w:lang w:eastAsia="zh-CN"/>
              </w:rPr>
              <w:t>14</w:t>
            </w:r>
          </w:p>
        </w:tc>
        <w:tc>
          <w:tcPr>
            <w:tcW w:w="1591" w:type="dxa"/>
            <w:vAlign w:val="center"/>
          </w:tcPr>
          <w:p w14:paraId="2C05D792">
            <w:pPr>
              <w:pStyle w:val="110"/>
              <w:ind w:left="5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投标截止时间</w:t>
            </w:r>
          </w:p>
        </w:tc>
        <w:tc>
          <w:tcPr>
            <w:tcW w:w="7154" w:type="dxa"/>
            <w:vAlign w:val="center"/>
          </w:tcPr>
          <w:p w14:paraId="1B265F48">
            <w:pPr>
              <w:pStyle w:val="110"/>
              <w:ind w:firstLine="105" w:firstLineChars="50"/>
              <w:outlineLvl w:val="9"/>
              <w:rPr>
                <w:rFonts w:ascii="仿宋_GB2312" w:hAnsi="仿宋_GB2312" w:eastAsia="仿宋_GB2312" w:cs="Times New Roman"/>
                <w:b/>
                <w:bCs/>
                <w:sz w:val="21"/>
                <w:szCs w:val="21"/>
                <w:lang w:eastAsia="zh-CN"/>
              </w:rPr>
            </w:pPr>
            <w:r>
              <w:rPr>
                <w:rFonts w:hint="eastAsia" w:ascii="仿宋_GB2312" w:hAnsi="仿宋_GB2312" w:eastAsia="仿宋_GB2312" w:cs="仿宋_GB2312"/>
                <w:b w:val="0"/>
                <w:bCs w:val="0"/>
                <w:sz w:val="21"/>
                <w:szCs w:val="21"/>
                <w:lang w:eastAsia="zh-CN"/>
              </w:rPr>
              <w:t>同招标公告一致</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sz w:val="21"/>
                <w:szCs w:val="21"/>
                <w:lang w:eastAsia="zh-CN"/>
              </w:rPr>
              <w:t>逾期不予受理。</w:t>
            </w:r>
          </w:p>
        </w:tc>
      </w:tr>
      <w:tr w14:paraId="0DDFF0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42" w:hRule="exact"/>
          <w:jc w:val="center"/>
        </w:trPr>
        <w:tc>
          <w:tcPr>
            <w:tcW w:w="1012" w:type="dxa"/>
            <w:shd w:val="clear" w:color="auto" w:fill="auto"/>
            <w:vAlign w:val="center"/>
          </w:tcPr>
          <w:p w14:paraId="785BD97B">
            <w:pPr>
              <w:pStyle w:val="110"/>
              <w:ind w:right="230"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15</w:t>
            </w:r>
          </w:p>
        </w:tc>
        <w:tc>
          <w:tcPr>
            <w:tcW w:w="1591" w:type="dxa"/>
            <w:vAlign w:val="center"/>
          </w:tcPr>
          <w:p w14:paraId="619B89B2">
            <w:pPr>
              <w:pStyle w:val="110"/>
              <w:ind w:left="5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投标文件递交</w:t>
            </w:r>
          </w:p>
        </w:tc>
        <w:tc>
          <w:tcPr>
            <w:tcW w:w="7154" w:type="dxa"/>
            <w:vAlign w:val="center"/>
          </w:tcPr>
          <w:p w14:paraId="41BCCAD0">
            <w:pPr>
              <w:pStyle w:val="110"/>
              <w:ind w:firstLine="105" w:firstLineChars="50"/>
              <w:outlineLvl w:val="9"/>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eastAsia="zh-CN"/>
              </w:rPr>
              <w:t>地点：同招标公告一致</w:t>
            </w:r>
          </w:p>
          <w:p w14:paraId="397328AB">
            <w:pPr>
              <w:pStyle w:val="110"/>
              <w:ind w:firstLine="105" w:firstLineChars="50"/>
              <w:outlineLvl w:val="9"/>
              <w:rPr>
                <w:rFonts w:ascii="仿宋_GB2312" w:hAnsi="仿宋_GB2312" w:eastAsia="仿宋_GB2312" w:cs="Times New Roman"/>
                <w:b/>
                <w:bCs/>
                <w:sz w:val="21"/>
                <w:szCs w:val="21"/>
                <w:lang w:eastAsia="zh-CN"/>
              </w:rPr>
            </w:pPr>
            <w:r>
              <w:rPr>
                <w:rFonts w:hint="eastAsia" w:ascii="仿宋_GB2312" w:hAnsi="仿宋_GB2312" w:eastAsia="仿宋_GB2312" w:cs="仿宋_GB2312"/>
                <w:sz w:val="21"/>
                <w:szCs w:val="21"/>
                <w:lang w:eastAsia="zh-CN"/>
              </w:rPr>
              <w:t>截止时间：同招标公告一致，逾期不予受理。</w:t>
            </w:r>
          </w:p>
        </w:tc>
      </w:tr>
      <w:tr w14:paraId="2FBCF1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1012" w:type="dxa"/>
            <w:shd w:val="clear" w:color="auto" w:fill="auto"/>
            <w:vAlign w:val="center"/>
          </w:tcPr>
          <w:p w14:paraId="5AF0FCA9">
            <w:pPr>
              <w:pStyle w:val="110"/>
              <w:ind w:right="230"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16</w:t>
            </w:r>
          </w:p>
        </w:tc>
        <w:tc>
          <w:tcPr>
            <w:tcW w:w="1591" w:type="dxa"/>
            <w:vAlign w:val="center"/>
          </w:tcPr>
          <w:p w14:paraId="35217CAB">
            <w:pPr>
              <w:pStyle w:val="110"/>
              <w:ind w:left="33"/>
              <w:jc w:val="center"/>
              <w:outlineLvl w:val="9"/>
              <w:rPr>
                <w:rFonts w:hint="eastAsia" w:ascii="仿宋_GB2312" w:hAnsi="仿宋_GB2312" w:eastAsia="仿宋_GB2312" w:cs="Times New Roman"/>
                <w:b/>
                <w:bCs/>
                <w:sz w:val="21"/>
                <w:szCs w:val="21"/>
                <w:lang w:val="en-US" w:eastAsia="zh-CN"/>
              </w:rPr>
            </w:pPr>
            <w:r>
              <w:rPr>
                <w:rFonts w:hint="eastAsia" w:ascii="仿宋_GB2312" w:hAnsi="仿宋_GB2312" w:eastAsia="仿宋_GB2312" w:cs="仿宋_GB2312"/>
                <w:b/>
                <w:bCs/>
                <w:sz w:val="21"/>
                <w:szCs w:val="21"/>
                <w:lang w:val="zh-CN"/>
              </w:rPr>
              <w:t>开标时间、</w:t>
            </w:r>
            <w:r>
              <w:rPr>
                <w:rFonts w:hint="eastAsia" w:ascii="仿宋_GB2312" w:hAnsi="仿宋_GB2312" w:eastAsia="仿宋_GB2312" w:cs="仿宋_GB2312"/>
                <w:b/>
                <w:bCs/>
                <w:sz w:val="21"/>
                <w:szCs w:val="21"/>
                <w:lang w:val="en-US" w:eastAsia="zh-CN"/>
              </w:rPr>
              <w:t>地点</w:t>
            </w:r>
          </w:p>
        </w:tc>
        <w:tc>
          <w:tcPr>
            <w:tcW w:w="7154" w:type="dxa"/>
            <w:vAlign w:val="center"/>
          </w:tcPr>
          <w:p w14:paraId="5CA5C538">
            <w:pPr>
              <w:spacing w:beforeLines="0" w:afterLines="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开标时间：详见招标公告</w:t>
            </w:r>
          </w:p>
          <w:p w14:paraId="1FAFEFAD">
            <w:pPr>
              <w:pStyle w:val="110"/>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kern w:val="0"/>
                <w:sz w:val="21"/>
                <w:szCs w:val="21"/>
                <w:lang w:val="en-US" w:eastAsia="zh-CN" w:bidi="ar-SA"/>
              </w:rPr>
              <w:t>开标地点：详见招标公告。</w:t>
            </w:r>
          </w:p>
        </w:tc>
      </w:tr>
      <w:tr w14:paraId="6C0449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7" w:hRule="exact"/>
          <w:jc w:val="center"/>
        </w:trPr>
        <w:tc>
          <w:tcPr>
            <w:tcW w:w="1012" w:type="dxa"/>
            <w:shd w:val="clear" w:color="auto" w:fill="auto"/>
            <w:vAlign w:val="center"/>
          </w:tcPr>
          <w:p w14:paraId="56BCBE2C">
            <w:pPr>
              <w:pStyle w:val="110"/>
              <w:ind w:right="230"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17</w:t>
            </w:r>
          </w:p>
        </w:tc>
        <w:tc>
          <w:tcPr>
            <w:tcW w:w="1591" w:type="dxa"/>
            <w:vAlign w:val="center"/>
          </w:tcPr>
          <w:p w14:paraId="3F3BFBCF">
            <w:pPr>
              <w:pStyle w:val="110"/>
              <w:ind w:left="33"/>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投标有效期</w:t>
            </w:r>
          </w:p>
        </w:tc>
        <w:tc>
          <w:tcPr>
            <w:tcW w:w="7154" w:type="dxa"/>
            <w:vAlign w:val="center"/>
          </w:tcPr>
          <w:p w14:paraId="55C8D625">
            <w:pPr>
              <w:pStyle w:val="110"/>
              <w:ind w:firstLine="210" w:firstLineChars="100"/>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en-US" w:eastAsia="zh-CN"/>
              </w:rPr>
              <w:t>开标后</w:t>
            </w:r>
            <w:r>
              <w:rPr>
                <w:rFonts w:ascii="仿宋_GB2312" w:hAnsi="仿宋_GB2312" w:eastAsia="仿宋_GB2312" w:cs="仿宋_GB2312"/>
                <w:sz w:val="21"/>
                <w:szCs w:val="21"/>
                <w:lang w:eastAsia="zh-CN"/>
              </w:rPr>
              <w:t>60</w:t>
            </w:r>
            <w:r>
              <w:rPr>
                <w:rFonts w:hint="eastAsia" w:ascii="仿宋_GB2312" w:hAnsi="仿宋_GB2312" w:eastAsia="仿宋_GB2312" w:cs="仿宋_GB2312"/>
                <w:sz w:val="21"/>
                <w:szCs w:val="21"/>
                <w:lang w:eastAsia="zh-CN"/>
              </w:rPr>
              <w:t>天。</w:t>
            </w:r>
          </w:p>
        </w:tc>
      </w:tr>
      <w:tr w14:paraId="1AA3F8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4" w:hRule="exact"/>
          <w:jc w:val="center"/>
        </w:trPr>
        <w:tc>
          <w:tcPr>
            <w:tcW w:w="1012" w:type="dxa"/>
            <w:shd w:val="clear" w:color="auto" w:fill="auto"/>
            <w:vAlign w:val="center"/>
          </w:tcPr>
          <w:p w14:paraId="65697F9A">
            <w:pPr>
              <w:pStyle w:val="110"/>
              <w:ind w:right="230"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19</w:t>
            </w:r>
          </w:p>
        </w:tc>
        <w:tc>
          <w:tcPr>
            <w:tcW w:w="1591" w:type="dxa"/>
            <w:vAlign w:val="bottom"/>
          </w:tcPr>
          <w:p w14:paraId="0B34B788">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交货和服务地点</w:t>
            </w:r>
          </w:p>
        </w:tc>
        <w:tc>
          <w:tcPr>
            <w:tcW w:w="7154" w:type="dxa"/>
            <w:vAlign w:val="center"/>
          </w:tcPr>
          <w:p w14:paraId="3207588F">
            <w:pPr>
              <w:autoSpaceDE w:val="0"/>
              <w:autoSpaceDN w:val="0"/>
              <w:adjustRightInd w:val="0"/>
              <w:spacing w:line="551" w:lineRule="exact"/>
              <w:jc w:val="left"/>
              <w:outlineLvl w:val="9"/>
              <w:rPr>
                <w:rFonts w:ascii="仿宋_GB2312" w:hAnsi="仿宋_GB2312" w:eastAsia="仿宋_GB2312"/>
                <w:lang w:val="zh-CN"/>
              </w:rPr>
            </w:pPr>
            <w:r>
              <w:rPr>
                <w:rFonts w:hint="eastAsia" w:ascii="仿宋_GB2312" w:hAnsi="仿宋_GB2312" w:eastAsia="仿宋_GB2312" w:cs="仿宋_GB2312"/>
                <w:lang w:val="zh-CN"/>
              </w:rPr>
              <w:t>地点：</w:t>
            </w:r>
            <w:r>
              <w:rPr>
                <w:rFonts w:hint="eastAsia" w:ascii="仿宋_GB2312" w:hAnsi="仿宋_GB2312" w:eastAsia="仿宋_GB2312" w:cs="仿宋_GB2312"/>
                <w:u w:val="single"/>
              </w:rPr>
              <w:t>采购单位</w:t>
            </w:r>
            <w:r>
              <w:rPr>
                <w:rFonts w:hint="eastAsia" w:ascii="仿宋_GB2312" w:hAnsi="仿宋_GB2312" w:eastAsia="仿宋_GB2312" w:cs="仿宋_GB2312"/>
                <w:lang w:val="zh-CN"/>
              </w:rPr>
              <w:t>指定地点。</w:t>
            </w:r>
          </w:p>
        </w:tc>
      </w:tr>
      <w:tr w14:paraId="29CF64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6" w:hRule="exact"/>
          <w:jc w:val="center"/>
        </w:trPr>
        <w:tc>
          <w:tcPr>
            <w:tcW w:w="1012" w:type="dxa"/>
            <w:shd w:val="clear" w:color="auto" w:fill="auto"/>
            <w:vAlign w:val="center"/>
          </w:tcPr>
          <w:p w14:paraId="5B34AEB4">
            <w:pPr>
              <w:pStyle w:val="110"/>
              <w:keepNext w:val="0"/>
              <w:keepLines w:val="0"/>
              <w:pageBreakBefore w:val="0"/>
              <w:widowControl w:val="0"/>
              <w:kinsoku/>
              <w:wordWrap/>
              <w:overflowPunct/>
              <w:topLinePunct w:val="0"/>
              <w:autoSpaceDE w:val="0"/>
              <w:autoSpaceDN w:val="0"/>
              <w:bidi w:val="0"/>
              <w:adjustRightInd w:val="0"/>
              <w:snapToGrid/>
              <w:spacing w:after="0"/>
              <w:ind w:right="264" w:rightChars="0"/>
              <w:jc w:val="center"/>
              <w:textAlignment w:val="auto"/>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20</w:t>
            </w:r>
          </w:p>
        </w:tc>
        <w:tc>
          <w:tcPr>
            <w:tcW w:w="1591" w:type="dxa"/>
            <w:vAlign w:val="center"/>
          </w:tcPr>
          <w:p w14:paraId="30B6F680">
            <w:pPr>
              <w:pStyle w:val="110"/>
              <w:keepNext w:val="0"/>
              <w:keepLines w:val="0"/>
              <w:pageBreakBefore w:val="0"/>
              <w:widowControl w:val="0"/>
              <w:kinsoku/>
              <w:wordWrap/>
              <w:overflowPunct/>
              <w:topLinePunct w:val="0"/>
              <w:autoSpaceDE w:val="0"/>
              <w:autoSpaceDN w:val="0"/>
              <w:bidi w:val="0"/>
              <w:adjustRightInd w:val="0"/>
              <w:snapToGrid/>
              <w:spacing w:after="0"/>
              <w:ind w:left="33"/>
              <w:jc w:val="center"/>
              <w:textAlignment w:val="auto"/>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交货期</w:t>
            </w:r>
          </w:p>
        </w:tc>
        <w:tc>
          <w:tcPr>
            <w:tcW w:w="7154" w:type="dxa"/>
            <w:vAlign w:val="center"/>
          </w:tcPr>
          <w:p w14:paraId="28D39E85">
            <w:pPr>
              <w:pStyle w:val="110"/>
              <w:keepNext w:val="0"/>
              <w:keepLines w:val="0"/>
              <w:pageBreakBefore w:val="0"/>
              <w:widowControl w:val="0"/>
              <w:kinsoku/>
              <w:wordWrap/>
              <w:overflowPunct/>
              <w:topLinePunct w:val="0"/>
              <w:autoSpaceDE w:val="0"/>
              <w:autoSpaceDN w:val="0"/>
              <w:bidi w:val="0"/>
              <w:adjustRightInd w:val="0"/>
              <w:snapToGrid/>
              <w:spacing w:after="0"/>
              <w:ind w:left="33"/>
              <w:jc w:val="both"/>
              <w:textAlignment w:val="auto"/>
              <w:outlineLvl w:val="9"/>
              <w:rPr>
                <w:rFonts w:ascii="仿宋_GB2312" w:hAnsi="仿宋_GB2312" w:eastAsia="仿宋_GB2312" w:cs="Times New Roman"/>
                <w:sz w:val="21"/>
                <w:szCs w:val="21"/>
                <w:lang w:eastAsia="zh-CN"/>
              </w:rPr>
            </w:pPr>
            <w:r>
              <w:rPr>
                <w:rFonts w:hint="eastAsia" w:ascii="仿宋_GB2312" w:hAnsi="仿宋_GB2312" w:eastAsia="仿宋_GB2312" w:cs="仿宋_GB2312"/>
                <w:b/>
                <w:bCs/>
                <w:sz w:val="21"/>
                <w:szCs w:val="21"/>
                <w:lang w:eastAsia="zh-CN"/>
              </w:rPr>
              <w:t>合同签订后</w:t>
            </w:r>
            <w:r>
              <w:rPr>
                <w:rFonts w:hint="eastAsia" w:ascii="仿宋_GB2312" w:hAnsi="仿宋_GB2312" w:eastAsia="仿宋_GB2312" w:cs="仿宋_GB2312"/>
                <w:b/>
                <w:bCs/>
                <w:sz w:val="21"/>
                <w:szCs w:val="21"/>
                <w:u w:val="none"/>
                <w:lang w:val="en-US" w:eastAsia="zh-CN"/>
              </w:rPr>
              <w:t>15</w:t>
            </w:r>
            <w:r>
              <w:rPr>
                <w:rFonts w:hint="eastAsia" w:ascii="仿宋_GB2312" w:hAnsi="仿宋_GB2312" w:eastAsia="仿宋_GB2312" w:cs="仿宋_GB2312"/>
                <w:b/>
                <w:bCs/>
                <w:sz w:val="21"/>
                <w:szCs w:val="21"/>
                <w:lang w:eastAsia="zh-CN"/>
              </w:rPr>
              <w:t>天内。</w:t>
            </w:r>
          </w:p>
        </w:tc>
      </w:tr>
      <w:tr w14:paraId="6D6E394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2" w:type="dxa"/>
            <w:shd w:val="clear" w:color="auto" w:fill="auto"/>
            <w:vAlign w:val="center"/>
          </w:tcPr>
          <w:p w14:paraId="1B25A2A9">
            <w:pPr>
              <w:pStyle w:val="110"/>
              <w:ind w:right="264"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21</w:t>
            </w:r>
          </w:p>
        </w:tc>
        <w:tc>
          <w:tcPr>
            <w:tcW w:w="1591" w:type="dxa"/>
            <w:vAlign w:val="center"/>
          </w:tcPr>
          <w:p w14:paraId="2A97CFCC">
            <w:pPr>
              <w:spacing w:line="276" w:lineRule="auto"/>
              <w:jc w:val="center"/>
              <w:textAlignment w:val="baseline"/>
              <w:outlineLvl w:val="9"/>
              <w:rPr>
                <w:rFonts w:ascii="仿宋_GB2312" w:hAnsi="仿宋_GB2312" w:eastAsia="仿宋_GB2312"/>
                <w:b/>
                <w:bCs/>
                <w:sz w:val="22"/>
                <w:szCs w:val="22"/>
              </w:rPr>
            </w:pPr>
            <w:r>
              <w:rPr>
                <w:rFonts w:hint="eastAsia" w:ascii="仿宋_GB2312" w:hAnsi="仿宋_GB2312" w:eastAsia="仿宋_GB2312" w:cs="仿宋_GB2312"/>
                <w:b/>
                <w:bCs/>
                <w:sz w:val="22"/>
                <w:szCs w:val="22"/>
              </w:rPr>
              <w:t>供应商资格</w:t>
            </w:r>
            <w:r>
              <w:rPr>
                <w:rFonts w:hint="eastAsia" w:ascii="仿宋_GB2312" w:hAnsi="仿宋_GB2312" w:eastAsia="仿宋_GB2312" w:cs="仿宋_GB2312"/>
                <w:b/>
                <w:bCs/>
                <w:kern w:val="0"/>
                <w:sz w:val="22"/>
                <w:szCs w:val="22"/>
              </w:rPr>
              <w:t>条件</w:t>
            </w:r>
          </w:p>
          <w:p w14:paraId="40A3E13C">
            <w:pPr>
              <w:pStyle w:val="110"/>
              <w:jc w:val="center"/>
              <w:outlineLvl w:val="9"/>
              <w:rPr>
                <w:rFonts w:ascii="仿宋_GB2312" w:hAnsi="仿宋_GB2312" w:eastAsia="仿宋_GB2312" w:cs="Times New Roman"/>
                <w:b/>
                <w:bCs/>
                <w:sz w:val="20"/>
                <w:szCs w:val="20"/>
                <w:lang w:val="zh-CN" w:eastAsia="zh-CN"/>
              </w:rPr>
            </w:pPr>
          </w:p>
        </w:tc>
        <w:tc>
          <w:tcPr>
            <w:tcW w:w="7154" w:type="dxa"/>
            <w:vAlign w:val="center"/>
          </w:tcPr>
          <w:p w14:paraId="6FDDD16A">
            <w:pPr>
              <w:spacing w:after="50" w:line="420" w:lineRule="exact"/>
              <w:ind w:firstLine="420" w:firstLineChars="200"/>
              <w:outlineLvl w:val="9"/>
              <w:rPr>
                <w:rFonts w:ascii="仿宋_GB2312" w:hAnsi="仿宋_GB2312" w:eastAsia="仿宋_GB2312"/>
                <w:lang w:val="zh-CN"/>
              </w:rPr>
            </w:pPr>
            <w:r>
              <w:rPr>
                <w:rFonts w:ascii="仿宋_GB2312" w:hAnsi="仿宋_GB2312" w:eastAsia="仿宋_GB2312" w:cs="仿宋_GB2312"/>
                <w:lang w:val="zh-CN"/>
              </w:rPr>
              <w:t>1</w:t>
            </w:r>
            <w:r>
              <w:rPr>
                <w:rFonts w:hint="eastAsia" w:ascii="仿宋_GB2312" w:hAnsi="仿宋_GB2312" w:eastAsia="仿宋_GB2312" w:cs="仿宋_GB2312"/>
                <w:lang w:val="zh-CN"/>
              </w:rPr>
              <w:t>、必须符合《中华人民共和国政府采购法》第二十二条之规定，并提供《中华人民共和国政府采购法实施条例》第十七条所要求的材料。</w:t>
            </w:r>
          </w:p>
          <w:p w14:paraId="7B6736E3">
            <w:pPr>
              <w:spacing w:after="50" w:line="420" w:lineRule="exact"/>
              <w:ind w:firstLine="420" w:firstLineChars="200"/>
              <w:outlineLvl w:val="9"/>
              <w:rPr>
                <w:rFonts w:ascii="仿宋_GB2312" w:hAnsi="仿宋_GB2312" w:eastAsia="仿宋_GB2312"/>
                <w:b/>
                <w:bCs/>
                <w:sz w:val="22"/>
                <w:szCs w:val="22"/>
                <w:lang w:val="zh-CN"/>
              </w:rPr>
            </w:pPr>
            <w:r>
              <w:rPr>
                <w:rFonts w:ascii="仿宋_GB2312" w:hAnsi="仿宋_GB2312" w:eastAsia="仿宋_GB2312" w:cs="仿宋_GB2312"/>
              </w:rPr>
              <w:t>2</w:t>
            </w:r>
            <w:r>
              <w:rPr>
                <w:rFonts w:hint="eastAsia" w:ascii="仿宋_GB2312" w:hAnsi="仿宋_GB2312" w:eastAsia="仿宋_GB2312" w:cs="仿宋_GB2312"/>
                <w:lang w:val="zh-CN"/>
              </w:rPr>
              <w:t>、供应商未被列入“信用中国”网站</w:t>
            </w:r>
            <w:r>
              <w:rPr>
                <w:rFonts w:ascii="仿宋_GB2312" w:hAnsi="仿宋_GB2312" w:eastAsia="仿宋_GB2312" w:cs="仿宋_GB2312"/>
                <w:lang w:val="zh-CN"/>
              </w:rPr>
              <w:t>(www.creditchina.gov.cn)</w:t>
            </w:r>
            <w:r>
              <w:rPr>
                <w:rFonts w:hint="eastAsia" w:ascii="仿宋_GB2312" w:hAnsi="仿宋_GB2312" w:eastAsia="仿宋_GB2312" w:cs="仿宋_GB2312"/>
                <w:lang w:val="zh-CN"/>
              </w:rPr>
              <w:t>记录失信被执行人或重大税收违法案件当事人名单或政府采购严重违法失信行为记录名单；不处于中国政府采购网</w:t>
            </w:r>
            <w:r>
              <w:rPr>
                <w:rFonts w:ascii="仿宋_GB2312" w:hAnsi="仿宋_GB2312" w:eastAsia="仿宋_GB2312" w:cs="仿宋_GB2312"/>
                <w:lang w:val="zh-CN"/>
              </w:rPr>
              <w:t>(www.ccgp.gov.cn)</w:t>
            </w:r>
            <w:r>
              <w:rPr>
                <w:rFonts w:hint="eastAsia" w:ascii="仿宋_GB2312" w:hAnsi="仿宋_GB2312" w:eastAsia="仿宋_GB2312" w:cs="仿宋_GB2312"/>
                <w:lang w:val="zh-CN"/>
              </w:rPr>
              <w:t>政府采购严重违法失信行为信息记录中的禁止参加政府采购活动期间的方可参加本项目的投标；（以招标公告发布之日起至投标截止时间前在“信用中国”网站</w:t>
            </w:r>
            <w:r>
              <w:rPr>
                <w:rFonts w:ascii="仿宋_GB2312" w:hAnsi="仿宋_GB2312" w:eastAsia="仿宋_GB2312" w:cs="仿宋_GB2312"/>
                <w:lang w:val="zh-CN"/>
              </w:rPr>
              <w:t>[www.creditchina.gov.cn]</w:t>
            </w:r>
            <w:r>
              <w:rPr>
                <w:rFonts w:hint="eastAsia" w:ascii="仿宋_GB2312" w:hAnsi="仿宋_GB2312" w:eastAsia="仿宋_GB2312" w:cs="仿宋_GB2312"/>
                <w:lang w:val="zh-CN"/>
              </w:rPr>
              <w:t>、中国政府采购网</w:t>
            </w:r>
            <w:r>
              <w:rPr>
                <w:rFonts w:ascii="仿宋_GB2312" w:hAnsi="仿宋_GB2312" w:eastAsia="仿宋_GB2312" w:cs="仿宋_GB2312"/>
                <w:lang w:val="zh-CN"/>
              </w:rPr>
              <w:t>[www.ccgp.gov.cn]</w:t>
            </w:r>
            <w:r>
              <w:rPr>
                <w:rFonts w:hint="eastAsia" w:ascii="仿宋_GB2312" w:hAnsi="仿宋_GB2312" w:eastAsia="仿宋_GB2312" w:cs="仿宋_GB2312"/>
                <w:lang w:val="zh-CN"/>
              </w:rPr>
              <w:t>查询结果为准，如相关失信记录已失效，投标人需提供相关证明资料）。</w:t>
            </w:r>
          </w:p>
          <w:p w14:paraId="2C75759B">
            <w:pPr>
              <w:spacing w:after="50" w:line="420" w:lineRule="exact"/>
              <w:ind w:firstLine="420" w:firstLineChars="200"/>
              <w:outlineLvl w:val="9"/>
              <w:rPr>
                <w:rFonts w:ascii="仿宋_GB2312" w:hAnsi="仿宋_GB2312" w:eastAsia="仿宋_GB2312"/>
                <w:lang w:val="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val="zh-CN"/>
              </w:rPr>
              <w:t>、本项目不接受联合体投标。</w:t>
            </w:r>
          </w:p>
          <w:p w14:paraId="593F4E90">
            <w:pPr>
              <w:pStyle w:val="110"/>
              <w:spacing w:line="360" w:lineRule="auto"/>
              <w:ind w:firstLine="442" w:firstLineChars="200"/>
              <w:outlineLvl w:val="9"/>
              <w:rPr>
                <w:rFonts w:ascii="仿宋_GB2312" w:hAnsi="仿宋_GB2312" w:eastAsia="仿宋_GB2312" w:cs="Times New Roman"/>
                <w:sz w:val="22"/>
                <w:szCs w:val="22"/>
                <w:lang w:val="zh-CN" w:eastAsia="zh-CN"/>
              </w:rPr>
            </w:pPr>
            <w:r>
              <w:rPr>
                <w:rFonts w:hint="eastAsia" w:ascii="仿宋_GB2312" w:hAnsi="仿宋_GB2312" w:eastAsia="仿宋_GB2312" w:cs="仿宋_GB2312"/>
                <w:b/>
                <w:bCs/>
                <w:sz w:val="22"/>
                <w:szCs w:val="22"/>
                <w:lang w:eastAsia="zh-CN"/>
              </w:rPr>
              <w:t>注：以上所需资料均在电子投标文件中提供</w:t>
            </w:r>
            <w:r>
              <w:rPr>
                <w:rFonts w:ascii="仿宋_GB2312" w:hAnsi="仿宋_GB2312" w:eastAsia="仿宋_GB2312" w:cs="仿宋_GB2312"/>
                <w:b/>
                <w:bCs/>
                <w:sz w:val="22"/>
                <w:szCs w:val="22"/>
                <w:lang w:eastAsia="zh-CN"/>
              </w:rPr>
              <w:t>,</w:t>
            </w:r>
            <w:r>
              <w:rPr>
                <w:rFonts w:hint="eastAsia" w:ascii="仿宋_GB2312" w:hAnsi="仿宋_GB2312" w:eastAsia="仿宋_GB2312" w:cs="仿宋_GB2312"/>
                <w:b/>
                <w:bCs/>
                <w:sz w:val="22"/>
                <w:szCs w:val="22"/>
                <w:lang w:eastAsia="zh-CN"/>
              </w:rPr>
              <w:t>要求供应商提交的所有证明文件及材料必须清晰、准确、真实。其真实性自行负责。若发现有造假或不真实行为，将取消其投标人资格，并按照有关规定处理。</w:t>
            </w:r>
          </w:p>
        </w:tc>
      </w:tr>
      <w:tr w14:paraId="729A19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2" w:type="dxa"/>
            <w:shd w:val="clear" w:color="auto" w:fill="auto"/>
            <w:vAlign w:val="center"/>
          </w:tcPr>
          <w:p w14:paraId="2B66C18C">
            <w:pPr>
              <w:pStyle w:val="110"/>
              <w:ind w:right="264"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22</w:t>
            </w:r>
          </w:p>
        </w:tc>
        <w:tc>
          <w:tcPr>
            <w:tcW w:w="1591" w:type="dxa"/>
            <w:vAlign w:val="center"/>
          </w:tcPr>
          <w:p w14:paraId="7D069AEA">
            <w:pPr>
              <w:pStyle w:val="110"/>
              <w:ind w:left="235"/>
              <w:jc w:val="both"/>
              <w:outlineLvl w:val="9"/>
              <w:rPr>
                <w:rFonts w:ascii="仿宋_GB2312" w:hAnsi="仿宋_GB2312" w:eastAsia="仿宋_GB2312" w:cs="Times New Roman"/>
                <w:b/>
                <w:bCs/>
                <w:sz w:val="22"/>
                <w:szCs w:val="22"/>
                <w:lang w:val="zh-CN" w:eastAsia="zh-CN"/>
              </w:rPr>
            </w:pPr>
            <w:r>
              <w:rPr>
                <w:rFonts w:hint="eastAsia" w:ascii="仿宋_GB2312" w:hAnsi="仿宋_GB2312" w:eastAsia="仿宋_GB2312" w:cs="仿宋_GB2312"/>
                <w:b/>
                <w:bCs/>
                <w:sz w:val="22"/>
                <w:szCs w:val="22"/>
                <w:lang w:val="zh-CN"/>
              </w:rPr>
              <w:t>分公司投标</w:t>
            </w:r>
          </w:p>
        </w:tc>
        <w:tc>
          <w:tcPr>
            <w:tcW w:w="7154" w:type="dxa"/>
            <w:vAlign w:val="center"/>
          </w:tcPr>
          <w:p w14:paraId="7EF64B9D">
            <w:pPr>
              <w:pStyle w:val="110"/>
              <w:spacing w:line="360" w:lineRule="auto"/>
              <w:outlineLvl w:val="9"/>
              <w:rPr>
                <w:rFonts w:ascii="仿宋_GB2312" w:hAnsi="仿宋_GB2312" w:eastAsia="仿宋_GB2312" w:cs="Times New Roman"/>
                <w:kern w:val="2"/>
                <w:sz w:val="22"/>
                <w:szCs w:val="22"/>
                <w:lang w:eastAsia="zh-CN"/>
              </w:rPr>
            </w:pP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除银行、保险、电力、电信等特殊行业外，本项目不接受非独立法人单位分公司的投标</w:t>
            </w:r>
          </w:p>
        </w:tc>
      </w:tr>
      <w:tr w14:paraId="60A43C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72" w:hRule="exact"/>
          <w:jc w:val="center"/>
        </w:trPr>
        <w:tc>
          <w:tcPr>
            <w:tcW w:w="1012" w:type="dxa"/>
            <w:shd w:val="clear" w:color="auto" w:fill="auto"/>
            <w:vAlign w:val="center"/>
          </w:tcPr>
          <w:p w14:paraId="2441B0A4">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w:t>
            </w:r>
            <w:r>
              <w:rPr>
                <w:rFonts w:hint="eastAsia" w:ascii="仿宋_GB2312" w:hAnsi="仿宋_GB2312" w:eastAsia="仿宋_GB2312" w:cs="仿宋_GB2312"/>
                <w:sz w:val="21"/>
                <w:szCs w:val="21"/>
                <w:lang w:val="en-US" w:eastAsia="zh-CN"/>
              </w:rPr>
              <w:t>3</w:t>
            </w:r>
          </w:p>
        </w:tc>
        <w:tc>
          <w:tcPr>
            <w:tcW w:w="1591" w:type="dxa"/>
            <w:vAlign w:val="center"/>
          </w:tcPr>
          <w:p w14:paraId="114259C8">
            <w:pPr>
              <w:pStyle w:val="110"/>
              <w:jc w:val="left"/>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中小企业扶持政策</w:t>
            </w:r>
          </w:p>
        </w:tc>
        <w:tc>
          <w:tcPr>
            <w:tcW w:w="7154" w:type="dxa"/>
            <w:vAlign w:val="center"/>
          </w:tcPr>
          <w:p w14:paraId="697A5729">
            <w:pPr>
              <w:pStyle w:val="23"/>
              <w:adjustRightInd w:val="0"/>
              <w:snapToGrid w:val="0"/>
              <w:spacing w:beforeLines="50" w:line="360" w:lineRule="auto"/>
              <w:ind w:firstLine="440" w:firstLineChars="200"/>
              <w:jc w:val="left"/>
              <w:rPr>
                <w:rFonts w:hint="eastAsia" w:ascii="仿宋_GB2312" w:hAnsi="仿宋_GB2312" w:eastAsia="仿宋_GB2312" w:cs="Times New Roman"/>
                <w:sz w:val="22"/>
                <w:szCs w:val="22"/>
              </w:rPr>
            </w:pPr>
            <w:r>
              <w:rPr>
                <w:rFonts w:hint="eastAsia" w:ascii="仿宋_GB2312" w:hAnsi="仿宋_GB2312" w:eastAsia="仿宋_GB2312" w:cs="Times New Roman"/>
                <w:sz w:val="22"/>
                <w:szCs w:val="22"/>
              </w:rPr>
              <w:t>1.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3D59ED88">
            <w:pPr>
              <w:pStyle w:val="23"/>
              <w:adjustRightInd w:val="0"/>
              <w:snapToGrid w:val="0"/>
              <w:spacing w:beforeLines="50" w:line="360" w:lineRule="auto"/>
              <w:jc w:val="left"/>
              <w:rPr>
                <w:rFonts w:hint="eastAsia" w:ascii="仿宋_GB2312" w:hAnsi="仿宋_GB2312" w:eastAsia="仿宋_GB2312" w:cs="Times New Roman"/>
                <w:sz w:val="22"/>
                <w:szCs w:val="22"/>
              </w:rPr>
            </w:pPr>
            <w:r>
              <w:rPr>
                <w:rFonts w:hint="eastAsia" w:ascii="仿宋_GB2312" w:hAnsi="仿宋_GB2312" w:eastAsia="仿宋_GB2312" w:cs="Times New Roman"/>
                <w:sz w:val="22"/>
                <w:szCs w:val="22"/>
              </w:rPr>
              <w:t xml:space="preserve">    2.根据财政部、工业和信息化部发布的《政府采购促进中小企业发展管理办法》（财库〔2020〕46号）和财政部《关于进一步加大政府采购支持中小企业力度的通知》（财库〔2022〕19号）规定，对</w:t>
            </w:r>
            <w:r>
              <w:rPr>
                <w:rFonts w:hint="eastAsia" w:ascii="仿宋_GB2312" w:hAnsi="仿宋_GB2312" w:eastAsia="仿宋_GB2312" w:cs="Times New Roman"/>
                <w:b/>
                <w:bCs/>
                <w:sz w:val="22"/>
                <w:szCs w:val="22"/>
              </w:rPr>
              <w:t>小型和微型企业产品</w:t>
            </w:r>
            <w:r>
              <w:rPr>
                <w:rFonts w:hint="eastAsia" w:ascii="仿宋_GB2312" w:hAnsi="仿宋_GB2312" w:eastAsia="仿宋_GB2312" w:cs="Times New Roman"/>
                <w:sz w:val="22"/>
                <w:szCs w:val="22"/>
              </w:rPr>
              <w:t>的投标价格给予</w:t>
            </w:r>
            <w:r>
              <w:rPr>
                <w:rFonts w:hint="eastAsia" w:ascii="仿宋_GB2312" w:hAnsi="仿宋_GB2312" w:eastAsia="仿宋_GB2312" w:cs="Times New Roman"/>
                <w:b/>
                <w:bCs/>
                <w:sz w:val="22"/>
                <w:szCs w:val="22"/>
                <w:highlight w:val="yellow"/>
                <w:u w:val="single"/>
                <w:lang w:val="en-US" w:eastAsia="zh-CN"/>
              </w:rPr>
              <w:t xml:space="preserve"> 15 </w:t>
            </w:r>
            <w:r>
              <w:rPr>
                <w:rFonts w:hint="eastAsia" w:ascii="仿宋_GB2312" w:hAnsi="仿宋_GB2312" w:eastAsia="仿宋_GB2312" w:cs="Times New Roman"/>
                <w:b/>
                <w:bCs/>
                <w:sz w:val="22"/>
                <w:szCs w:val="22"/>
                <w:highlight w:val="yellow"/>
              </w:rPr>
              <w:t>%</w:t>
            </w:r>
            <w:r>
              <w:rPr>
                <w:rFonts w:hint="eastAsia" w:ascii="仿宋_GB2312" w:hAnsi="仿宋_GB2312" w:eastAsia="仿宋_GB2312" w:cs="Times New Roman"/>
                <w:sz w:val="22"/>
                <w:szCs w:val="22"/>
              </w:rPr>
              <w:t xml:space="preserve"> 的扣除，用扣除后的价格参与评审。</w:t>
            </w:r>
          </w:p>
          <w:p w14:paraId="7E7582BE">
            <w:pPr>
              <w:pStyle w:val="23"/>
              <w:adjustRightInd w:val="0"/>
              <w:snapToGrid w:val="0"/>
              <w:spacing w:beforeLines="50" w:line="360" w:lineRule="auto"/>
              <w:jc w:val="left"/>
              <w:rPr>
                <w:rFonts w:hint="eastAsia" w:ascii="仿宋_GB2312" w:hAnsi="仿宋_GB2312" w:eastAsia="仿宋_GB2312" w:cs="Times New Roman"/>
                <w:sz w:val="22"/>
                <w:szCs w:val="22"/>
              </w:rPr>
            </w:pPr>
            <w:r>
              <w:rPr>
                <w:rFonts w:hint="eastAsia" w:ascii="仿宋_GB2312" w:hAnsi="仿宋_GB2312" w:eastAsia="仿宋_GB2312" w:cs="Times New Roman"/>
                <w:sz w:val="22"/>
                <w:szCs w:val="22"/>
              </w:rPr>
              <w:t xml:space="preserve">    3.投标人提供的货物由中小企业生产且使用该中小企业商号或者注册商标的，享受中小企业扶持政策。供应商提供的货物既有中小企业制造的货物，也有大型企业制造的货物的，不享受中小企业扶持政策。</w:t>
            </w:r>
          </w:p>
          <w:p w14:paraId="4402A040">
            <w:pPr>
              <w:pStyle w:val="23"/>
              <w:adjustRightInd w:val="0"/>
              <w:snapToGrid w:val="0"/>
              <w:spacing w:beforeLines="50" w:line="360" w:lineRule="auto"/>
              <w:jc w:val="left"/>
              <w:rPr>
                <w:rFonts w:hint="eastAsia" w:ascii="仿宋_GB2312" w:hAnsi="仿宋_GB2312" w:eastAsia="仿宋_GB2312" w:cs="Times New Roman"/>
                <w:sz w:val="22"/>
                <w:szCs w:val="22"/>
              </w:rPr>
            </w:pPr>
            <w:r>
              <w:rPr>
                <w:rFonts w:hint="eastAsia" w:ascii="仿宋_GB2312" w:hAnsi="仿宋_GB2312" w:eastAsia="仿宋_GB2312" w:cs="Times New Roman"/>
                <w:sz w:val="22"/>
                <w:szCs w:val="22"/>
              </w:rPr>
              <w:t xml:space="preserve">    </w:t>
            </w:r>
            <w:r>
              <w:rPr>
                <w:rFonts w:hint="eastAsia" w:ascii="仿宋_GB2312" w:hAnsi="仿宋_GB2312" w:eastAsia="仿宋_GB2312" w:cs="Times New Roman"/>
                <w:sz w:val="22"/>
                <w:szCs w:val="22"/>
                <w:lang w:val="en-US" w:eastAsia="zh-CN"/>
              </w:rPr>
              <w:t>4</w:t>
            </w:r>
            <w:r>
              <w:rPr>
                <w:rFonts w:hint="eastAsia" w:ascii="仿宋_GB2312" w:hAnsi="仿宋_GB2312" w:eastAsia="仿宋_GB2312" w:cs="Times New Roman"/>
                <w:sz w:val="22"/>
                <w:szCs w:val="22"/>
              </w:rPr>
              <w:t>.提供由省级以上监狱管理局、戒毒管理局（含新疆生产建设兵团）出具的属于监狱企业证明文件（原件彩色扫描件）的，视同为小型和微型企业。</w:t>
            </w:r>
          </w:p>
          <w:p w14:paraId="2CF98B55">
            <w:pPr>
              <w:pStyle w:val="23"/>
              <w:adjustRightInd w:val="0"/>
              <w:snapToGrid w:val="0"/>
              <w:spacing w:beforeLines="50" w:line="360" w:lineRule="auto"/>
              <w:jc w:val="left"/>
              <w:outlineLvl w:val="9"/>
              <w:rPr>
                <w:rFonts w:ascii="仿宋_GB2312" w:hAnsi="仿宋_GB2312" w:eastAsia="仿宋_GB2312" w:cs="Times New Roman"/>
              </w:rPr>
            </w:pPr>
            <w:r>
              <w:rPr>
                <w:rFonts w:hint="eastAsia" w:ascii="仿宋_GB2312" w:hAnsi="仿宋_GB2312" w:eastAsia="仿宋_GB2312" w:cs="Times New Roman"/>
                <w:sz w:val="22"/>
                <w:szCs w:val="22"/>
              </w:rPr>
              <w:t xml:space="preserve">    </w:t>
            </w:r>
            <w:r>
              <w:rPr>
                <w:rFonts w:hint="eastAsia" w:ascii="仿宋_GB2312" w:hAnsi="仿宋_GB2312" w:eastAsia="仿宋_GB2312" w:cs="Times New Roman"/>
                <w:sz w:val="22"/>
                <w:szCs w:val="22"/>
                <w:lang w:val="en-US" w:eastAsia="zh-CN"/>
              </w:rPr>
              <w:t>5</w:t>
            </w:r>
            <w:r>
              <w:rPr>
                <w:rFonts w:hint="eastAsia" w:ascii="仿宋_GB2312" w:hAnsi="仿宋_GB2312" w:eastAsia="仿宋_GB2312" w:cs="Times New Roman"/>
                <w:sz w:val="22"/>
                <w:szCs w:val="22"/>
              </w:rPr>
              <w:t>.符合享受政府采购支持政策的残疾人福利性单位条件且提供《残疾人福利性单位声明函》的，视同为小型和微型企业。</w:t>
            </w:r>
          </w:p>
        </w:tc>
      </w:tr>
      <w:tr w14:paraId="697BD7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58" w:hRule="exact"/>
          <w:jc w:val="center"/>
        </w:trPr>
        <w:tc>
          <w:tcPr>
            <w:tcW w:w="1012" w:type="dxa"/>
            <w:shd w:val="clear" w:color="auto" w:fill="auto"/>
            <w:vAlign w:val="center"/>
          </w:tcPr>
          <w:p w14:paraId="609567BD">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24</w:t>
            </w:r>
          </w:p>
        </w:tc>
        <w:tc>
          <w:tcPr>
            <w:tcW w:w="1591" w:type="dxa"/>
            <w:vAlign w:val="center"/>
          </w:tcPr>
          <w:p w14:paraId="2F0AE7B6">
            <w:pPr>
              <w:pStyle w:val="110"/>
              <w:ind w:left="33"/>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en-US" w:eastAsia="zh-CN"/>
              </w:rPr>
              <w:t>公平性审查</w:t>
            </w:r>
          </w:p>
        </w:tc>
        <w:tc>
          <w:tcPr>
            <w:tcW w:w="7154" w:type="dxa"/>
            <w:vAlign w:val="center"/>
          </w:tcPr>
          <w:p w14:paraId="03944E5D">
            <w:pPr>
              <w:widowControl/>
              <w:ind w:firstLine="422" w:firstLineChars="200"/>
              <w:jc w:val="left"/>
              <w:outlineLvl w:val="9"/>
              <w:rPr>
                <w:rFonts w:ascii="仿宋_GB2312" w:hAnsi="仿宋_GB2312" w:eastAsia="仿宋_GB2312"/>
                <w:b/>
                <w:bCs/>
                <w:color w:val="000000"/>
                <w:kern w:val="0"/>
                <w:sz w:val="21"/>
                <w:szCs w:val="21"/>
              </w:rPr>
            </w:pPr>
            <w:r>
              <w:rPr>
                <w:rFonts w:hint="eastAsia" w:ascii="仿宋_GB2312" w:hAnsi="仿宋_GB2312" w:eastAsia="仿宋_GB2312" w:cs="仿宋_GB2312"/>
                <w:b/>
                <w:bCs/>
                <w:sz w:val="21"/>
                <w:szCs w:val="21"/>
                <w:lang w:val="en-US" w:eastAsia="zh-CN"/>
              </w:rPr>
              <w:t>本项目不</w:t>
            </w:r>
            <w:r>
              <w:rPr>
                <w:rFonts w:hint="eastAsia" w:ascii="仿宋_GB2312" w:hAnsi="仿宋_GB2312" w:eastAsia="仿宋_GB2312" w:cs="仿宋_GB2312"/>
                <w:b/>
                <w:bCs/>
                <w:sz w:val="21"/>
                <w:szCs w:val="21"/>
                <w:lang w:val="zh-CN" w:eastAsia="zh-CN"/>
              </w:rPr>
              <w:t>存在以注册资本金、资产总额、营业收入、从业人员、</w:t>
            </w:r>
            <w:r>
              <w:rPr>
                <w:rFonts w:hint="eastAsia" w:ascii="仿宋_GB2312" w:hAnsi="仿宋_GB2312" w:eastAsia="仿宋_GB2312" w:cs="仿宋_GB2312"/>
                <w:b/>
                <w:bCs/>
                <w:sz w:val="21"/>
                <w:szCs w:val="21"/>
                <w:lang w:eastAsia="zh-CN"/>
              </w:rPr>
              <w:t>利润、纳税额</w:t>
            </w:r>
            <w:r>
              <w:rPr>
                <w:rFonts w:hint="eastAsia" w:ascii="仿宋_GB2312" w:hAnsi="仿宋_GB2312" w:eastAsia="仿宋_GB2312" w:cs="仿宋_GB2312"/>
                <w:b/>
                <w:bCs/>
                <w:sz w:val="21"/>
                <w:szCs w:val="21"/>
                <w:lang w:val="zh-CN" w:eastAsia="zh-CN"/>
              </w:rPr>
              <w:t>等规模条件</w:t>
            </w:r>
            <w:r>
              <w:rPr>
                <w:rFonts w:hint="eastAsia" w:ascii="仿宋_GB2312" w:hAnsi="仿宋_GB2312" w:eastAsia="仿宋_GB2312" w:cs="仿宋_GB2312"/>
                <w:b/>
                <w:bCs/>
                <w:sz w:val="21"/>
                <w:szCs w:val="21"/>
                <w:lang w:eastAsia="zh-CN"/>
              </w:rPr>
              <w:t>和股权结构、经营年限等方面</w:t>
            </w:r>
            <w:r>
              <w:rPr>
                <w:rFonts w:hint="eastAsia" w:ascii="仿宋_GB2312" w:hAnsi="仿宋_GB2312" w:eastAsia="仿宋_GB2312" w:cs="仿宋_GB2312"/>
                <w:b/>
                <w:bCs/>
                <w:sz w:val="21"/>
                <w:szCs w:val="21"/>
                <w:lang w:val="zh-CN" w:eastAsia="zh-CN"/>
              </w:rPr>
              <w:t>对中小企业实行差别待遇或歧视待遇的情况</w:t>
            </w:r>
          </w:p>
        </w:tc>
      </w:tr>
      <w:tr w14:paraId="28E74E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7" w:hRule="exact"/>
          <w:jc w:val="center"/>
        </w:trPr>
        <w:tc>
          <w:tcPr>
            <w:tcW w:w="1012" w:type="dxa"/>
            <w:shd w:val="clear" w:color="auto" w:fill="auto"/>
            <w:vAlign w:val="center"/>
          </w:tcPr>
          <w:p w14:paraId="4128A34A">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w:t>
            </w:r>
            <w:r>
              <w:rPr>
                <w:rFonts w:hint="eastAsia" w:ascii="仿宋_GB2312" w:hAnsi="仿宋_GB2312" w:eastAsia="仿宋_GB2312" w:cs="仿宋_GB2312"/>
                <w:sz w:val="21"/>
                <w:szCs w:val="21"/>
                <w:lang w:val="en-US" w:eastAsia="zh-CN"/>
              </w:rPr>
              <w:t>5</w:t>
            </w:r>
          </w:p>
        </w:tc>
        <w:tc>
          <w:tcPr>
            <w:tcW w:w="1591" w:type="dxa"/>
            <w:vAlign w:val="center"/>
          </w:tcPr>
          <w:p w14:paraId="6D563533">
            <w:pPr>
              <w:pStyle w:val="110"/>
              <w:ind w:left="33"/>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投标保证金</w:t>
            </w:r>
          </w:p>
        </w:tc>
        <w:tc>
          <w:tcPr>
            <w:tcW w:w="7154" w:type="dxa"/>
            <w:vAlign w:val="center"/>
          </w:tcPr>
          <w:p w14:paraId="6E11DE78">
            <w:pPr>
              <w:widowControl/>
              <w:jc w:val="left"/>
              <w:outlineLvl w:val="9"/>
              <w:rPr>
                <w:rFonts w:ascii="仿宋_GB2312" w:hAnsi="仿宋_GB2312" w:eastAsia="仿宋_GB2312"/>
                <w:lang w:val="zh-CN"/>
              </w:rPr>
            </w:pPr>
            <w:r>
              <w:rPr>
                <w:rFonts w:hint="eastAsia" w:ascii="仿宋_GB2312" w:hAnsi="仿宋_GB2312" w:eastAsia="仿宋_GB2312" w:cs="仿宋_GB2312"/>
                <w:b/>
                <w:bCs/>
                <w:color w:val="000000"/>
                <w:kern w:val="0"/>
                <w:sz w:val="24"/>
                <w:szCs w:val="24"/>
              </w:rPr>
              <w:t>本项目不收取投标保证金。</w:t>
            </w:r>
          </w:p>
        </w:tc>
      </w:tr>
      <w:tr w14:paraId="268C00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84" w:hRule="exact"/>
          <w:jc w:val="center"/>
        </w:trPr>
        <w:tc>
          <w:tcPr>
            <w:tcW w:w="1012" w:type="dxa"/>
            <w:shd w:val="clear" w:color="auto" w:fill="auto"/>
            <w:vAlign w:val="center"/>
          </w:tcPr>
          <w:p w14:paraId="2847D71E">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26</w:t>
            </w:r>
          </w:p>
        </w:tc>
        <w:tc>
          <w:tcPr>
            <w:tcW w:w="1591" w:type="dxa"/>
            <w:vAlign w:val="center"/>
          </w:tcPr>
          <w:p w14:paraId="6FB717BB">
            <w:pPr>
              <w:pStyle w:val="110"/>
              <w:jc w:val="left"/>
              <w:outlineLvl w:val="9"/>
              <w:rPr>
                <w:rFonts w:ascii="仿宋_GB2312" w:hAnsi="仿宋_GB2312" w:eastAsia="仿宋_GB2312" w:cs="Times New Roman"/>
                <w:b/>
                <w:bCs/>
                <w:color w:val="121212"/>
                <w:sz w:val="22"/>
                <w:szCs w:val="22"/>
                <w:shd w:val="clear" w:color="auto" w:fill="FFFFFF"/>
                <w:lang w:val="zh-CN" w:eastAsia="zh-CN"/>
              </w:rPr>
            </w:pPr>
            <w:r>
              <w:rPr>
                <w:rFonts w:hint="eastAsia" w:ascii="仿宋_GB2312" w:hAnsi="仿宋_GB2312" w:eastAsia="仿宋_GB2312" w:cs="仿宋_GB2312"/>
                <w:b/>
                <w:bCs/>
                <w:kern w:val="2"/>
                <w:sz w:val="22"/>
                <w:szCs w:val="22"/>
                <w:lang w:eastAsia="zh-CN"/>
              </w:rPr>
              <w:t>采购标的对应的中小企业划分标准所属行业</w:t>
            </w:r>
          </w:p>
        </w:tc>
        <w:tc>
          <w:tcPr>
            <w:tcW w:w="7154" w:type="dxa"/>
            <w:vAlign w:val="center"/>
          </w:tcPr>
          <w:p w14:paraId="041223BC">
            <w:pPr>
              <w:keepNext w:val="0"/>
              <w:keepLines w:val="0"/>
              <w:pageBreakBefore w:val="0"/>
              <w:widowControl w:val="0"/>
              <w:kinsoku/>
              <w:wordWrap/>
              <w:overflowPunct/>
              <w:topLinePunct w:val="0"/>
              <w:autoSpaceDE w:val="0"/>
              <w:autoSpaceDN w:val="0"/>
              <w:bidi w:val="0"/>
              <w:adjustRightInd w:val="0"/>
              <w:snapToGrid/>
              <w:spacing w:after="200" w:line="360" w:lineRule="auto"/>
              <w:ind w:left="0" w:leftChars="0" w:firstLine="281" w:firstLineChars="100"/>
              <w:jc w:val="both"/>
              <w:textAlignment w:val="auto"/>
              <w:rPr>
                <w:rFonts w:hint="eastAsia" w:ascii="仿宋" w:hAnsi="仿宋" w:eastAsia="仿宋" w:cs="仿宋"/>
                <w:b/>
                <w:bCs/>
                <w:color w:val="auto"/>
                <w:kern w:val="2"/>
                <w:sz w:val="28"/>
                <w:szCs w:val="28"/>
                <w:highlight w:val="yellow"/>
                <w:lang w:val="en-US" w:eastAsia="zh-CN" w:bidi="en-US"/>
              </w:rPr>
            </w:pPr>
            <w:r>
              <w:rPr>
                <w:rFonts w:hint="eastAsia" w:ascii="仿宋" w:hAnsi="仿宋" w:eastAsia="仿宋" w:cs="仿宋"/>
                <w:b/>
                <w:bCs/>
                <w:color w:val="auto"/>
                <w:kern w:val="2"/>
                <w:sz w:val="28"/>
                <w:szCs w:val="28"/>
                <w:highlight w:val="yellow"/>
                <w:lang w:val="en-US" w:eastAsia="zh-CN" w:bidi="en-US"/>
              </w:rPr>
              <w:t>软件和信息技术服务业行业。</w:t>
            </w:r>
          </w:p>
          <w:p w14:paraId="009A4832">
            <w:pPr>
              <w:keepNext w:val="0"/>
              <w:keepLines w:val="0"/>
              <w:pageBreakBefore w:val="0"/>
              <w:widowControl w:val="0"/>
              <w:kinsoku/>
              <w:wordWrap/>
              <w:overflowPunct/>
              <w:topLinePunct w:val="0"/>
              <w:autoSpaceDE w:val="0"/>
              <w:autoSpaceDN w:val="0"/>
              <w:bidi w:val="0"/>
              <w:adjustRightInd w:val="0"/>
              <w:snapToGrid/>
              <w:spacing w:after="200" w:line="360" w:lineRule="auto"/>
              <w:ind w:left="0" w:leftChars="0" w:firstLine="220" w:firstLineChars="100"/>
              <w:jc w:val="both"/>
              <w:textAlignment w:val="auto"/>
              <w:rPr>
                <w:rFonts w:hint="eastAsia" w:ascii="仿宋_GB2312" w:hAnsi="仿宋_GB2312" w:eastAsia="仿宋_GB2312" w:cs="仿宋_GB2312"/>
                <w:color w:val="auto"/>
                <w:kern w:val="2"/>
                <w:sz w:val="22"/>
                <w:szCs w:val="22"/>
                <w:highlight w:val="none"/>
                <w:lang w:val="en-US" w:eastAsia="zh-CN" w:bidi="en-US"/>
              </w:rPr>
            </w:pPr>
            <w:r>
              <w:rPr>
                <w:rFonts w:hint="eastAsia" w:ascii="仿宋_GB2312" w:hAnsi="仿宋_GB2312" w:eastAsia="仿宋_GB2312" w:cs="仿宋_GB2312"/>
                <w:color w:val="auto"/>
                <w:kern w:val="2"/>
                <w:sz w:val="22"/>
                <w:szCs w:val="22"/>
                <w:highlight w:val="none"/>
                <w:lang w:val="en-US" w:eastAsia="zh-CN" w:bidi="en-US"/>
              </w:rPr>
              <w:t>注：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E889BF">
            <w:pPr>
              <w:keepNext w:val="0"/>
              <w:keepLines w:val="0"/>
              <w:pageBreakBefore w:val="0"/>
              <w:widowControl w:val="0"/>
              <w:kinsoku/>
              <w:wordWrap/>
              <w:overflowPunct/>
              <w:topLinePunct w:val="0"/>
              <w:autoSpaceDE w:val="0"/>
              <w:autoSpaceDN w:val="0"/>
              <w:bidi w:val="0"/>
              <w:adjustRightInd w:val="0"/>
              <w:snapToGrid/>
              <w:spacing w:after="200" w:line="360" w:lineRule="auto"/>
              <w:ind w:left="0" w:leftChars="0" w:firstLine="240" w:firstLineChars="100"/>
              <w:jc w:val="both"/>
              <w:textAlignment w:val="auto"/>
              <w:rPr>
                <w:rFonts w:hint="eastAsia" w:ascii="宋体" w:hAnsi="Times New Roman" w:eastAsia="宋体" w:cs="Times New Roman"/>
                <w:color w:val="auto"/>
                <w:kern w:val="2"/>
                <w:sz w:val="24"/>
                <w:szCs w:val="24"/>
                <w:highlight w:val="yellow"/>
                <w:lang w:val="en-US" w:eastAsia="zh-CN" w:bidi="en-US"/>
              </w:rPr>
            </w:pPr>
            <w:r>
              <w:rPr>
                <w:rFonts w:hint="eastAsia" w:ascii="宋体" w:hAnsi="Times New Roman" w:eastAsia="宋体" w:cs="Times New Roman"/>
                <w:color w:val="auto"/>
                <w:kern w:val="2"/>
                <w:sz w:val="24"/>
                <w:szCs w:val="24"/>
                <w:highlight w:val="yellow"/>
                <w:lang w:val="en-US" w:eastAsia="zh-CN" w:bidi="en-US"/>
              </w:rPr>
              <w:t>。</w:t>
            </w:r>
          </w:p>
          <w:p w14:paraId="7BA26CD1">
            <w:pPr>
              <w:pStyle w:val="23"/>
              <w:adjustRightInd w:val="0"/>
              <w:snapToGrid w:val="0"/>
              <w:spacing w:beforeLines="50" w:line="360" w:lineRule="auto"/>
              <w:ind w:firstLine="211" w:firstLineChars="100"/>
              <w:jc w:val="left"/>
              <w:outlineLvl w:val="9"/>
              <w:rPr>
                <w:rFonts w:ascii="仿宋_GB2312" w:hAnsi="仿宋_GB2312" w:eastAsia="仿宋_GB2312" w:cs="Times New Roman"/>
                <w:b/>
                <w:bCs/>
                <w:sz w:val="21"/>
                <w:szCs w:val="21"/>
              </w:rPr>
            </w:pPr>
          </w:p>
        </w:tc>
      </w:tr>
      <w:tr w14:paraId="3BCF26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2" w:type="dxa"/>
            <w:shd w:val="clear" w:color="auto" w:fill="auto"/>
            <w:vAlign w:val="center"/>
          </w:tcPr>
          <w:p w14:paraId="3BE1A60E">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27</w:t>
            </w:r>
          </w:p>
        </w:tc>
        <w:tc>
          <w:tcPr>
            <w:tcW w:w="1591" w:type="dxa"/>
            <w:vAlign w:val="center"/>
          </w:tcPr>
          <w:p w14:paraId="5F00616F">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投标文件递交及有关事项说明</w:t>
            </w:r>
          </w:p>
        </w:tc>
        <w:tc>
          <w:tcPr>
            <w:tcW w:w="7154" w:type="dxa"/>
            <w:vAlign w:val="center"/>
          </w:tcPr>
          <w:p w14:paraId="2D265927">
            <w:pPr>
              <w:pStyle w:val="110"/>
              <w:ind w:firstLine="211" w:firstLineChars="100"/>
              <w:outlineLvl w:val="9"/>
              <w:rPr>
                <w:rFonts w:ascii="仿宋_GB2312" w:hAnsi="仿宋_GB2312" w:eastAsia="仿宋_GB2312" w:cs="Times New Roman"/>
                <w:b/>
                <w:bCs/>
                <w:sz w:val="21"/>
                <w:szCs w:val="21"/>
                <w:lang w:eastAsia="zh-CN"/>
              </w:rPr>
            </w:pPr>
            <w:r>
              <w:rPr>
                <w:rFonts w:ascii="仿宋_GB2312" w:hAnsi="仿宋_GB2312" w:eastAsia="仿宋_GB2312" w:cs="仿宋_GB2312"/>
                <w:b/>
                <w:bCs/>
                <w:sz w:val="21"/>
                <w:szCs w:val="21"/>
                <w:lang w:eastAsia="zh-CN"/>
              </w:rPr>
              <w:t>1</w:t>
            </w:r>
            <w:r>
              <w:rPr>
                <w:rFonts w:hint="eastAsia" w:ascii="仿宋_GB2312" w:hAnsi="仿宋_GB2312" w:eastAsia="仿宋_GB2312" w:cs="仿宋_GB2312"/>
                <w:b/>
                <w:bCs/>
                <w:sz w:val="21"/>
                <w:szCs w:val="21"/>
                <w:lang w:eastAsia="zh-CN"/>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w:t>
            </w:r>
            <w:r>
              <w:rPr>
                <w:rFonts w:ascii="仿宋_GB2312" w:hAnsi="仿宋_GB2312" w:eastAsia="仿宋_GB2312" w:cs="仿宋_GB2312"/>
                <w:b/>
                <w:bCs/>
                <w:sz w:val="21"/>
                <w:szCs w:val="21"/>
                <w:lang w:eastAsia="zh-CN"/>
              </w:rPr>
              <w:t>CA</w:t>
            </w:r>
            <w:r>
              <w:rPr>
                <w:rFonts w:hint="eastAsia" w:ascii="仿宋_GB2312" w:hAnsi="仿宋_GB2312" w:eastAsia="仿宋_GB2312" w:cs="仿宋_GB2312"/>
                <w:b/>
                <w:bCs/>
                <w:sz w:val="21"/>
                <w:szCs w:val="21"/>
                <w:lang w:eastAsia="zh-CN"/>
              </w:rPr>
              <w:t>进行所有操作。若在开标时间前没有网上投标（上传投标文件）则视为放弃投标。</w:t>
            </w:r>
          </w:p>
          <w:p w14:paraId="1288337E">
            <w:pPr>
              <w:widowControl/>
              <w:ind w:firstLine="211" w:firstLineChars="100"/>
              <w:jc w:val="left"/>
              <w:outlineLvl w:val="9"/>
              <w:rPr>
                <w:rFonts w:ascii="仿宋_GB2312" w:hAnsi="仿宋_GB2312" w:eastAsia="仿宋_GB2312"/>
                <w:b/>
                <w:bCs/>
                <w:color w:val="000000"/>
                <w:kern w:val="0"/>
              </w:rPr>
            </w:pPr>
            <w:r>
              <w:rPr>
                <w:rFonts w:ascii="仿宋_GB2312" w:hAnsi="仿宋_GB2312" w:eastAsia="仿宋_GB2312" w:cs="仿宋_GB2312"/>
                <w:b/>
                <w:bCs/>
              </w:rPr>
              <w:t>2</w:t>
            </w:r>
            <w:r>
              <w:rPr>
                <w:rFonts w:hint="eastAsia" w:ascii="仿宋_GB2312" w:hAnsi="仿宋_GB2312" w:eastAsia="仿宋_GB2312" w:cs="仿宋_GB2312"/>
                <w:b/>
                <w:bCs/>
              </w:rPr>
              <w:t>、</w:t>
            </w:r>
            <w:r>
              <w:rPr>
                <w:rFonts w:hint="eastAsia" w:ascii="仿宋_GB2312" w:hAnsi="仿宋_GB2312" w:eastAsia="仿宋_GB2312" w:cs="仿宋_GB2312"/>
                <w:b/>
                <w:bCs/>
                <w:color w:val="000000"/>
                <w:kern w:val="0"/>
              </w:rPr>
              <w:t>投标人需在开标时间截止前在不见面开标大厅进行签到，开标后，因未按要求签到而造成的相关操作和流程无法正常进行的相关责任，其投标人自行负责。</w:t>
            </w:r>
          </w:p>
          <w:p w14:paraId="4BAC51CF">
            <w:pPr>
              <w:widowControl/>
              <w:ind w:firstLine="211" w:firstLineChars="100"/>
              <w:jc w:val="left"/>
              <w:outlineLvl w:val="9"/>
              <w:rPr>
                <w:rFonts w:ascii="仿宋_GB2312" w:hAnsi="仿宋_GB2312" w:eastAsia="仿宋_GB2312"/>
                <w:b/>
                <w:bCs/>
                <w:color w:val="FF0000"/>
                <w:kern w:val="0"/>
              </w:rPr>
            </w:pPr>
            <w:r>
              <w:rPr>
                <w:rFonts w:ascii="仿宋_GB2312" w:hAnsi="仿宋_GB2312" w:eastAsia="仿宋_GB2312" w:cs="仿宋_GB2312"/>
                <w:b/>
                <w:bCs/>
                <w:color w:val="FF0000"/>
                <w:kern w:val="0"/>
              </w:rPr>
              <w:t>3</w:t>
            </w:r>
            <w:r>
              <w:rPr>
                <w:rFonts w:hint="eastAsia" w:ascii="仿宋_GB2312" w:hAnsi="仿宋_GB2312" w:eastAsia="仿宋_GB2312" w:cs="仿宋_GB2312"/>
                <w:b/>
                <w:bCs/>
                <w:color w:val="FF0000"/>
                <w:kern w:val="0"/>
              </w:rPr>
              <w:t>、为确保开标活动顺利进行，开标之后投标单位需要在</w:t>
            </w:r>
            <w:r>
              <w:rPr>
                <w:rFonts w:hint="eastAsia" w:ascii="仿宋_GB2312" w:hAnsi="仿宋_GB2312" w:eastAsia="仿宋_GB2312" w:cs="仿宋_GB2312"/>
                <w:b/>
                <w:bCs/>
                <w:color w:val="FF0000"/>
                <w:kern w:val="0"/>
                <w:u w:val="single"/>
                <w:lang w:val="en-US" w:eastAsia="zh-CN"/>
              </w:rPr>
              <w:t>2024</w:t>
            </w:r>
            <w:r>
              <w:rPr>
                <w:rFonts w:hint="eastAsia" w:ascii="仿宋_GB2312" w:hAnsi="仿宋_GB2312" w:eastAsia="仿宋_GB2312" w:cs="仿宋_GB2312"/>
                <w:b/>
                <w:bCs/>
                <w:color w:val="FF0000"/>
                <w:kern w:val="0"/>
              </w:rPr>
              <w:t>年</w:t>
            </w:r>
            <w:r>
              <w:rPr>
                <w:rFonts w:hint="eastAsia" w:ascii="仿宋_GB2312" w:hAnsi="仿宋_GB2312" w:eastAsia="仿宋_GB2312" w:cs="仿宋_GB2312"/>
                <w:b/>
                <w:bCs/>
                <w:color w:val="FF0000"/>
                <w:kern w:val="0"/>
                <w:u w:val="single"/>
                <w:lang w:val="en-US" w:eastAsia="zh-CN"/>
              </w:rPr>
              <w:t xml:space="preserve">   </w:t>
            </w:r>
            <w:r>
              <w:rPr>
                <w:rFonts w:hint="eastAsia" w:ascii="仿宋_GB2312" w:hAnsi="仿宋_GB2312" w:eastAsia="仿宋_GB2312" w:cs="仿宋_GB2312"/>
                <w:b/>
                <w:bCs/>
                <w:color w:val="FF0000"/>
                <w:kern w:val="0"/>
              </w:rPr>
              <w:t>月</w:t>
            </w:r>
            <w:r>
              <w:rPr>
                <w:rFonts w:ascii="仿宋_GB2312" w:hAnsi="仿宋_GB2312" w:eastAsia="仿宋_GB2312" w:cs="仿宋_GB2312"/>
                <w:b/>
                <w:bCs/>
                <w:color w:val="FF0000"/>
                <w:kern w:val="0"/>
                <w:u w:val="single"/>
              </w:rPr>
              <w:t xml:space="preserve"> </w:t>
            </w:r>
            <w:r>
              <w:rPr>
                <w:rFonts w:hint="eastAsia" w:ascii="仿宋_GB2312" w:hAnsi="仿宋_GB2312" w:eastAsia="仿宋_GB2312" w:cs="仿宋_GB2312"/>
                <w:b/>
                <w:bCs/>
                <w:color w:val="FF0000"/>
                <w:kern w:val="0"/>
                <w:u w:val="single"/>
                <w:lang w:val="en-US" w:eastAsia="zh-CN"/>
              </w:rPr>
              <w:t xml:space="preserve"> </w:t>
            </w:r>
            <w:r>
              <w:rPr>
                <w:rFonts w:hint="eastAsia" w:ascii="仿宋_GB2312" w:hAnsi="仿宋_GB2312" w:eastAsia="仿宋_GB2312" w:cs="仿宋_GB2312"/>
                <w:b/>
                <w:bCs/>
                <w:color w:val="FF0000"/>
                <w:kern w:val="0"/>
              </w:rPr>
              <w:t>日</w:t>
            </w:r>
            <w:r>
              <w:rPr>
                <w:rFonts w:hint="eastAsia" w:ascii="仿宋_GB2312" w:hAnsi="仿宋_GB2312" w:eastAsia="仿宋_GB2312" w:cs="仿宋_GB2312"/>
                <w:b/>
                <w:bCs/>
                <w:color w:val="FF0000"/>
                <w:kern w:val="0"/>
                <w:u w:val="single"/>
                <w:lang w:val="en-US" w:eastAsia="zh-CN"/>
              </w:rPr>
              <w:t xml:space="preserve"> </w:t>
            </w:r>
            <w:r>
              <w:rPr>
                <w:rFonts w:hint="eastAsia" w:ascii="仿宋_GB2312" w:hAnsi="仿宋_GB2312" w:eastAsia="仿宋_GB2312" w:cs="仿宋_GB2312"/>
                <w:b/>
                <w:bCs/>
                <w:color w:val="FF0000"/>
                <w:kern w:val="0"/>
                <w:u w:val="none"/>
                <w:lang w:val="en-US" w:eastAsia="zh-CN"/>
              </w:rPr>
              <w:t>时</w:t>
            </w:r>
            <w:r>
              <w:rPr>
                <w:rFonts w:hint="eastAsia" w:ascii="仿宋_GB2312" w:hAnsi="仿宋_GB2312" w:eastAsia="仿宋_GB2312" w:cs="仿宋_GB2312"/>
                <w:b/>
                <w:bCs/>
                <w:color w:val="FF0000"/>
                <w:kern w:val="0"/>
                <w:u w:val="none"/>
              </w:rPr>
              <w:t>前解</w:t>
            </w:r>
            <w:r>
              <w:rPr>
                <w:rFonts w:hint="eastAsia" w:ascii="仿宋_GB2312" w:hAnsi="仿宋_GB2312" w:eastAsia="仿宋_GB2312" w:cs="仿宋_GB2312"/>
                <w:b/>
                <w:bCs/>
                <w:color w:val="FF0000"/>
                <w:kern w:val="0"/>
              </w:rPr>
              <w:t>密投标文件，因投标人原因造成投标文件未解密的，视为撤销其投标文件。</w:t>
            </w:r>
          </w:p>
          <w:p w14:paraId="6B4EDC72">
            <w:pPr>
              <w:widowControl/>
              <w:jc w:val="left"/>
              <w:outlineLvl w:val="9"/>
              <w:rPr>
                <w:rFonts w:hint="eastAsia" w:ascii="仿宋_GB2312" w:hAnsi="仿宋_GB2312" w:eastAsia="仿宋_GB2312" w:cs="Times New Roman"/>
                <w:sz w:val="21"/>
                <w:szCs w:val="21"/>
                <w:lang w:val="zh-CN" w:eastAsia="zh-CN"/>
              </w:rPr>
            </w:pPr>
            <w:r>
              <w:rPr>
                <w:rFonts w:ascii="仿宋_GB2312" w:hAnsi="仿宋_GB2312" w:eastAsia="仿宋_GB2312" w:cs="仿宋_GB2312"/>
                <w:b/>
                <w:bCs/>
                <w:color w:val="FF0000"/>
                <w:kern w:val="0"/>
              </w:rPr>
              <w:t xml:space="preserve"> </w:t>
            </w:r>
            <w:r>
              <w:rPr>
                <w:rFonts w:hint="eastAsia" w:ascii="仿宋_GB2312" w:hAnsi="仿宋_GB2312" w:eastAsia="仿宋_GB2312" w:cs="仿宋_GB2312"/>
                <w:b/>
                <w:bCs/>
                <w:color w:val="FF0000"/>
                <w:kern w:val="0"/>
                <w:lang w:val="en-US" w:eastAsia="zh-CN"/>
              </w:rPr>
              <w:t xml:space="preserve">  </w:t>
            </w:r>
            <w:r>
              <w:rPr>
                <w:rFonts w:hint="eastAsia" w:ascii="仿宋_GB2312" w:hAnsi="仿宋_GB2312" w:eastAsia="仿宋_GB2312" w:cs="仿宋_GB2312"/>
                <w:b/>
                <w:bCs/>
                <w:color w:val="FF0000"/>
                <w:kern w:val="0"/>
              </w:rPr>
              <w:t>注：开始开标前检查自己开标设备网络稳定性，如有中途退出等问题，导致无法解密责任自行承担</w:t>
            </w:r>
            <w:r>
              <w:rPr>
                <w:rFonts w:hint="eastAsia" w:ascii="仿宋_GB2312" w:hAnsi="仿宋_GB2312" w:eastAsia="仿宋_GB2312" w:cs="仿宋_GB2312"/>
                <w:b/>
                <w:bCs/>
                <w:color w:val="FF0000"/>
                <w:kern w:val="0"/>
                <w:lang w:eastAsia="zh-CN"/>
              </w:rPr>
              <w:t>。</w:t>
            </w:r>
          </w:p>
        </w:tc>
      </w:tr>
      <w:tr w14:paraId="5AD32E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1012" w:type="dxa"/>
            <w:shd w:val="clear" w:color="auto" w:fill="auto"/>
            <w:vAlign w:val="center"/>
          </w:tcPr>
          <w:p w14:paraId="2A833B54">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28</w:t>
            </w:r>
          </w:p>
        </w:tc>
        <w:tc>
          <w:tcPr>
            <w:tcW w:w="1591" w:type="dxa"/>
            <w:vAlign w:val="bottom"/>
          </w:tcPr>
          <w:p w14:paraId="623DFE4B">
            <w:pPr>
              <w:pStyle w:val="110"/>
              <w:ind w:firstLine="211" w:firstLineChars="100"/>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履约保证金</w:t>
            </w:r>
          </w:p>
        </w:tc>
        <w:tc>
          <w:tcPr>
            <w:tcW w:w="7154" w:type="dxa"/>
            <w:vAlign w:val="center"/>
          </w:tcPr>
          <w:p w14:paraId="6BA57FB9">
            <w:pPr>
              <w:spacing w:line="340" w:lineRule="exact"/>
              <w:ind w:right="105" w:rightChars="50"/>
              <w:outlineLvl w:val="9"/>
              <w:rPr>
                <w:rFonts w:hint="eastAsia" w:ascii="仿宋_GB2312" w:hAnsi="仿宋_GB2312" w:eastAsia="仿宋_GB2312"/>
                <w:kern w:val="0"/>
                <w:lang w:val="zh-CN" w:eastAsia="zh-CN"/>
              </w:rPr>
            </w:pPr>
            <w:r>
              <w:rPr>
                <w:rFonts w:hint="eastAsia" w:ascii="仿宋_GB2312" w:hAnsi="仿宋_GB2312" w:eastAsia="仿宋_GB2312" w:cs="仿宋_GB2312"/>
                <w:b/>
                <w:bCs/>
                <w:kern w:val="0"/>
                <w:lang w:val="en-US" w:eastAsia="zh-CN"/>
              </w:rPr>
              <w:t>不收取</w:t>
            </w:r>
          </w:p>
        </w:tc>
      </w:tr>
      <w:tr w14:paraId="454B8C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6" w:hRule="atLeast"/>
          <w:jc w:val="center"/>
        </w:trPr>
        <w:tc>
          <w:tcPr>
            <w:tcW w:w="1012" w:type="dxa"/>
            <w:shd w:val="clear" w:color="auto" w:fill="auto"/>
            <w:vAlign w:val="center"/>
          </w:tcPr>
          <w:p w14:paraId="0B21DAE0">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29</w:t>
            </w:r>
          </w:p>
        </w:tc>
        <w:tc>
          <w:tcPr>
            <w:tcW w:w="1591" w:type="dxa"/>
            <w:vAlign w:val="bottom"/>
          </w:tcPr>
          <w:p w14:paraId="15389C1F">
            <w:pPr>
              <w:pStyle w:val="110"/>
              <w:ind w:right="2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备选投标方案和报价</w:t>
            </w:r>
          </w:p>
        </w:tc>
        <w:tc>
          <w:tcPr>
            <w:tcW w:w="7154" w:type="dxa"/>
            <w:vAlign w:val="center"/>
          </w:tcPr>
          <w:p w14:paraId="56A25F1B">
            <w:pPr>
              <w:pStyle w:val="110"/>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不接受备选投标方案和多个报价，否则按无效投标处理。</w:t>
            </w:r>
          </w:p>
        </w:tc>
      </w:tr>
      <w:tr w14:paraId="6C86987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4" w:hRule="atLeast"/>
          <w:jc w:val="center"/>
        </w:trPr>
        <w:tc>
          <w:tcPr>
            <w:tcW w:w="1012" w:type="dxa"/>
            <w:tcBorders>
              <w:top w:val="single" w:color="auto" w:sz="4" w:space="0"/>
              <w:bottom w:val="single" w:color="auto" w:sz="4" w:space="0"/>
            </w:tcBorders>
            <w:shd w:val="clear" w:color="auto" w:fill="auto"/>
            <w:vAlign w:val="center"/>
          </w:tcPr>
          <w:p w14:paraId="7FCB10B5">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30</w:t>
            </w:r>
          </w:p>
        </w:tc>
        <w:tc>
          <w:tcPr>
            <w:tcW w:w="1591" w:type="dxa"/>
            <w:tcBorders>
              <w:top w:val="single" w:color="auto" w:sz="4" w:space="0"/>
              <w:bottom w:val="single" w:color="auto" w:sz="4" w:space="0"/>
            </w:tcBorders>
            <w:vAlign w:val="center"/>
          </w:tcPr>
          <w:p w14:paraId="04522AFD">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2"/>
                <w:szCs w:val="22"/>
                <w:lang w:eastAsia="zh-CN"/>
              </w:rPr>
              <w:t>代理费用的收取标准和方式</w:t>
            </w:r>
          </w:p>
        </w:tc>
        <w:tc>
          <w:tcPr>
            <w:tcW w:w="7154" w:type="dxa"/>
            <w:tcBorders>
              <w:top w:val="single" w:color="auto" w:sz="4" w:space="0"/>
              <w:bottom w:val="single" w:color="auto" w:sz="4" w:space="0"/>
            </w:tcBorders>
            <w:vAlign w:val="center"/>
          </w:tcPr>
          <w:p w14:paraId="327F48E4">
            <w:pPr>
              <w:tabs>
                <w:tab w:val="left" w:pos="420"/>
                <w:tab w:val="left" w:pos="7560"/>
                <w:tab w:val="left" w:pos="7740"/>
                <w:tab w:val="left" w:pos="7920"/>
              </w:tabs>
              <w:adjustRightInd w:val="0"/>
              <w:snapToGrid w:val="0"/>
              <w:spacing w:line="360" w:lineRule="auto"/>
              <w:outlineLvl w:val="9"/>
              <w:rPr>
                <w:rFonts w:hint="eastAsia" w:ascii="仿宋_GB2312" w:hAnsi="仿宋_GB2312" w:eastAsia="仿宋_GB2312" w:cs="仿宋_GB2312"/>
                <w:kern w:val="0"/>
                <w:sz w:val="22"/>
                <w:szCs w:val="22"/>
                <w:lang w:eastAsia="zh-CN"/>
              </w:rPr>
            </w:pPr>
          </w:p>
          <w:p w14:paraId="13A4F55B">
            <w:pPr>
              <w:tabs>
                <w:tab w:val="left" w:pos="420"/>
                <w:tab w:val="left" w:pos="7560"/>
                <w:tab w:val="left" w:pos="7740"/>
                <w:tab w:val="left" w:pos="7920"/>
              </w:tabs>
              <w:adjustRightInd w:val="0"/>
              <w:snapToGrid w:val="0"/>
              <w:spacing w:line="360" w:lineRule="auto"/>
              <w:outlineLvl w:val="9"/>
              <w:rPr>
                <w:rFonts w:hint="eastAsia" w:ascii="仿宋_GB2312" w:hAnsi="仿宋_GB2312" w:eastAsia="仿宋_GB2312"/>
                <w:kern w:val="0"/>
                <w:sz w:val="22"/>
                <w:szCs w:val="22"/>
                <w:lang w:eastAsia="zh-CN"/>
              </w:rPr>
            </w:pPr>
            <w:r>
              <w:rPr>
                <w:rFonts w:hint="eastAsia" w:ascii="仿宋_GB2312" w:hAnsi="仿宋_GB2312" w:eastAsia="仿宋_GB2312" w:cs="仿宋_GB2312"/>
                <w:kern w:val="0"/>
                <w:sz w:val="22"/>
                <w:szCs w:val="22"/>
                <w:lang w:eastAsia="zh-CN"/>
              </w:rPr>
              <w:t>集中采购代理机构</w:t>
            </w:r>
            <w:r>
              <w:rPr>
                <w:rFonts w:hint="eastAsia" w:ascii="仿宋_GB2312" w:hAnsi="仿宋_GB2312" w:eastAsia="仿宋_GB2312" w:cs="仿宋_GB2312"/>
                <w:kern w:val="0"/>
                <w:sz w:val="22"/>
                <w:szCs w:val="22"/>
              </w:rPr>
              <w:t>不收取采购代理服务费</w:t>
            </w:r>
            <w:r>
              <w:rPr>
                <w:rFonts w:ascii="仿宋_GB2312" w:hAnsi="仿宋_GB2312" w:eastAsia="仿宋_GB2312" w:cs="仿宋_GB2312"/>
                <w:kern w:val="0"/>
                <w:sz w:val="22"/>
                <w:szCs w:val="22"/>
              </w:rPr>
              <w:t>,</w:t>
            </w:r>
            <w:r>
              <w:rPr>
                <w:rFonts w:hint="eastAsia" w:ascii="仿宋_GB2312" w:hAnsi="仿宋_GB2312" w:eastAsia="仿宋_GB2312" w:cs="仿宋_GB2312"/>
                <w:kern w:val="0"/>
                <w:sz w:val="22"/>
                <w:szCs w:val="22"/>
              </w:rPr>
              <w:t>请各供应商在报价时充分考虑。</w:t>
            </w:r>
          </w:p>
          <w:p w14:paraId="167FF8D2">
            <w:pPr>
              <w:spacing w:after="50" w:line="420" w:lineRule="exact"/>
              <w:outlineLvl w:val="9"/>
              <w:rPr>
                <w:rFonts w:ascii="仿宋_GB2312" w:hAnsi="仿宋_GB2312" w:eastAsia="仿宋_GB2312"/>
              </w:rPr>
            </w:pPr>
          </w:p>
        </w:tc>
      </w:tr>
      <w:tr w14:paraId="2DACFE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5" w:hRule="atLeast"/>
          <w:jc w:val="center"/>
        </w:trPr>
        <w:tc>
          <w:tcPr>
            <w:tcW w:w="1012" w:type="dxa"/>
            <w:tcBorders>
              <w:top w:val="single" w:color="auto" w:sz="4" w:space="0"/>
              <w:bottom w:val="single" w:color="auto" w:sz="4" w:space="0"/>
            </w:tcBorders>
            <w:shd w:val="clear" w:color="auto" w:fill="auto"/>
            <w:vAlign w:val="center"/>
          </w:tcPr>
          <w:p w14:paraId="02E9D4B6">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31</w:t>
            </w:r>
          </w:p>
        </w:tc>
        <w:tc>
          <w:tcPr>
            <w:tcW w:w="1591" w:type="dxa"/>
            <w:tcBorders>
              <w:top w:val="single" w:color="auto" w:sz="4" w:space="0"/>
              <w:bottom w:val="single" w:color="auto" w:sz="4" w:space="0"/>
            </w:tcBorders>
            <w:vAlign w:val="center"/>
          </w:tcPr>
          <w:p w14:paraId="07346C18">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付款方式</w:t>
            </w:r>
          </w:p>
        </w:tc>
        <w:tc>
          <w:tcPr>
            <w:tcW w:w="7154" w:type="dxa"/>
            <w:tcBorders>
              <w:top w:val="single" w:color="auto" w:sz="4" w:space="0"/>
              <w:bottom w:val="single" w:color="auto" w:sz="4" w:space="0"/>
            </w:tcBorders>
            <w:vAlign w:val="center"/>
          </w:tcPr>
          <w:p w14:paraId="3DAEBD80">
            <w:pPr>
              <w:pStyle w:val="37"/>
              <w:jc w:val="left"/>
              <w:outlineLvl w:val="9"/>
              <w:rPr>
                <w:rFonts w:hint="eastAsia" w:ascii="仿宋_GB2312" w:hAnsi="仿宋_GB2312" w:eastAsia="仿宋_GB2312" w:cs="Times New Roman"/>
                <w:lang w:val="en-US" w:eastAsia="zh-CN"/>
              </w:rPr>
            </w:pPr>
            <w:r>
              <w:rPr>
                <w:rFonts w:hint="eastAsia" w:ascii="仿宋_GB2312" w:hAnsi="仿宋_GB2312" w:eastAsia="仿宋_GB2312" w:cs="Times New Roman"/>
                <w:lang w:val="en-US" w:eastAsia="zh-CN"/>
              </w:rPr>
              <w:t xml:space="preserve"> 签订合同，项目验收合格后付款95%，预留5%，质保期为一年，质保期满无质量问题支付剩余5%。</w:t>
            </w:r>
          </w:p>
        </w:tc>
      </w:tr>
      <w:tr w14:paraId="7F062C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8" w:hRule="atLeast"/>
          <w:jc w:val="center"/>
        </w:trPr>
        <w:tc>
          <w:tcPr>
            <w:tcW w:w="1012" w:type="dxa"/>
            <w:tcBorders>
              <w:top w:val="single" w:color="auto" w:sz="4" w:space="0"/>
              <w:bottom w:val="single" w:color="auto" w:sz="4" w:space="0"/>
            </w:tcBorders>
            <w:shd w:val="clear" w:color="auto" w:fill="auto"/>
            <w:vAlign w:val="center"/>
          </w:tcPr>
          <w:p w14:paraId="575834AC">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32</w:t>
            </w:r>
          </w:p>
        </w:tc>
        <w:tc>
          <w:tcPr>
            <w:tcW w:w="1591" w:type="dxa"/>
            <w:tcBorders>
              <w:top w:val="single" w:color="auto" w:sz="4" w:space="0"/>
              <w:bottom w:val="single" w:color="auto" w:sz="4" w:space="0"/>
            </w:tcBorders>
            <w:vAlign w:val="center"/>
          </w:tcPr>
          <w:p w14:paraId="3F5A347A">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评标委员会</w:t>
            </w:r>
          </w:p>
        </w:tc>
        <w:tc>
          <w:tcPr>
            <w:tcW w:w="7154" w:type="dxa"/>
            <w:tcBorders>
              <w:top w:val="single" w:color="auto" w:sz="4" w:space="0"/>
              <w:bottom w:val="single" w:color="auto" w:sz="4" w:space="0"/>
            </w:tcBorders>
            <w:vAlign w:val="center"/>
          </w:tcPr>
          <w:p w14:paraId="15628F31">
            <w:pPr>
              <w:pStyle w:val="116"/>
              <w:spacing w:line="460" w:lineRule="exact"/>
              <w:ind w:left="1" w:firstLine="420" w:firstLineChars="200"/>
              <w:outlineLvl w:val="9"/>
              <w:rPr>
                <w:rFonts w:ascii="仿宋_GB2312" w:hAnsi="仿宋_GB2312" w:eastAsia="仿宋_GB2312" w:cs="Times New Roman"/>
              </w:rPr>
            </w:pPr>
            <w:r>
              <w:rPr>
                <w:rFonts w:hint="eastAsia" w:ascii="仿宋_GB2312" w:hAnsi="仿宋_GB2312" w:eastAsia="仿宋_GB2312" w:cs="仿宋_GB2312"/>
                <w:sz w:val="21"/>
                <w:szCs w:val="21"/>
              </w:rPr>
              <w:t>评标委员会由采购人代表和评标专家组成，在陇南市公共资源交易中心政府采购专家库中随机抽取行业专家。</w:t>
            </w:r>
          </w:p>
        </w:tc>
      </w:tr>
      <w:tr w14:paraId="4B37D9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09" w:hRule="atLeast"/>
          <w:jc w:val="center"/>
        </w:trPr>
        <w:tc>
          <w:tcPr>
            <w:tcW w:w="1012" w:type="dxa"/>
            <w:tcBorders>
              <w:top w:val="single" w:color="auto" w:sz="4" w:space="0"/>
              <w:bottom w:val="single" w:color="auto" w:sz="4" w:space="0"/>
            </w:tcBorders>
            <w:shd w:val="clear" w:color="auto" w:fill="auto"/>
            <w:vAlign w:val="center"/>
          </w:tcPr>
          <w:p w14:paraId="7A879931">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33</w:t>
            </w:r>
          </w:p>
        </w:tc>
        <w:tc>
          <w:tcPr>
            <w:tcW w:w="1591" w:type="dxa"/>
            <w:tcBorders>
              <w:top w:val="single" w:color="auto" w:sz="4" w:space="0"/>
              <w:bottom w:val="single" w:color="auto" w:sz="4" w:space="0"/>
            </w:tcBorders>
            <w:vAlign w:val="center"/>
          </w:tcPr>
          <w:p w14:paraId="5E84242B">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信息发布</w:t>
            </w:r>
          </w:p>
        </w:tc>
        <w:tc>
          <w:tcPr>
            <w:tcW w:w="7154" w:type="dxa"/>
            <w:tcBorders>
              <w:top w:val="single" w:color="auto" w:sz="4" w:space="0"/>
              <w:bottom w:val="single" w:color="auto" w:sz="4" w:space="0"/>
            </w:tcBorders>
            <w:vAlign w:val="center"/>
          </w:tcPr>
          <w:p w14:paraId="48802F94">
            <w:pPr>
              <w:spacing w:after="50" w:line="420" w:lineRule="exact"/>
              <w:ind w:firstLine="420" w:firstLineChars="200"/>
              <w:outlineLvl w:val="9"/>
              <w:rPr>
                <w:rFonts w:hint="eastAsia" w:ascii="仿宋_GB2312" w:hAnsi="仿宋_GB2312" w:eastAsia="仿宋_GB2312" w:cs="仿宋_GB2312"/>
              </w:rPr>
            </w:pPr>
            <w:r>
              <w:rPr>
                <w:rFonts w:hint="eastAsia" w:ascii="仿宋_GB2312" w:hAnsi="仿宋_GB2312" w:eastAsia="仿宋_GB2312" w:cs="仿宋_GB2312"/>
              </w:rPr>
              <w:t>按照《政府采购信息公告管理办法》中华人民共和国财政部令第</w:t>
            </w:r>
            <w:r>
              <w:rPr>
                <w:rFonts w:ascii="仿宋_GB2312" w:hAnsi="仿宋_GB2312" w:eastAsia="仿宋_GB2312" w:cs="仿宋_GB2312"/>
              </w:rPr>
              <w:t>19</w:t>
            </w:r>
            <w:r>
              <w:rPr>
                <w:rFonts w:hint="eastAsia" w:ascii="仿宋_GB2312" w:hAnsi="仿宋_GB2312" w:eastAsia="仿宋_GB2312" w:cs="仿宋_GB2312"/>
              </w:rPr>
              <w:t>号第三章第十八条在各政府采购信息指定发布媒体上公告同一政府采购信息的时间不一致的，以在财政部指定的政府采购信息发布媒体上最早公告信息的时间为公告时间和政府采购当事人对有关事项应当知道的时间。</w:t>
            </w:r>
          </w:p>
          <w:p w14:paraId="5A45C175">
            <w:pPr>
              <w:spacing w:after="50" w:line="420" w:lineRule="exact"/>
              <w:ind w:firstLine="420" w:firstLineChars="200"/>
              <w:outlineLvl w:val="9"/>
              <w:rPr>
                <w:rFonts w:ascii="仿宋_GB2312" w:hAnsi="仿宋_GB2312" w:eastAsia="仿宋_GB2312"/>
                <w:b/>
                <w:bCs/>
                <w:lang w:val="zh-CN"/>
              </w:rPr>
            </w:pPr>
            <w:r>
              <w:rPr>
                <w:rFonts w:hint="eastAsia" w:ascii="仿宋_GB2312" w:hAnsi="仿宋_GB2312" w:eastAsia="仿宋_GB2312" w:cs="仿宋_GB2312"/>
              </w:rPr>
              <w:t>本项目时间安排以甘肃政府采购网发布信息为准。</w:t>
            </w:r>
          </w:p>
        </w:tc>
      </w:tr>
      <w:tr w14:paraId="21921D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85" w:hRule="atLeast"/>
          <w:jc w:val="center"/>
        </w:trPr>
        <w:tc>
          <w:tcPr>
            <w:tcW w:w="1012" w:type="dxa"/>
            <w:tcBorders>
              <w:top w:val="single" w:color="auto" w:sz="4" w:space="0"/>
              <w:bottom w:val="single" w:color="auto" w:sz="4" w:space="0"/>
            </w:tcBorders>
            <w:shd w:val="clear" w:color="auto" w:fill="auto"/>
            <w:vAlign w:val="center"/>
          </w:tcPr>
          <w:p w14:paraId="607727B2">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34</w:t>
            </w:r>
          </w:p>
        </w:tc>
        <w:tc>
          <w:tcPr>
            <w:tcW w:w="1591" w:type="dxa"/>
            <w:tcBorders>
              <w:top w:val="single" w:color="auto" w:sz="4" w:space="0"/>
              <w:bottom w:val="single" w:color="auto" w:sz="4" w:space="0"/>
            </w:tcBorders>
            <w:vAlign w:val="center"/>
          </w:tcPr>
          <w:p w14:paraId="6E2195B3">
            <w:pPr>
              <w:pStyle w:val="110"/>
              <w:jc w:val="left"/>
              <w:outlineLvl w:val="9"/>
              <w:rPr>
                <w:rFonts w:ascii="仿宋_GB2312" w:hAnsi="仿宋_GB2312" w:eastAsia="仿宋_GB2312" w:cs="Times New Roman"/>
                <w:b/>
                <w:bCs/>
                <w:color w:val="121212"/>
                <w:sz w:val="22"/>
                <w:szCs w:val="22"/>
                <w:shd w:val="clear" w:color="auto" w:fill="FFFFFF"/>
              </w:rPr>
            </w:pPr>
            <w:r>
              <w:rPr>
                <w:rFonts w:hint="eastAsia" w:ascii="仿宋_GB2312" w:hAnsi="仿宋_GB2312" w:eastAsia="仿宋_GB2312" w:cs="仿宋_GB2312"/>
                <w:b/>
                <w:bCs/>
                <w:color w:val="121212"/>
                <w:sz w:val="22"/>
                <w:szCs w:val="22"/>
                <w:shd w:val="clear" w:color="auto" w:fill="FFFFFF"/>
                <w:lang w:eastAsia="zh-CN"/>
              </w:rPr>
              <w:t>政府采购合同融资</w:t>
            </w:r>
          </w:p>
        </w:tc>
        <w:tc>
          <w:tcPr>
            <w:tcW w:w="7154" w:type="dxa"/>
            <w:tcBorders>
              <w:top w:val="single" w:color="auto" w:sz="4" w:space="0"/>
              <w:bottom w:val="single" w:color="auto" w:sz="4" w:space="0"/>
            </w:tcBorders>
            <w:vAlign w:val="center"/>
          </w:tcPr>
          <w:p w14:paraId="62CB269F">
            <w:pPr>
              <w:pStyle w:val="23"/>
              <w:adjustRightInd w:val="0"/>
              <w:snapToGrid w:val="0"/>
              <w:spacing w:beforeLines="50" w:line="360" w:lineRule="auto"/>
              <w:jc w:val="left"/>
              <w:outlineLvl w:val="9"/>
              <w:rPr>
                <w:rFonts w:ascii="仿宋_GB2312" w:hAnsi="仿宋_GB2312" w:eastAsia="仿宋_GB2312" w:cs="Times New Roman"/>
                <w:b/>
                <w:bCs/>
                <w:sz w:val="22"/>
                <w:szCs w:val="22"/>
              </w:rPr>
            </w:pPr>
            <w:r>
              <w:rPr>
                <w:rFonts w:hint="eastAsia" w:ascii="仿宋_GB2312" w:hAnsi="仿宋_GB2312" w:eastAsia="仿宋_GB2312" w:cs="仿宋_GB2312"/>
                <w:sz w:val="22"/>
                <w:szCs w:val="22"/>
              </w:rPr>
              <w:t>在甘肃省注册、具有法人资格且依法取得省内政府采购合同中小微企业在依法签订政府采购合同后，即可通过融资平台自行选择金融机构及合同融资产品，申请合同融资。详见《甘肃省财政厅关于开展甘肃省政府采购合同融资业务有关事宜的通知》（甘财采〔</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16</w:t>
            </w:r>
            <w:r>
              <w:rPr>
                <w:rFonts w:hint="eastAsia" w:ascii="仿宋_GB2312" w:hAnsi="仿宋_GB2312" w:eastAsia="仿宋_GB2312" w:cs="仿宋_GB2312"/>
                <w:sz w:val="22"/>
                <w:szCs w:val="22"/>
              </w:rPr>
              <w:t>号）。</w:t>
            </w:r>
            <w:r>
              <w:rPr>
                <w:rFonts w:ascii="仿宋_GB2312" w:hAnsi="仿宋_GB2312" w:eastAsia="仿宋_GB2312" w:cs="仿宋_GB2312"/>
                <w:sz w:val="22"/>
                <w:szCs w:val="22"/>
              </w:rPr>
              <w:t xml:space="preserve"> </w:t>
            </w:r>
          </w:p>
        </w:tc>
      </w:tr>
      <w:tr w14:paraId="260714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00" w:hRule="atLeast"/>
          <w:jc w:val="center"/>
        </w:trPr>
        <w:tc>
          <w:tcPr>
            <w:tcW w:w="1012" w:type="dxa"/>
            <w:tcBorders>
              <w:top w:val="single" w:color="auto" w:sz="4" w:space="0"/>
              <w:bottom w:val="single" w:color="auto" w:sz="4" w:space="0"/>
            </w:tcBorders>
            <w:shd w:val="clear" w:color="auto" w:fill="auto"/>
            <w:vAlign w:val="center"/>
          </w:tcPr>
          <w:p w14:paraId="01CBB84E">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35</w:t>
            </w:r>
          </w:p>
        </w:tc>
        <w:tc>
          <w:tcPr>
            <w:tcW w:w="1591" w:type="dxa"/>
            <w:tcBorders>
              <w:top w:val="single" w:color="auto" w:sz="4" w:space="0"/>
              <w:bottom w:val="single" w:color="auto" w:sz="4" w:space="0"/>
            </w:tcBorders>
            <w:vAlign w:val="center"/>
          </w:tcPr>
          <w:p w14:paraId="1D23904F">
            <w:pPr>
              <w:widowControl/>
              <w:jc w:val="center"/>
              <w:outlineLvl w:val="9"/>
              <w:rPr>
                <w:rFonts w:ascii="仿宋_GB2312" w:hAnsi="仿宋_GB2312" w:eastAsia="仿宋_GB2312"/>
                <w:b/>
                <w:bCs/>
              </w:rPr>
            </w:pPr>
            <w:r>
              <w:rPr>
                <w:rFonts w:hint="eastAsia" w:ascii="仿宋_GB2312" w:hAnsi="仿宋_GB2312" w:eastAsia="仿宋_GB2312" w:cs="仿宋_GB2312"/>
                <w:b/>
                <w:bCs/>
                <w:color w:val="000000"/>
                <w:kern w:val="0"/>
                <w:sz w:val="24"/>
                <w:szCs w:val="24"/>
              </w:rPr>
              <w:t>中标通知书</w:t>
            </w:r>
          </w:p>
          <w:p w14:paraId="151AC5BA">
            <w:pPr>
              <w:widowControl/>
              <w:jc w:val="center"/>
              <w:outlineLvl w:val="9"/>
              <w:rPr>
                <w:rFonts w:ascii="仿宋_GB2312" w:hAnsi="仿宋_GB2312" w:eastAsia="仿宋_GB2312"/>
                <w:b/>
                <w:bCs/>
                <w:color w:val="121212"/>
                <w:sz w:val="22"/>
                <w:szCs w:val="22"/>
                <w:shd w:val="clear" w:color="auto" w:fill="FFFFFF"/>
              </w:rPr>
            </w:pPr>
            <w:r>
              <w:rPr>
                <w:rFonts w:hint="eastAsia" w:ascii="仿宋_GB2312" w:hAnsi="仿宋_GB2312" w:eastAsia="仿宋_GB2312" w:cs="仿宋_GB2312"/>
                <w:b/>
                <w:bCs/>
                <w:color w:val="000000"/>
                <w:kern w:val="0"/>
                <w:sz w:val="24"/>
                <w:szCs w:val="24"/>
              </w:rPr>
              <w:t>领取</w:t>
            </w:r>
          </w:p>
        </w:tc>
        <w:tc>
          <w:tcPr>
            <w:tcW w:w="7154" w:type="dxa"/>
            <w:tcBorders>
              <w:top w:val="single" w:color="auto" w:sz="4" w:space="0"/>
              <w:bottom w:val="single" w:color="auto" w:sz="4" w:space="0"/>
            </w:tcBorders>
            <w:vAlign w:val="center"/>
          </w:tcPr>
          <w:p w14:paraId="6203FFED">
            <w:pPr>
              <w:widowControl/>
              <w:jc w:val="left"/>
              <w:outlineLvl w:val="9"/>
              <w:rPr>
                <w:rFonts w:ascii="仿宋_GB2312" w:hAnsi="仿宋_GB2312" w:eastAsia="仿宋_GB2312"/>
                <w:sz w:val="22"/>
                <w:szCs w:val="22"/>
              </w:rPr>
            </w:pPr>
            <w:r>
              <w:rPr>
                <w:rFonts w:hint="eastAsia" w:ascii="仿宋_GB2312" w:hAnsi="仿宋_GB2312" w:eastAsia="仿宋_GB2312" w:cs="仿宋_GB2312"/>
                <w:b w:val="0"/>
                <w:bCs w:val="0"/>
                <w:color w:val="000000"/>
                <w:kern w:val="0"/>
                <w:sz w:val="24"/>
                <w:szCs w:val="24"/>
              </w:rPr>
              <w:t>中标公告发布后，中标人在</w:t>
            </w:r>
            <w:r>
              <w:rPr>
                <w:rFonts w:hint="eastAsia" w:ascii="仿宋_GB2312" w:hAnsi="仿宋_GB2312" w:eastAsia="仿宋_GB2312" w:cs="仿宋_GB2312"/>
                <w:b w:val="0"/>
                <w:bCs w:val="0"/>
                <w:color w:val="000000"/>
                <w:kern w:val="0"/>
                <w:sz w:val="24"/>
                <w:szCs w:val="24"/>
                <w:u w:val="none"/>
                <w:lang w:val="en-US" w:eastAsia="zh-CN"/>
              </w:rPr>
              <w:t>陇南市公共资源交易中心政府采购科316</w:t>
            </w:r>
            <w:r>
              <w:rPr>
                <w:rFonts w:hint="eastAsia" w:ascii="仿宋_GB2312" w:hAnsi="仿宋_GB2312" w:eastAsia="仿宋_GB2312" w:cs="仿宋_GB2312"/>
                <w:b w:val="0"/>
                <w:bCs w:val="0"/>
                <w:color w:val="000000"/>
                <w:kern w:val="0"/>
                <w:sz w:val="24"/>
                <w:szCs w:val="24"/>
                <w:u w:val="single"/>
                <w:lang w:val="en-US" w:eastAsia="zh-CN"/>
              </w:rPr>
              <w:t>室</w:t>
            </w:r>
            <w:r>
              <w:rPr>
                <w:rFonts w:hint="eastAsia" w:ascii="仿宋_GB2312" w:hAnsi="仿宋_GB2312" w:eastAsia="仿宋_GB2312" w:cs="仿宋_GB2312"/>
                <w:b w:val="0"/>
                <w:bCs w:val="0"/>
                <w:color w:val="000000"/>
                <w:kern w:val="0"/>
                <w:sz w:val="24"/>
                <w:szCs w:val="24"/>
              </w:rPr>
              <w:t>领取中标通知书，不再另行通知。</w:t>
            </w:r>
          </w:p>
        </w:tc>
      </w:tr>
      <w:tr w14:paraId="23F6C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5" w:hRule="atLeast"/>
          <w:jc w:val="center"/>
        </w:trPr>
        <w:tc>
          <w:tcPr>
            <w:tcW w:w="0" w:type="auto"/>
            <w:shd w:val="clear" w:color="auto" w:fill="auto"/>
            <w:vAlign w:val="center"/>
          </w:tcPr>
          <w:p w14:paraId="3DE88CBD">
            <w:pPr>
              <w:pStyle w:val="110"/>
              <w:ind w:right="264" w:rightChars="0"/>
              <w:jc w:val="center"/>
              <w:outlineLvl w:val="9"/>
              <w:rPr>
                <w:rFonts w:hint="default" w:ascii="仿宋_GB2312" w:hAnsi="仿宋_GB2312" w:eastAsia="仿宋_GB2312" w:cs="仿宋_GB2312"/>
                <w:kern w:val="0"/>
                <w:sz w:val="21"/>
                <w:szCs w:val="21"/>
                <w:lang w:val="en-US" w:eastAsia="zh-CN" w:bidi="ar-SA"/>
              </w:rPr>
            </w:pPr>
            <w:bookmarkStart w:id="32" w:name="_Toc21648"/>
            <w:bookmarkStart w:id="33" w:name="_Toc4912"/>
            <w:r>
              <w:rPr>
                <w:rFonts w:hint="eastAsia" w:ascii="仿宋_GB2312" w:hAnsi="仿宋_GB2312" w:eastAsia="仿宋_GB2312" w:cs="仿宋_GB2312"/>
                <w:sz w:val="21"/>
                <w:szCs w:val="21"/>
                <w:lang w:val="en-US" w:eastAsia="zh-CN"/>
              </w:rPr>
              <w:t>36</w:t>
            </w:r>
          </w:p>
        </w:tc>
        <w:tc>
          <w:tcPr>
            <w:tcW w:w="1591" w:type="dxa"/>
            <w:shd w:val="clear" w:color="auto" w:fill="auto"/>
            <w:vAlign w:val="center"/>
          </w:tcPr>
          <w:p w14:paraId="531B8049">
            <w:pPr>
              <w:spacing w:beforeLines="0" w:afterLines="0"/>
              <w:jc w:val="center"/>
              <w:rPr>
                <w:rFonts w:hint="eastAsia" w:ascii="仿宋_GB2312" w:hAnsi="仿宋_GB2312" w:eastAsia="仿宋_GB2312" w:cs="仿宋_GB2312"/>
                <w:b/>
                <w:bCs/>
                <w:color w:val="121212"/>
                <w:kern w:val="0"/>
                <w:sz w:val="22"/>
                <w:szCs w:val="22"/>
                <w:shd w:val="clear" w:color="auto" w:fill="FFFFFF"/>
                <w:lang w:val="en-US" w:eastAsia="zh-CN" w:bidi="ar-SA"/>
              </w:rPr>
            </w:pPr>
            <w:r>
              <w:rPr>
                <w:rFonts w:hint="eastAsia" w:ascii="仿宋_GB2312" w:hAnsi="仿宋_GB2312" w:eastAsia="仿宋_GB2312" w:cs="仿宋_GB2312"/>
                <w:b/>
                <w:bCs/>
                <w:color w:val="121212"/>
                <w:kern w:val="0"/>
                <w:sz w:val="22"/>
                <w:szCs w:val="22"/>
                <w:shd w:val="clear" w:color="auto" w:fill="FFFFFF"/>
                <w:lang w:val="en-US" w:eastAsia="zh-CN" w:bidi="ar-SA"/>
              </w:rPr>
              <w:t>核心产品</w:t>
            </w:r>
          </w:p>
          <w:p w14:paraId="4534CCB0">
            <w:pPr>
              <w:widowControl/>
              <w:jc w:val="center"/>
              <w:outlineLvl w:val="9"/>
              <w:rPr>
                <w:rFonts w:hint="eastAsia" w:ascii="仿宋_GB2312" w:hAnsi="仿宋_GB2312" w:eastAsia="仿宋_GB2312" w:cs="仿宋_GB2312"/>
                <w:b/>
                <w:bCs/>
                <w:color w:val="000000"/>
                <w:kern w:val="0"/>
                <w:sz w:val="24"/>
                <w:szCs w:val="24"/>
                <w:lang w:val="en-US" w:eastAsia="zh-CN" w:bidi="ar-SA"/>
              </w:rPr>
            </w:pPr>
          </w:p>
        </w:tc>
        <w:tc>
          <w:tcPr>
            <w:tcW w:w="7154" w:type="dxa"/>
            <w:shd w:val="clear" w:color="auto" w:fill="auto"/>
            <w:vAlign w:val="center"/>
          </w:tcPr>
          <w:p w14:paraId="06007E04">
            <w:pPr>
              <w:widowControl/>
              <w:jc w:val="left"/>
              <w:outlineLvl w:val="9"/>
              <w:rPr>
                <w:rFonts w:hint="default" w:ascii="仿宋_GB2312" w:hAnsi="仿宋_GB2312" w:eastAsia="宋体"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rPr>
              <w:t>听证终端</w:t>
            </w:r>
            <w:r>
              <w:rPr>
                <w:rFonts w:hint="eastAsia" w:ascii="仿宋_GB2312" w:hAnsi="仿宋_GB2312" w:eastAsia="仿宋_GB2312" w:cs="仿宋_GB2312"/>
                <w:b/>
                <w:bCs/>
                <w:color w:val="000000"/>
                <w:kern w:val="0"/>
                <w:sz w:val="24"/>
                <w:szCs w:val="24"/>
                <w:lang w:val="en-US" w:eastAsia="zh-CN"/>
              </w:rPr>
              <w:t>、</w:t>
            </w:r>
            <w:r>
              <w:rPr>
                <w:rFonts w:hint="eastAsia" w:ascii="仿宋_GB2312" w:hAnsi="仿宋_GB2312" w:eastAsia="仿宋_GB2312" w:cs="仿宋_GB2312"/>
                <w:b/>
                <w:bCs/>
                <w:color w:val="000000"/>
                <w:kern w:val="0"/>
                <w:sz w:val="24"/>
                <w:szCs w:val="24"/>
              </w:rPr>
              <w:t>行政复议数字听证管理平台、磁盘存储矩阵</w:t>
            </w:r>
            <w:r>
              <w:rPr>
                <w:rFonts w:hint="eastAsia" w:ascii="仿宋_GB2312" w:hAnsi="仿宋_GB2312" w:eastAsia="仿宋_GB2312" w:cs="仿宋_GB2312"/>
                <w:b/>
                <w:bCs/>
                <w:color w:val="000000"/>
                <w:kern w:val="0"/>
                <w:sz w:val="24"/>
                <w:szCs w:val="24"/>
                <w:lang w:val="en-US" w:eastAsia="zh-CN"/>
              </w:rPr>
              <w:t>、</w:t>
            </w:r>
            <w:r>
              <w:rPr>
                <w:rFonts w:hint="eastAsia" w:ascii="仿宋_GB2312" w:hAnsi="仿宋_GB2312" w:eastAsia="仿宋_GB2312" w:cs="仿宋_GB2312"/>
                <w:b/>
                <w:bCs/>
                <w:color w:val="000000"/>
                <w:kern w:val="0"/>
                <w:sz w:val="24"/>
                <w:szCs w:val="24"/>
              </w:rPr>
              <w:t>听证复议MCU</w:t>
            </w:r>
            <w:r>
              <w:rPr>
                <w:rFonts w:hint="eastAsia" w:ascii="仿宋_GB2312" w:hAnsi="仿宋_GB2312" w:eastAsia="仿宋_GB2312" w:cs="仿宋_GB2312"/>
                <w:b/>
                <w:bCs/>
                <w:color w:val="000000"/>
                <w:kern w:val="0"/>
                <w:sz w:val="24"/>
                <w:szCs w:val="24"/>
                <w:lang w:val="en-US" w:eastAsia="zh-CN"/>
              </w:rPr>
              <w:t>。</w:t>
            </w:r>
          </w:p>
        </w:tc>
      </w:tr>
    </w:tbl>
    <w:p w14:paraId="43516158">
      <w:pPr>
        <w:keepNext/>
        <w:keepLines/>
        <w:pageBreakBefore/>
        <w:jc w:val="center"/>
        <w:outlineLvl w:val="1"/>
        <w:rPr>
          <w:rFonts w:ascii="宋体"/>
          <w:b/>
          <w:bCs/>
          <w:kern w:val="0"/>
          <w:sz w:val="32"/>
          <w:szCs w:val="32"/>
        </w:rPr>
      </w:pPr>
      <w:r>
        <w:rPr>
          <w:rFonts w:hint="eastAsia" w:ascii="宋体" w:hAnsi="宋体" w:cs="宋体"/>
          <w:b/>
          <w:bCs/>
          <w:kern w:val="0"/>
          <w:sz w:val="32"/>
          <w:szCs w:val="32"/>
        </w:rPr>
        <w:t>第二节</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投标文件否决性条款</w:t>
      </w:r>
      <w:bookmarkEnd w:id="32"/>
      <w:bookmarkEnd w:id="33"/>
    </w:p>
    <w:p w14:paraId="0E8CC56F">
      <w:pPr>
        <w:spacing w:line="282" w:lineRule="auto"/>
        <w:rPr>
          <w:rFonts w:ascii="宋体"/>
        </w:rPr>
      </w:pPr>
    </w:p>
    <w:p w14:paraId="325B7919">
      <w:pPr>
        <w:spacing w:before="68" w:line="492" w:lineRule="auto"/>
        <w:ind w:left="539" w:right="83" w:firstLine="615"/>
        <w:rPr>
          <w:rFonts w:ascii="宋体"/>
          <w:b/>
          <w:bCs/>
          <w:sz w:val="28"/>
          <w:szCs w:val="28"/>
        </w:rPr>
      </w:pPr>
      <w:r>
        <w:rPr>
          <w:rFonts w:hint="eastAsia" w:ascii="宋体" w:hAnsi="宋体" w:cs="宋体"/>
          <w:b/>
          <w:bCs/>
          <w:spacing w:val="1"/>
          <w:sz w:val="28"/>
          <w:szCs w:val="28"/>
        </w:rPr>
        <w:t>本章节是本次招标文件</w:t>
      </w:r>
      <w:r>
        <w:rPr>
          <w:rFonts w:ascii="宋体" w:hAnsi="宋体" w:cs="宋体"/>
          <w:b/>
          <w:bCs/>
          <w:spacing w:val="1"/>
          <w:sz w:val="28"/>
          <w:szCs w:val="28"/>
        </w:rPr>
        <w:t>(</w:t>
      </w:r>
      <w:r>
        <w:rPr>
          <w:rFonts w:hint="eastAsia" w:ascii="宋体" w:hAnsi="宋体" w:cs="宋体"/>
          <w:b/>
          <w:bCs/>
          <w:spacing w:val="1"/>
          <w:sz w:val="28"/>
          <w:szCs w:val="28"/>
        </w:rPr>
        <w:t>含招标文件的澄清、答疑、补充文件等</w:t>
      </w:r>
      <w:r>
        <w:rPr>
          <w:rFonts w:ascii="宋体" w:hAnsi="宋体" w:cs="宋体"/>
          <w:b/>
          <w:bCs/>
          <w:spacing w:val="1"/>
          <w:sz w:val="28"/>
          <w:szCs w:val="28"/>
        </w:rPr>
        <w:t>)</w:t>
      </w:r>
      <w:r>
        <w:rPr>
          <w:rFonts w:hint="eastAsia" w:ascii="宋体" w:hAnsi="宋体" w:cs="宋体"/>
          <w:b/>
          <w:bCs/>
          <w:spacing w:val="1"/>
          <w:sz w:val="28"/>
          <w:szCs w:val="28"/>
        </w:rPr>
        <w:t>中涉及的所有无</w:t>
      </w:r>
      <w:r>
        <w:rPr>
          <w:rFonts w:hint="eastAsia" w:ascii="宋体" w:hAnsi="宋体" w:cs="宋体"/>
          <w:b/>
          <w:bCs/>
          <w:sz w:val="28"/>
          <w:szCs w:val="28"/>
        </w:rPr>
        <w:t>效条款的摘要。招标文件中有关无效条款的阐述与本章节不一致的，以本章</w:t>
      </w:r>
      <w:r>
        <w:rPr>
          <w:rFonts w:hint="eastAsia" w:ascii="宋体" w:hAnsi="宋体" w:cs="宋体"/>
          <w:b/>
          <w:bCs/>
          <w:spacing w:val="-1"/>
          <w:sz w:val="28"/>
          <w:szCs w:val="28"/>
        </w:rPr>
        <w:t>节内容为准。</w:t>
      </w:r>
    </w:p>
    <w:p w14:paraId="06F6836E">
      <w:pPr>
        <w:adjustRightInd w:val="0"/>
        <w:snapToGrid w:val="0"/>
        <w:spacing w:beforeLines="50" w:line="360" w:lineRule="auto"/>
        <w:ind w:right="-109" w:rightChars="-52" w:firstLine="442" w:firstLineChars="200"/>
        <w:rPr>
          <w:rFonts w:ascii="宋体"/>
          <w:b/>
          <w:bCs/>
          <w:sz w:val="22"/>
          <w:szCs w:val="22"/>
        </w:rPr>
      </w:pPr>
      <w:r>
        <w:rPr>
          <w:rFonts w:hint="eastAsia" w:ascii="宋体" w:hAnsi="宋体" w:cs="宋体"/>
          <w:b/>
          <w:bCs/>
          <w:sz w:val="22"/>
          <w:szCs w:val="22"/>
        </w:rPr>
        <w:t>一．开标会上，投标文件不予受理的情形（由招标人或招标代理机构负责判定）</w:t>
      </w:r>
    </w:p>
    <w:p w14:paraId="44029F88">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1</w:t>
      </w:r>
      <w:r>
        <w:rPr>
          <w:rFonts w:hint="eastAsia" w:ascii="宋体" w:hAnsi="宋体" w:cs="宋体"/>
          <w:sz w:val="22"/>
          <w:szCs w:val="22"/>
        </w:rPr>
        <w:t>、投标文件未按招标文件规定的时间及方式上传的；</w:t>
      </w:r>
    </w:p>
    <w:p w14:paraId="2BED5901">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2</w:t>
      </w:r>
      <w:r>
        <w:rPr>
          <w:rFonts w:hint="eastAsia" w:ascii="宋体" w:hAnsi="宋体" w:cs="宋体"/>
          <w:sz w:val="22"/>
          <w:szCs w:val="22"/>
        </w:rPr>
        <w:t>、未参加投标报名或报名审核未通过的；</w:t>
      </w:r>
    </w:p>
    <w:p w14:paraId="236FAF22">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3</w:t>
      </w:r>
      <w:r>
        <w:rPr>
          <w:rFonts w:hint="eastAsia" w:ascii="宋体" w:hAnsi="宋体" w:cs="宋体"/>
          <w:sz w:val="22"/>
          <w:szCs w:val="22"/>
        </w:rPr>
        <w:t>、不同投标人的投标文件载明的项目管理成员或者联系人员为同一人；</w:t>
      </w:r>
    </w:p>
    <w:p w14:paraId="4E7F4E92">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4</w:t>
      </w:r>
      <w:r>
        <w:rPr>
          <w:rFonts w:hint="eastAsia" w:ascii="宋体" w:hAnsi="宋体" w:cs="宋体"/>
          <w:sz w:val="22"/>
          <w:szCs w:val="22"/>
        </w:rPr>
        <w:t>、投标人名称与投标报名时的名称不一致者且未提供有效证明的；</w:t>
      </w:r>
    </w:p>
    <w:p w14:paraId="72306205">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5</w:t>
      </w:r>
      <w:r>
        <w:rPr>
          <w:rFonts w:hint="eastAsia" w:ascii="宋体" w:hAnsi="宋体" w:cs="宋体"/>
          <w:sz w:val="22"/>
          <w:szCs w:val="22"/>
        </w:rPr>
        <w:t>、报价超过招标文件中规定的采购预算金额或者最高限价的；</w:t>
      </w:r>
    </w:p>
    <w:p w14:paraId="7E06868C">
      <w:pPr>
        <w:adjustRightInd w:val="0"/>
        <w:snapToGrid w:val="0"/>
        <w:spacing w:beforeLines="50" w:line="360" w:lineRule="auto"/>
        <w:ind w:right="-109" w:rightChars="-52" w:firstLine="442" w:firstLineChars="200"/>
        <w:rPr>
          <w:rFonts w:ascii="宋体"/>
          <w:sz w:val="22"/>
          <w:szCs w:val="22"/>
        </w:rPr>
      </w:pPr>
      <w:r>
        <w:rPr>
          <w:rFonts w:ascii="宋体" w:hAnsi="宋体" w:cs="宋体"/>
          <w:b/>
          <w:bCs/>
          <w:sz w:val="22"/>
          <w:szCs w:val="22"/>
        </w:rPr>
        <w:t xml:space="preserve"> </w:t>
      </w:r>
      <w:r>
        <w:rPr>
          <w:rFonts w:hint="eastAsia" w:ascii="宋体" w:hAnsi="宋体" w:cs="宋体"/>
          <w:b/>
          <w:bCs/>
          <w:sz w:val="22"/>
          <w:szCs w:val="22"/>
        </w:rPr>
        <w:t>二、有下列情形之一的，视为投标人串通投标，其投标无效（由评标委员会负责判定）</w:t>
      </w:r>
      <w:r>
        <w:rPr>
          <w:rFonts w:ascii="宋体" w:hAnsi="宋体" w:cs="宋体"/>
          <w:b/>
          <w:bCs/>
          <w:sz w:val="22"/>
          <w:szCs w:val="22"/>
        </w:rPr>
        <w:t xml:space="preserve"> </w:t>
      </w:r>
    </w:p>
    <w:p w14:paraId="15F1DFA3">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1</w:t>
      </w:r>
      <w:r>
        <w:rPr>
          <w:rFonts w:hint="eastAsia" w:ascii="宋体" w:hAnsi="宋体" w:cs="宋体"/>
          <w:sz w:val="22"/>
          <w:szCs w:val="22"/>
        </w:rPr>
        <w:t>、不同投标人的投标文件由同一单位或者个人编制；</w:t>
      </w:r>
    </w:p>
    <w:p w14:paraId="1EA3736C">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2</w:t>
      </w:r>
      <w:r>
        <w:rPr>
          <w:rFonts w:hint="eastAsia" w:ascii="宋体" w:hAnsi="宋体" w:cs="宋体"/>
          <w:sz w:val="22"/>
          <w:szCs w:val="22"/>
        </w:rPr>
        <w:t>、不同投标人委托同一单位或者个人办理投标事宜；</w:t>
      </w:r>
    </w:p>
    <w:p w14:paraId="1321064E">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3</w:t>
      </w:r>
      <w:r>
        <w:rPr>
          <w:rFonts w:hint="eastAsia" w:ascii="宋体" w:hAnsi="宋体" w:cs="宋体"/>
          <w:sz w:val="22"/>
          <w:szCs w:val="22"/>
        </w:rPr>
        <w:t>、不同投标人的投标文件载明的项目管理成员或者联系人员为同一人；</w:t>
      </w:r>
    </w:p>
    <w:p w14:paraId="47D309E5">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4</w:t>
      </w:r>
      <w:r>
        <w:rPr>
          <w:rFonts w:hint="eastAsia" w:ascii="宋体" w:hAnsi="宋体" w:cs="宋体"/>
          <w:sz w:val="22"/>
          <w:szCs w:val="22"/>
        </w:rPr>
        <w:t>、不同投标人的投标文件异常一致或者投标报价呈规律性差异；（如：不同投标人的投标文件错漏之处一致的）；</w:t>
      </w:r>
      <w:r>
        <w:rPr>
          <w:rFonts w:ascii="宋体" w:hAnsi="宋体" w:cs="宋体"/>
          <w:sz w:val="22"/>
          <w:szCs w:val="22"/>
        </w:rPr>
        <w:t xml:space="preserve"> </w:t>
      </w:r>
    </w:p>
    <w:p w14:paraId="4EE798DC">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5</w:t>
      </w:r>
      <w:r>
        <w:rPr>
          <w:rFonts w:hint="eastAsia" w:ascii="宋体" w:hAnsi="宋体" w:cs="宋体"/>
          <w:sz w:val="22"/>
          <w:szCs w:val="22"/>
        </w:rPr>
        <w:t>、不同投标人的投标文件相互混装；</w:t>
      </w:r>
    </w:p>
    <w:p w14:paraId="51EB7290">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6</w:t>
      </w:r>
      <w:r>
        <w:rPr>
          <w:rFonts w:hint="eastAsia" w:ascii="宋体" w:hAnsi="宋体" w:cs="宋体"/>
          <w:sz w:val="22"/>
          <w:szCs w:val="22"/>
        </w:rPr>
        <w:t>、不同投标人的投标保证金从同一单位或者个人的账户转出；</w:t>
      </w:r>
    </w:p>
    <w:p w14:paraId="3DE56ACF">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7</w:t>
      </w:r>
      <w:r>
        <w:rPr>
          <w:rFonts w:hint="eastAsia" w:ascii="宋体" w:hAnsi="宋体" w:cs="宋体"/>
          <w:sz w:val="22"/>
          <w:szCs w:val="22"/>
        </w:rPr>
        <w:t>、有关法律、法规或规章规定的其他串通投标情形。</w:t>
      </w:r>
    </w:p>
    <w:p w14:paraId="258303BE">
      <w:pPr>
        <w:adjustRightInd w:val="0"/>
        <w:snapToGrid w:val="0"/>
        <w:spacing w:beforeLines="50" w:line="360" w:lineRule="auto"/>
        <w:ind w:right="-109" w:rightChars="-52" w:firstLine="442" w:firstLineChars="200"/>
        <w:rPr>
          <w:rFonts w:ascii="宋体"/>
          <w:b/>
          <w:bCs/>
          <w:sz w:val="22"/>
          <w:szCs w:val="22"/>
        </w:rPr>
      </w:pPr>
      <w:r>
        <w:rPr>
          <w:rFonts w:hint="eastAsia" w:ascii="宋体" w:hAnsi="宋体" w:cs="宋体"/>
          <w:b/>
          <w:bCs/>
          <w:sz w:val="22"/>
          <w:szCs w:val="22"/>
        </w:rPr>
        <w:t>二．详细评审中投标人存在下列情况之一的，投标无效（由评标委员会负责判定）</w:t>
      </w:r>
    </w:p>
    <w:p w14:paraId="6F4397D0">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1</w:t>
      </w:r>
      <w:r>
        <w:rPr>
          <w:rFonts w:hint="eastAsia" w:ascii="宋体" w:hAnsi="宋体" w:cs="宋体"/>
          <w:sz w:val="22"/>
          <w:szCs w:val="22"/>
        </w:rPr>
        <w:t>、投标文件未按招标文件要求签署、盖章的；</w:t>
      </w:r>
    </w:p>
    <w:p w14:paraId="4F58BCB6">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2</w:t>
      </w:r>
      <w:r>
        <w:rPr>
          <w:rFonts w:hint="eastAsia" w:ascii="宋体" w:hAnsi="宋体" w:cs="宋体"/>
          <w:sz w:val="22"/>
          <w:szCs w:val="22"/>
        </w:rPr>
        <w:t>、不具备招标文件中规定的资格要求的；</w:t>
      </w:r>
    </w:p>
    <w:p w14:paraId="107325FB">
      <w:pPr>
        <w:adjustRightInd w:val="0"/>
        <w:snapToGrid w:val="0"/>
        <w:spacing w:beforeLines="50" w:line="360" w:lineRule="auto"/>
        <w:ind w:left="420" w:leftChars="200" w:right="-109" w:rightChars="-52"/>
        <w:rPr>
          <w:rFonts w:ascii="宋体"/>
          <w:sz w:val="22"/>
          <w:szCs w:val="22"/>
        </w:rPr>
      </w:pPr>
      <w:r>
        <w:rPr>
          <w:rFonts w:ascii="宋体" w:hAnsi="宋体" w:cs="宋体"/>
          <w:sz w:val="22"/>
          <w:szCs w:val="22"/>
        </w:rPr>
        <w:t>3</w:t>
      </w:r>
      <w:r>
        <w:rPr>
          <w:rFonts w:hint="eastAsia" w:ascii="宋体" w:hAnsi="宋体" w:cs="宋体"/>
          <w:sz w:val="22"/>
          <w:szCs w:val="22"/>
        </w:rPr>
        <w:t>、报价超过招标文件中规定的预算金额或者最高限价的；</w:t>
      </w:r>
    </w:p>
    <w:p w14:paraId="4AD47AFF">
      <w:pPr>
        <w:adjustRightInd w:val="0"/>
        <w:snapToGrid w:val="0"/>
        <w:spacing w:beforeLines="50" w:line="360" w:lineRule="auto"/>
        <w:ind w:left="420" w:leftChars="200" w:right="-109" w:rightChars="-52"/>
        <w:rPr>
          <w:rFonts w:hint="eastAsia" w:ascii="宋体" w:eastAsia="宋体"/>
          <w:sz w:val="22"/>
          <w:szCs w:val="22"/>
          <w:lang w:eastAsia="zh-CN"/>
        </w:rPr>
      </w:pPr>
      <w:r>
        <w:rPr>
          <w:rFonts w:ascii="宋体" w:hAnsi="宋体" w:cs="宋体"/>
          <w:sz w:val="22"/>
          <w:szCs w:val="22"/>
        </w:rPr>
        <w:t>4</w:t>
      </w:r>
      <w:r>
        <w:rPr>
          <w:rFonts w:hint="eastAsia" w:ascii="宋体" w:hAnsi="宋体" w:cs="宋体"/>
          <w:sz w:val="22"/>
          <w:szCs w:val="22"/>
        </w:rPr>
        <w:t>、投标文件含有采购人不能接受的附加条件的</w:t>
      </w:r>
      <w:r>
        <w:rPr>
          <w:rFonts w:hint="eastAsia" w:ascii="宋体" w:hAnsi="宋体" w:cs="宋体"/>
          <w:sz w:val="22"/>
          <w:szCs w:val="22"/>
          <w:lang w:eastAsia="zh-CN"/>
        </w:rPr>
        <w:t>；</w:t>
      </w:r>
    </w:p>
    <w:p w14:paraId="5A4637FD">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5</w:t>
      </w:r>
      <w:r>
        <w:rPr>
          <w:rFonts w:hint="eastAsia" w:ascii="宋体" w:hAnsi="宋体" w:cs="宋体"/>
          <w:sz w:val="22"/>
          <w:szCs w:val="22"/>
        </w:rPr>
        <w:t>、评审专家中有</w:t>
      </w:r>
      <w:r>
        <w:rPr>
          <w:rFonts w:ascii="宋体" w:hAnsi="宋体" w:cs="宋体"/>
          <w:sz w:val="22"/>
          <w:szCs w:val="22"/>
        </w:rPr>
        <w:t>2/3</w:t>
      </w:r>
      <w:r>
        <w:rPr>
          <w:rFonts w:hint="eastAsia" w:ascii="宋体" w:hAnsi="宋体" w:cs="宋体"/>
          <w:sz w:val="22"/>
          <w:szCs w:val="22"/>
        </w:rPr>
        <w:t>认定投标人投标价格有恶意报价行为，投标人不能提供有效证明材料的；</w:t>
      </w:r>
    </w:p>
    <w:p w14:paraId="18304AFF">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6</w:t>
      </w:r>
      <w:r>
        <w:rPr>
          <w:rFonts w:hint="eastAsia" w:ascii="宋体" w:hAnsi="宋体" w:cs="宋体"/>
          <w:sz w:val="22"/>
          <w:szCs w:val="22"/>
        </w:rPr>
        <w:t>、同一个项目或同一种货物提供了两种及以上备选方案或报价的；（招标文件规定提交备选投标方案的除外）；</w:t>
      </w:r>
    </w:p>
    <w:p w14:paraId="51C6DF50">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7</w:t>
      </w:r>
      <w:r>
        <w:rPr>
          <w:rFonts w:hint="eastAsia" w:ascii="宋体" w:hAnsi="宋体" w:cs="宋体"/>
          <w:sz w:val="22"/>
          <w:szCs w:val="22"/>
        </w:rPr>
        <w:t>、投标有效期小于招标文件要求的；</w:t>
      </w:r>
    </w:p>
    <w:p w14:paraId="36D357CF">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8</w:t>
      </w:r>
      <w:r>
        <w:rPr>
          <w:rFonts w:hint="eastAsia" w:ascii="宋体" w:hAnsi="宋体" w:cs="宋体"/>
          <w:sz w:val="22"/>
          <w:szCs w:val="22"/>
        </w:rPr>
        <w:t>、投标人资格证明文件不全或是虚假的；</w:t>
      </w:r>
    </w:p>
    <w:p w14:paraId="133250EF">
      <w:pPr>
        <w:adjustRightInd w:val="0"/>
        <w:snapToGrid w:val="0"/>
        <w:spacing w:beforeLines="50" w:line="360" w:lineRule="auto"/>
        <w:ind w:right="-109" w:rightChars="-52" w:firstLine="440" w:firstLineChars="200"/>
        <w:rPr>
          <w:rFonts w:hint="eastAsia" w:ascii="宋体" w:eastAsia="宋体"/>
          <w:sz w:val="22"/>
          <w:szCs w:val="22"/>
          <w:lang w:eastAsia="zh-CN"/>
        </w:rPr>
      </w:pPr>
      <w:r>
        <w:rPr>
          <w:rFonts w:ascii="宋体" w:hAnsi="宋体" w:cs="宋体"/>
          <w:sz w:val="22"/>
          <w:szCs w:val="22"/>
        </w:rPr>
        <w:t>9</w:t>
      </w:r>
      <w:r>
        <w:rPr>
          <w:rFonts w:hint="eastAsia" w:ascii="宋体" w:hAnsi="宋体" w:cs="宋体"/>
          <w:sz w:val="22"/>
          <w:szCs w:val="22"/>
        </w:rPr>
        <w:t>、经营范围没有的或不符的</w:t>
      </w:r>
      <w:r>
        <w:rPr>
          <w:rFonts w:hint="eastAsia" w:ascii="宋体" w:hAnsi="宋体" w:cs="宋体"/>
          <w:sz w:val="22"/>
          <w:szCs w:val="22"/>
          <w:lang w:eastAsia="zh-CN"/>
        </w:rPr>
        <w:t>；</w:t>
      </w:r>
    </w:p>
    <w:p w14:paraId="3F01237D">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10</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投标文件出现重大负偏离的；投标文件不满足带★参数或其他实质要求的；</w:t>
      </w:r>
    </w:p>
    <w:p w14:paraId="14FEDAA7">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11</w:t>
      </w:r>
      <w:r>
        <w:rPr>
          <w:rFonts w:hint="eastAsia" w:ascii="宋体" w:hAnsi="宋体" w:cs="宋体"/>
          <w:sz w:val="22"/>
          <w:szCs w:val="22"/>
        </w:rPr>
        <w:t>、法律、法规和招标文件规定的其他无效情形。</w:t>
      </w:r>
    </w:p>
    <w:p w14:paraId="548D452A">
      <w:pPr>
        <w:adjustRightInd w:val="0"/>
        <w:snapToGrid w:val="0"/>
        <w:spacing w:beforeLines="50" w:line="360" w:lineRule="auto"/>
        <w:ind w:right="-109" w:rightChars="-52" w:firstLine="442" w:firstLineChars="200"/>
        <w:rPr>
          <w:rFonts w:ascii="宋体"/>
          <w:b/>
          <w:bCs/>
          <w:sz w:val="22"/>
          <w:szCs w:val="22"/>
        </w:rPr>
      </w:pPr>
      <w:r>
        <w:rPr>
          <w:rFonts w:hint="eastAsia" w:ascii="宋体" w:hAnsi="宋体" w:cs="宋体"/>
          <w:b/>
          <w:bCs/>
          <w:sz w:val="22"/>
          <w:szCs w:val="22"/>
        </w:rPr>
        <w:t>四、废标条款</w:t>
      </w:r>
    </w:p>
    <w:p w14:paraId="51ECD396">
      <w:pPr>
        <w:adjustRightInd w:val="0"/>
        <w:snapToGrid w:val="0"/>
        <w:spacing w:beforeLines="50" w:line="360" w:lineRule="auto"/>
        <w:ind w:right="-109" w:rightChars="-52" w:firstLine="440" w:firstLineChars="200"/>
        <w:rPr>
          <w:rFonts w:ascii="宋体"/>
          <w:sz w:val="22"/>
          <w:szCs w:val="22"/>
        </w:rPr>
      </w:pPr>
      <w:r>
        <w:rPr>
          <w:rFonts w:hint="eastAsia" w:ascii="宋体" w:hAnsi="宋体" w:cs="宋体"/>
          <w:sz w:val="22"/>
          <w:szCs w:val="22"/>
        </w:rPr>
        <w:t>在招标采购中，出现有下列情形之一的，予以废标：</w:t>
      </w:r>
    </w:p>
    <w:p w14:paraId="3DB89845">
      <w:pPr>
        <w:adjustRightInd w:val="0"/>
        <w:snapToGrid w:val="0"/>
        <w:spacing w:beforeLines="50" w:line="360" w:lineRule="auto"/>
        <w:ind w:right="-109" w:rightChars="-52"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）符合专业条件的供应商或者对招标文件作实质性响应的供应商不足三家的；</w:t>
      </w:r>
    </w:p>
    <w:p w14:paraId="625E7AE3">
      <w:pPr>
        <w:adjustRightInd w:val="0"/>
        <w:snapToGrid w:val="0"/>
        <w:spacing w:beforeLines="50" w:line="360" w:lineRule="auto"/>
        <w:ind w:right="-109" w:rightChars="-52"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）出现影响采购公正的违法、违规行为的；</w:t>
      </w:r>
    </w:p>
    <w:p w14:paraId="0D5ED0FA">
      <w:pPr>
        <w:adjustRightInd w:val="0"/>
        <w:snapToGrid w:val="0"/>
        <w:spacing w:beforeLines="50" w:line="360" w:lineRule="auto"/>
        <w:ind w:right="-109" w:rightChars="-52"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）投标人的报价均超过了采购预算的，采购人不能支付的；</w:t>
      </w:r>
    </w:p>
    <w:p w14:paraId="4B480DCE">
      <w:pPr>
        <w:adjustRightInd w:val="0"/>
        <w:snapToGrid w:val="0"/>
        <w:spacing w:beforeLines="50" w:line="360" w:lineRule="auto"/>
        <w:ind w:right="-109" w:rightChars="-52"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）因重大变故，采购任务取消的。</w:t>
      </w:r>
    </w:p>
    <w:p w14:paraId="5C049705">
      <w:pPr>
        <w:rPr>
          <w:rFonts w:ascii="宋体"/>
        </w:rPr>
      </w:pPr>
    </w:p>
    <w:p w14:paraId="7B4F7BEB">
      <w:pPr>
        <w:rPr>
          <w:rFonts w:ascii="宋体"/>
        </w:rPr>
      </w:pPr>
    </w:p>
    <w:p w14:paraId="4D736FCF">
      <w:pPr>
        <w:pStyle w:val="5"/>
        <w:pageBreakBefore/>
        <w:adjustRightInd/>
        <w:spacing w:before="0" w:after="0" w:line="360" w:lineRule="auto"/>
        <w:jc w:val="center"/>
        <w:textAlignment w:val="auto"/>
        <w:rPr>
          <w:rFonts w:ascii="宋体"/>
          <w:b w:val="0"/>
          <w:bCs w:val="0"/>
          <w:kern w:val="2"/>
          <w:sz w:val="32"/>
          <w:szCs w:val="32"/>
        </w:rPr>
      </w:pPr>
      <w:bookmarkStart w:id="34" w:name="_Toc12650"/>
      <w:bookmarkStart w:id="35" w:name="_Toc373309552"/>
      <w:bookmarkStart w:id="36" w:name="_Toc373314697"/>
      <w:r>
        <w:rPr>
          <w:rFonts w:hint="eastAsia" w:ascii="宋体" w:hAnsi="宋体" w:cs="宋体"/>
          <w:b w:val="0"/>
          <w:bCs w:val="0"/>
          <w:kern w:val="2"/>
          <w:sz w:val="32"/>
          <w:szCs w:val="32"/>
        </w:rPr>
        <w:t>一、总则</w:t>
      </w:r>
      <w:bookmarkEnd w:id="34"/>
    </w:p>
    <w:p w14:paraId="1B556AA6">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适用法律、法规</w:t>
      </w:r>
    </w:p>
    <w:p w14:paraId="3EE2CB2B">
      <w:pPr>
        <w:numPr>
          <w:ilvl w:val="1"/>
          <w:numId w:val="3"/>
        </w:numPr>
        <w:spacing w:line="360" w:lineRule="auto"/>
        <w:rPr>
          <w:rFonts w:ascii="宋体"/>
          <w:color w:val="000000"/>
          <w:sz w:val="22"/>
          <w:szCs w:val="22"/>
          <w:lang w:val="en-GB"/>
        </w:rPr>
      </w:pPr>
      <w:r>
        <w:rPr>
          <w:rFonts w:hint="eastAsia" w:ascii="宋体" w:hAnsi="宋体" w:cs="宋体"/>
          <w:color w:val="000000"/>
          <w:sz w:val="22"/>
          <w:szCs w:val="22"/>
          <w:lang w:val="en-GB"/>
        </w:rPr>
        <w:t>本次招标适用的主要法律、法规为《中华人民共和国政府采购法》、《中华人民共和国政府采购法实施条例》及其它相关法规。</w:t>
      </w:r>
    </w:p>
    <w:p w14:paraId="7A77ACAE">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资金</w:t>
      </w:r>
    </w:p>
    <w:p w14:paraId="0946F70E">
      <w:pPr>
        <w:numPr>
          <w:ilvl w:val="1"/>
          <w:numId w:val="3"/>
        </w:numPr>
        <w:spacing w:line="360" w:lineRule="auto"/>
        <w:rPr>
          <w:rFonts w:ascii="宋体"/>
          <w:color w:val="000000"/>
          <w:sz w:val="22"/>
          <w:szCs w:val="22"/>
        </w:rPr>
      </w:pPr>
      <w:r>
        <w:rPr>
          <w:rFonts w:hint="eastAsia" w:ascii="宋体" w:hAnsi="宋体" w:cs="宋体"/>
          <w:color w:val="000000"/>
          <w:sz w:val="22"/>
          <w:szCs w:val="22"/>
          <w:lang w:val="en-GB"/>
        </w:rPr>
        <w:t>本项目的资金属于财政性资金，资金来源已经落实，计划用于支付本次采购后所签订的合同项下的款项。</w:t>
      </w:r>
    </w:p>
    <w:p w14:paraId="4CD55C05">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释义</w:t>
      </w:r>
    </w:p>
    <w:p w14:paraId="5C42477F">
      <w:pPr>
        <w:numPr>
          <w:ilvl w:val="1"/>
          <w:numId w:val="3"/>
        </w:numPr>
        <w:spacing w:line="360" w:lineRule="auto"/>
        <w:rPr>
          <w:rFonts w:ascii="宋体"/>
          <w:color w:val="000000"/>
          <w:sz w:val="22"/>
          <w:szCs w:val="22"/>
        </w:rPr>
      </w:pPr>
      <w:r>
        <w:rPr>
          <w:rFonts w:hint="eastAsia" w:ascii="宋体" w:hAnsi="宋体" w:cs="宋体"/>
          <w:sz w:val="22"/>
          <w:szCs w:val="22"/>
        </w:rPr>
        <w:t>采购人：系指依法进行政府采购的国家机关、事业单位、团体组织。</w:t>
      </w:r>
    </w:p>
    <w:p w14:paraId="5DE038F0">
      <w:pPr>
        <w:numPr>
          <w:ilvl w:val="1"/>
          <w:numId w:val="3"/>
        </w:numPr>
        <w:spacing w:line="360" w:lineRule="auto"/>
        <w:rPr>
          <w:rFonts w:ascii="宋体"/>
          <w:color w:val="000000"/>
          <w:sz w:val="22"/>
          <w:szCs w:val="22"/>
        </w:rPr>
      </w:pPr>
      <w:r>
        <w:rPr>
          <w:rFonts w:hint="eastAsia" w:ascii="宋体" w:hAnsi="宋体" w:cs="宋体"/>
          <w:color w:val="000000"/>
          <w:sz w:val="22"/>
          <w:szCs w:val="22"/>
        </w:rPr>
        <w:t>投标人：是指按招标公告</w:t>
      </w:r>
      <w:r>
        <w:rPr>
          <w:rFonts w:hint="eastAsia" w:ascii="宋体" w:hAnsi="宋体" w:cs="宋体"/>
          <w:color w:val="000000"/>
          <w:sz w:val="22"/>
          <w:szCs w:val="22"/>
          <w:lang w:val="en-US" w:eastAsia="zh-CN"/>
        </w:rPr>
        <w:t>获取</w:t>
      </w:r>
      <w:r>
        <w:rPr>
          <w:rFonts w:hint="eastAsia" w:ascii="宋体" w:hAnsi="宋体" w:cs="宋体"/>
          <w:color w:val="000000"/>
          <w:sz w:val="22"/>
          <w:szCs w:val="22"/>
        </w:rPr>
        <w:t>了招标文件进行投标的供应商。</w:t>
      </w:r>
    </w:p>
    <w:p w14:paraId="36F344F6">
      <w:pPr>
        <w:numPr>
          <w:ilvl w:val="1"/>
          <w:numId w:val="3"/>
        </w:numPr>
        <w:spacing w:line="360" w:lineRule="auto"/>
        <w:rPr>
          <w:rFonts w:ascii="宋体"/>
          <w:color w:val="000000"/>
          <w:sz w:val="22"/>
          <w:szCs w:val="22"/>
        </w:rPr>
      </w:pPr>
      <w:r>
        <w:rPr>
          <w:rFonts w:hint="eastAsia" w:ascii="宋体" w:hAnsi="宋体" w:cs="宋体"/>
          <w:color w:val="000000"/>
          <w:sz w:val="22"/>
          <w:szCs w:val="22"/>
        </w:rPr>
        <w:t>中标人：指依法确定成交资格并授予合同的投标人。</w:t>
      </w:r>
    </w:p>
    <w:p w14:paraId="0C9E8D47">
      <w:pPr>
        <w:numPr>
          <w:ilvl w:val="1"/>
          <w:numId w:val="3"/>
        </w:numPr>
        <w:spacing w:line="360" w:lineRule="auto"/>
        <w:rPr>
          <w:rFonts w:ascii="宋体"/>
          <w:color w:val="000000"/>
          <w:sz w:val="22"/>
          <w:szCs w:val="22"/>
        </w:rPr>
      </w:pPr>
      <w:r>
        <w:rPr>
          <w:rFonts w:hint="eastAsia" w:ascii="宋体" w:hAnsi="宋体" w:cs="宋体"/>
          <w:color w:val="000000"/>
          <w:sz w:val="22"/>
          <w:szCs w:val="22"/>
        </w:rPr>
        <w:t>招标文件：是指包括项目公告、招标文件以及招标文件的补充、变更和澄清等一系列文件。</w:t>
      </w:r>
    </w:p>
    <w:p w14:paraId="43D9CFCD">
      <w:pPr>
        <w:numPr>
          <w:ilvl w:val="1"/>
          <w:numId w:val="3"/>
        </w:numPr>
        <w:spacing w:line="360" w:lineRule="auto"/>
        <w:rPr>
          <w:rFonts w:ascii="宋体"/>
          <w:color w:val="000000"/>
          <w:sz w:val="22"/>
          <w:szCs w:val="22"/>
        </w:rPr>
      </w:pPr>
      <w:r>
        <w:rPr>
          <w:rFonts w:hint="eastAsia" w:ascii="宋体" w:hAnsi="宋体" w:cs="宋体"/>
          <w:color w:val="000000"/>
          <w:sz w:val="22"/>
          <w:szCs w:val="22"/>
        </w:rPr>
        <w:t>货物：系指投标人按招标文件要求，向采购人提供的各种形态和种类的物品，包括原材料、设备、产品</w:t>
      </w:r>
      <w:r>
        <w:rPr>
          <w:rFonts w:ascii="宋体" w:hAnsi="宋体" w:cs="宋体"/>
          <w:color w:val="000000"/>
          <w:sz w:val="22"/>
          <w:szCs w:val="22"/>
        </w:rPr>
        <w:t>(</w:t>
      </w:r>
      <w:r>
        <w:rPr>
          <w:rFonts w:hint="eastAsia" w:ascii="宋体" w:hAnsi="宋体" w:cs="宋体"/>
          <w:color w:val="000000"/>
          <w:sz w:val="22"/>
          <w:szCs w:val="22"/>
        </w:rPr>
        <w:t>包括软件</w:t>
      </w:r>
      <w:r>
        <w:rPr>
          <w:rFonts w:ascii="宋体" w:hAnsi="宋体" w:cs="宋体"/>
          <w:color w:val="000000"/>
          <w:sz w:val="22"/>
          <w:szCs w:val="22"/>
        </w:rPr>
        <w:t>)</w:t>
      </w:r>
      <w:r>
        <w:rPr>
          <w:rFonts w:hint="eastAsia" w:ascii="宋体" w:hAnsi="宋体" w:cs="宋体"/>
          <w:color w:val="000000"/>
          <w:sz w:val="22"/>
          <w:szCs w:val="22"/>
        </w:rPr>
        <w:t>及相关的备品备件、工具、手册及其它技术资料和材料。</w:t>
      </w:r>
    </w:p>
    <w:p w14:paraId="1706F59F">
      <w:pPr>
        <w:numPr>
          <w:ilvl w:val="1"/>
          <w:numId w:val="3"/>
        </w:numPr>
        <w:spacing w:line="360" w:lineRule="auto"/>
        <w:rPr>
          <w:rFonts w:ascii="宋体"/>
          <w:color w:val="000000"/>
          <w:sz w:val="22"/>
          <w:szCs w:val="22"/>
        </w:rPr>
      </w:pPr>
      <w:r>
        <w:rPr>
          <w:rFonts w:hint="eastAsia" w:ascii="宋体" w:hAnsi="宋体" w:cs="宋体"/>
          <w:color w:val="000000"/>
          <w:sz w:val="22"/>
          <w:szCs w:val="22"/>
        </w:rPr>
        <w:t>服务：系指招标文件规定投标人须承担的系统集成、安装、调试、技术协助、校准、培训以及其它类似的义务。</w:t>
      </w:r>
    </w:p>
    <w:p w14:paraId="221E5900">
      <w:pPr>
        <w:numPr>
          <w:ilvl w:val="1"/>
          <w:numId w:val="3"/>
        </w:numPr>
        <w:spacing w:line="360" w:lineRule="auto"/>
        <w:rPr>
          <w:rFonts w:ascii="宋体"/>
          <w:color w:val="000000"/>
          <w:sz w:val="22"/>
          <w:szCs w:val="22"/>
        </w:rPr>
      </w:pPr>
      <w:r>
        <w:rPr>
          <w:rFonts w:hint="eastAsia" w:ascii="宋体" w:hAnsi="宋体" w:cs="宋体"/>
          <w:sz w:val="22"/>
          <w:szCs w:val="22"/>
        </w:rPr>
        <w:t>偏离：系指投标文件对招标文件的偏离，即不满足、或不响应招标文件的要求。偏离分为对招标文件的实质性要求条款偏离和对招标文件的一般商务和技术条款（参数）偏离。</w:t>
      </w:r>
    </w:p>
    <w:p w14:paraId="269148F9">
      <w:pPr>
        <w:numPr>
          <w:ilvl w:val="1"/>
          <w:numId w:val="3"/>
        </w:numPr>
        <w:spacing w:line="360" w:lineRule="auto"/>
        <w:rPr>
          <w:rFonts w:ascii="宋体"/>
          <w:color w:val="000000"/>
          <w:sz w:val="22"/>
          <w:szCs w:val="22"/>
        </w:rPr>
      </w:pPr>
      <w:r>
        <w:rPr>
          <w:rFonts w:hint="eastAsia" w:ascii="宋体" w:hAnsi="宋体" w:cs="宋体"/>
          <w:sz w:val="22"/>
          <w:szCs w:val="22"/>
        </w:rPr>
        <w:t>实质性条款：除法律、法规和规章规定外，招标文件中用“拒绝”、“不接受”、“无效”、“不得”等文字规定或标注“</w:t>
      </w:r>
      <w:r>
        <w:rPr>
          <w:rFonts w:hint="eastAsia" w:ascii="仿宋_GB2312" w:hAnsi="仿宋_GB2312" w:eastAsia="仿宋_GB2312" w:cs="仿宋_GB2312"/>
          <w:kern w:val="0"/>
          <w:sz w:val="21"/>
          <w:szCs w:val="21"/>
          <w:lang w:val="zh-CN" w:eastAsia="zh-CN" w:bidi="ar-SA"/>
        </w:rPr>
        <w:t>●</w:t>
      </w:r>
      <w:r>
        <w:rPr>
          <w:rFonts w:hint="eastAsia" w:ascii="宋体" w:hAnsi="宋体" w:cs="宋体"/>
          <w:sz w:val="22"/>
          <w:szCs w:val="22"/>
        </w:rPr>
        <w:t>”符号的条款为实质性要求条款（即重要条款），对其中任何一条的偏离，在评标时将其视为无效投标。未用上述文字规定或符号标注的条款为非实质性要求条款</w:t>
      </w:r>
      <w:r>
        <w:rPr>
          <w:rFonts w:ascii="宋体" w:hAnsi="宋体" w:cs="宋体"/>
          <w:sz w:val="22"/>
          <w:szCs w:val="22"/>
        </w:rPr>
        <w:t>(</w:t>
      </w:r>
      <w:r>
        <w:rPr>
          <w:rFonts w:hint="eastAsia" w:ascii="宋体" w:hAnsi="宋体" w:cs="宋体"/>
          <w:sz w:val="22"/>
          <w:szCs w:val="22"/>
        </w:rPr>
        <w:t>即一般条款</w:t>
      </w:r>
      <w:r>
        <w:rPr>
          <w:rFonts w:ascii="宋体" w:hAnsi="宋体" w:cs="宋体"/>
          <w:sz w:val="22"/>
          <w:szCs w:val="22"/>
        </w:rPr>
        <w:t>)</w:t>
      </w:r>
      <w:r>
        <w:rPr>
          <w:rFonts w:hint="eastAsia" w:ascii="宋体" w:hAnsi="宋体" w:cs="宋体"/>
          <w:sz w:val="22"/>
          <w:szCs w:val="22"/>
        </w:rPr>
        <w:t>。</w:t>
      </w:r>
    </w:p>
    <w:p w14:paraId="0188C743">
      <w:pPr>
        <w:numPr>
          <w:ilvl w:val="1"/>
          <w:numId w:val="3"/>
        </w:numPr>
        <w:spacing w:line="360" w:lineRule="auto"/>
        <w:rPr>
          <w:rFonts w:ascii="宋体"/>
          <w:color w:val="000000"/>
          <w:sz w:val="22"/>
          <w:szCs w:val="22"/>
        </w:rPr>
      </w:pPr>
      <w:r>
        <w:rPr>
          <w:rFonts w:hint="eastAsia" w:ascii="宋体" w:hAnsi="宋体" w:cs="宋体"/>
          <w:color w:val="000000"/>
          <w:sz w:val="22"/>
          <w:szCs w:val="22"/>
        </w:rPr>
        <w:t>日期、天数、时间：未有特别说明时，均为公历日（天）及北京时间。</w:t>
      </w:r>
    </w:p>
    <w:p w14:paraId="53A7914D">
      <w:pPr>
        <w:numPr>
          <w:ilvl w:val="0"/>
          <w:numId w:val="3"/>
        </w:numPr>
        <w:spacing w:line="360" w:lineRule="auto"/>
        <w:rPr>
          <w:rFonts w:ascii="宋体"/>
          <w:color w:val="000000"/>
          <w:sz w:val="22"/>
          <w:szCs w:val="22"/>
        </w:rPr>
      </w:pPr>
      <w:r>
        <w:rPr>
          <w:rFonts w:hint="eastAsia" w:ascii="宋体" w:hAnsi="宋体" w:cs="宋体"/>
          <w:color w:val="000000"/>
          <w:sz w:val="22"/>
          <w:szCs w:val="22"/>
        </w:rPr>
        <w:t>投标人资格要求</w:t>
      </w:r>
    </w:p>
    <w:p w14:paraId="0C895A60">
      <w:pPr>
        <w:numPr>
          <w:ilvl w:val="1"/>
          <w:numId w:val="3"/>
        </w:numPr>
        <w:spacing w:line="360" w:lineRule="auto"/>
        <w:rPr>
          <w:rFonts w:ascii="宋体"/>
          <w:color w:val="000000"/>
          <w:sz w:val="22"/>
          <w:szCs w:val="22"/>
        </w:rPr>
      </w:pPr>
      <w:r>
        <w:rPr>
          <w:rFonts w:hint="eastAsia" w:ascii="宋体" w:hAnsi="宋体" w:cs="宋体"/>
          <w:color w:val="000000"/>
          <w:sz w:val="22"/>
          <w:szCs w:val="22"/>
        </w:rPr>
        <w:t>投标人投标不得存在下列情形之一：</w:t>
      </w:r>
    </w:p>
    <w:p w14:paraId="4CE39686">
      <w:pPr>
        <w:spacing w:line="360" w:lineRule="auto"/>
        <w:ind w:firstLine="440" w:firstLineChars="200"/>
        <w:rPr>
          <w:rFonts w:ascii="宋体"/>
          <w:color w:val="000000"/>
          <w:sz w:val="22"/>
          <w:szCs w:val="22"/>
        </w:rPr>
      </w:pPr>
      <w:r>
        <w:rPr>
          <w:rFonts w:hint="eastAsia" w:ascii="宋体" w:hAnsi="宋体" w:cs="宋体"/>
          <w:color w:val="000000"/>
          <w:sz w:val="22"/>
          <w:szCs w:val="22"/>
        </w:rPr>
        <w:t>（</w:t>
      </w:r>
      <w:r>
        <w:rPr>
          <w:rFonts w:ascii="宋体" w:hAnsi="宋体" w:cs="宋体"/>
          <w:color w:val="000000"/>
          <w:sz w:val="22"/>
          <w:szCs w:val="22"/>
        </w:rPr>
        <w:t>1</w:t>
      </w:r>
      <w:r>
        <w:rPr>
          <w:rFonts w:hint="eastAsia" w:ascii="宋体" w:hAnsi="宋体" w:cs="宋体"/>
          <w:color w:val="000000"/>
          <w:sz w:val="22"/>
          <w:szCs w:val="22"/>
        </w:rPr>
        <w:t>）与采购人或采购代理机构存在隶属关系或者其他利害关系；</w:t>
      </w:r>
    </w:p>
    <w:p w14:paraId="4A9247BF">
      <w:pPr>
        <w:spacing w:line="360" w:lineRule="auto"/>
        <w:ind w:firstLine="440" w:firstLineChars="200"/>
        <w:rPr>
          <w:rFonts w:ascii="宋体"/>
          <w:color w:val="000000"/>
          <w:sz w:val="22"/>
          <w:szCs w:val="22"/>
        </w:rPr>
      </w:pPr>
      <w:r>
        <w:rPr>
          <w:rFonts w:hint="eastAsia" w:ascii="宋体" w:hAnsi="宋体" w:cs="宋体"/>
          <w:color w:val="000000"/>
          <w:sz w:val="22"/>
          <w:szCs w:val="22"/>
        </w:rPr>
        <w:t>（</w:t>
      </w:r>
      <w:r>
        <w:rPr>
          <w:rFonts w:ascii="宋体" w:hAnsi="宋体" w:cs="宋体"/>
          <w:color w:val="000000"/>
          <w:sz w:val="22"/>
          <w:szCs w:val="22"/>
        </w:rPr>
        <w:t>2</w:t>
      </w:r>
      <w:r>
        <w:rPr>
          <w:rFonts w:hint="eastAsia" w:ascii="宋体" w:hAnsi="宋体" w:cs="宋体"/>
          <w:color w:val="000000"/>
          <w:sz w:val="22"/>
          <w:szCs w:val="22"/>
        </w:rPr>
        <w:t>）法定代表人或者负责人为同一人或者存在控股、管理关系的两个以上投标人，不得参加同一政府采购项目同一包（标段）的投标。</w:t>
      </w:r>
    </w:p>
    <w:p w14:paraId="2E1A4C5E">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投标人免费下载获取了本项目招标文件并非意味着完全满足了合格投标人的条件，一切均以评标委员会审核的结果为准。</w:t>
      </w:r>
    </w:p>
    <w:p w14:paraId="0FB4542F">
      <w:pPr>
        <w:numPr>
          <w:ilvl w:val="1"/>
          <w:numId w:val="3"/>
        </w:numPr>
        <w:spacing w:line="360" w:lineRule="auto"/>
        <w:rPr>
          <w:rFonts w:ascii="宋体"/>
          <w:b/>
          <w:bCs/>
          <w:color w:val="000000"/>
          <w:sz w:val="22"/>
          <w:szCs w:val="22"/>
        </w:rPr>
      </w:pPr>
      <w:r>
        <w:rPr>
          <w:rFonts w:hint="eastAsia" w:ascii="宋体" w:hAnsi="宋体" w:cs="宋体"/>
          <w:b/>
          <w:bCs/>
          <w:color w:val="000000"/>
          <w:sz w:val="22"/>
          <w:szCs w:val="22"/>
        </w:rPr>
        <w:t>不接受联合体投标。</w:t>
      </w:r>
    </w:p>
    <w:p w14:paraId="0C41AFED">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授权委托</w:t>
      </w:r>
    </w:p>
    <w:p w14:paraId="1C8CB140">
      <w:pPr>
        <w:numPr>
          <w:ilvl w:val="1"/>
          <w:numId w:val="3"/>
        </w:numPr>
        <w:spacing w:line="360" w:lineRule="auto"/>
        <w:rPr>
          <w:rFonts w:ascii="宋体"/>
          <w:color w:val="000000"/>
          <w:sz w:val="22"/>
          <w:szCs w:val="22"/>
        </w:rPr>
      </w:pPr>
      <w:r>
        <w:rPr>
          <w:rFonts w:hint="eastAsia" w:ascii="宋体" w:hAnsi="宋体" w:cs="宋体"/>
          <w:color w:val="000000"/>
          <w:sz w:val="22"/>
          <w:szCs w:val="22"/>
        </w:rPr>
        <w:t>投标人代表不是投标人的法定代表人或负责人，应持有授权委托书，并附法定代表人或负责人身份证明</w:t>
      </w:r>
    </w:p>
    <w:p w14:paraId="2707DE1B">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投标费用</w:t>
      </w:r>
    </w:p>
    <w:p w14:paraId="6E9AF5E3">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投标人应承担所有与准备和参加投标有关的费用。不论投标的结果如何，集采代理机构和采购人在任何情况下均无义务和责任承担这些费用。</w:t>
      </w:r>
    </w:p>
    <w:p w14:paraId="6F51BD04">
      <w:pPr>
        <w:numPr>
          <w:ilvl w:val="0"/>
          <w:numId w:val="3"/>
        </w:numPr>
        <w:spacing w:line="360" w:lineRule="auto"/>
        <w:rPr>
          <w:rFonts w:ascii="宋体"/>
          <w:color w:val="000000"/>
          <w:sz w:val="22"/>
          <w:szCs w:val="22"/>
        </w:rPr>
      </w:pPr>
      <w:r>
        <w:rPr>
          <w:rFonts w:hint="eastAsia" w:ascii="宋体" w:hAnsi="宋体" w:cs="宋体"/>
          <w:sz w:val="22"/>
          <w:szCs w:val="22"/>
        </w:rPr>
        <w:t>采购人、采购代理机构在发布招标公告后，除因重大变故采购任务取消情况外，不得擅自终止招标活动。</w:t>
      </w:r>
    </w:p>
    <w:p w14:paraId="7F9760D4">
      <w:pPr>
        <w:numPr>
          <w:ilvl w:val="0"/>
          <w:numId w:val="3"/>
        </w:numPr>
        <w:spacing w:line="360" w:lineRule="auto"/>
        <w:rPr>
          <w:rFonts w:ascii="宋体"/>
          <w:color w:val="000000"/>
          <w:sz w:val="22"/>
          <w:szCs w:val="22"/>
        </w:rPr>
      </w:pPr>
      <w:r>
        <w:rPr>
          <w:rFonts w:hint="eastAsia" w:ascii="宋体" w:hAnsi="宋体" w:cs="宋体"/>
          <w:b/>
          <w:bCs/>
          <w:color w:val="000000"/>
          <w:sz w:val="22"/>
          <w:szCs w:val="22"/>
        </w:rPr>
        <w:t>采购进口产品</w:t>
      </w:r>
    </w:p>
    <w:p w14:paraId="588E1910">
      <w:pPr>
        <w:spacing w:line="360" w:lineRule="auto"/>
        <w:ind w:firstLine="440" w:firstLineChars="200"/>
        <w:rPr>
          <w:rFonts w:ascii="宋体"/>
          <w:color w:val="000000"/>
          <w:sz w:val="22"/>
          <w:szCs w:val="22"/>
        </w:rPr>
      </w:pPr>
      <w:r>
        <w:rPr>
          <w:rFonts w:hint="eastAsia" w:ascii="宋体" w:hAnsi="宋体" w:cs="宋体"/>
          <w:color w:val="000000"/>
          <w:sz w:val="22"/>
          <w:szCs w:val="22"/>
        </w:rPr>
        <w:t>经财政监管部门审核管理，并经进口论证后方可采购进口产品。</w:t>
      </w:r>
    </w:p>
    <w:p w14:paraId="60B55CFC">
      <w:pPr>
        <w:numPr>
          <w:ilvl w:val="0"/>
          <w:numId w:val="3"/>
        </w:numPr>
        <w:spacing w:line="360" w:lineRule="auto"/>
        <w:rPr>
          <w:rFonts w:ascii="宋体"/>
          <w:color w:val="000000"/>
          <w:sz w:val="22"/>
          <w:szCs w:val="22"/>
        </w:rPr>
      </w:pPr>
      <w:r>
        <w:rPr>
          <w:rFonts w:hint="eastAsia" w:ascii="宋体" w:hAnsi="宋体" w:cs="宋体"/>
          <w:b/>
          <w:bCs/>
          <w:color w:val="000000"/>
          <w:sz w:val="22"/>
          <w:szCs w:val="22"/>
        </w:rPr>
        <w:t>节能产品</w:t>
      </w:r>
      <w:r>
        <w:rPr>
          <w:rFonts w:ascii="宋体" w:hAnsi="宋体" w:cs="宋体"/>
          <w:b/>
          <w:bCs/>
          <w:color w:val="000000"/>
          <w:sz w:val="22"/>
          <w:szCs w:val="22"/>
        </w:rPr>
        <w:t xml:space="preserve"> </w:t>
      </w:r>
    </w:p>
    <w:p w14:paraId="747A3ED2">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 xml:space="preserve"> 对政府采购节能产品、环境标志产品实施品目清单管理。依据品目清 单和认证证书，产品属于节能产品政府采购品目清单(财库〔2019〕19 号）中“★” 标注的品目产品，实施政府强制采购。产品属于环境标志产品政府采购品目清单(财库〔2019〕18 号）范围内的品目产品，实施政府优先采购。</w:t>
      </w:r>
    </w:p>
    <w:p w14:paraId="1E9654D4">
      <w:pPr>
        <w:pStyle w:val="5"/>
        <w:adjustRightInd/>
        <w:spacing w:before="0" w:after="0" w:line="360" w:lineRule="auto"/>
        <w:jc w:val="center"/>
        <w:textAlignment w:val="auto"/>
        <w:rPr>
          <w:rFonts w:ascii="宋体"/>
          <w:b w:val="0"/>
          <w:bCs w:val="0"/>
          <w:kern w:val="2"/>
          <w:sz w:val="32"/>
          <w:szCs w:val="32"/>
        </w:rPr>
      </w:pPr>
      <w:bookmarkStart w:id="37" w:name="_Toc19337"/>
      <w:r>
        <w:rPr>
          <w:rFonts w:hint="eastAsia" w:ascii="宋体" w:hAnsi="宋体" w:cs="宋体"/>
          <w:b w:val="0"/>
          <w:bCs w:val="0"/>
          <w:kern w:val="2"/>
          <w:sz w:val="32"/>
          <w:szCs w:val="32"/>
        </w:rPr>
        <w:t>二、招标文件</w:t>
      </w:r>
      <w:bookmarkEnd w:id="37"/>
    </w:p>
    <w:p w14:paraId="24FF4389">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招标文件组成</w:t>
      </w:r>
    </w:p>
    <w:p w14:paraId="428C5DAD">
      <w:pPr>
        <w:numPr>
          <w:ilvl w:val="1"/>
          <w:numId w:val="3"/>
        </w:numPr>
        <w:spacing w:line="360" w:lineRule="auto"/>
        <w:rPr>
          <w:rFonts w:ascii="宋体"/>
          <w:color w:val="000000"/>
          <w:sz w:val="22"/>
          <w:szCs w:val="22"/>
        </w:rPr>
      </w:pPr>
      <w:r>
        <w:rPr>
          <w:rFonts w:hint="eastAsia" w:ascii="宋体" w:hAnsi="宋体" w:cs="宋体"/>
          <w:color w:val="000000"/>
          <w:sz w:val="22"/>
          <w:szCs w:val="22"/>
        </w:rPr>
        <w:t>招标文件共分六章，其内容如下：</w:t>
      </w:r>
    </w:p>
    <w:p w14:paraId="62DFF580">
      <w:pPr>
        <w:spacing w:line="360" w:lineRule="auto"/>
        <w:ind w:firstLine="550" w:firstLineChars="250"/>
        <w:rPr>
          <w:rFonts w:ascii="宋体"/>
          <w:color w:val="000000"/>
          <w:sz w:val="22"/>
          <w:szCs w:val="22"/>
        </w:rPr>
      </w:pPr>
      <w:r>
        <w:rPr>
          <w:rFonts w:hint="eastAsia" w:ascii="宋体" w:hAnsi="宋体" w:cs="宋体"/>
          <w:color w:val="000000"/>
          <w:sz w:val="22"/>
          <w:szCs w:val="22"/>
        </w:rPr>
        <w:t>第一章</w:t>
      </w:r>
      <w:r>
        <w:rPr>
          <w:rFonts w:ascii="宋体" w:hAnsi="宋体" w:cs="宋体"/>
          <w:color w:val="000000"/>
          <w:sz w:val="22"/>
          <w:szCs w:val="22"/>
        </w:rPr>
        <w:t xml:space="preserve"> </w:t>
      </w:r>
      <w:r>
        <w:rPr>
          <w:rFonts w:hint="eastAsia" w:ascii="宋体" w:hAnsi="宋体" w:cs="宋体"/>
          <w:color w:val="000000"/>
          <w:sz w:val="22"/>
          <w:szCs w:val="22"/>
        </w:rPr>
        <w:t>招标公告</w:t>
      </w:r>
    </w:p>
    <w:p w14:paraId="07EBFBEB">
      <w:pPr>
        <w:spacing w:line="360" w:lineRule="auto"/>
        <w:ind w:firstLine="550" w:firstLineChars="250"/>
        <w:rPr>
          <w:rFonts w:ascii="宋体"/>
          <w:color w:val="000000"/>
          <w:sz w:val="22"/>
          <w:szCs w:val="22"/>
        </w:rPr>
      </w:pPr>
      <w:r>
        <w:rPr>
          <w:rFonts w:hint="eastAsia" w:ascii="宋体" w:hAnsi="宋体" w:cs="宋体"/>
          <w:color w:val="000000"/>
          <w:sz w:val="22"/>
          <w:szCs w:val="22"/>
        </w:rPr>
        <w:t>第二章</w:t>
      </w:r>
      <w:r>
        <w:rPr>
          <w:rFonts w:ascii="宋体" w:hAnsi="宋体" w:cs="宋体"/>
          <w:color w:val="000000"/>
          <w:sz w:val="22"/>
          <w:szCs w:val="22"/>
        </w:rPr>
        <w:t xml:space="preserve"> </w:t>
      </w:r>
      <w:r>
        <w:rPr>
          <w:rFonts w:hint="eastAsia" w:ascii="宋体" w:hAnsi="宋体" w:cs="宋体"/>
          <w:color w:val="000000"/>
          <w:sz w:val="22"/>
          <w:szCs w:val="22"/>
        </w:rPr>
        <w:t>供应商须知及前附表</w:t>
      </w:r>
    </w:p>
    <w:p w14:paraId="3C9A6CF7">
      <w:pPr>
        <w:spacing w:line="360" w:lineRule="auto"/>
        <w:ind w:firstLine="550" w:firstLineChars="250"/>
        <w:rPr>
          <w:rFonts w:ascii="宋体"/>
          <w:color w:val="000000"/>
          <w:sz w:val="22"/>
          <w:szCs w:val="22"/>
        </w:rPr>
      </w:pPr>
      <w:r>
        <w:rPr>
          <w:rFonts w:hint="eastAsia" w:ascii="宋体" w:hAnsi="宋体" w:cs="宋体"/>
          <w:color w:val="000000"/>
          <w:sz w:val="22"/>
          <w:szCs w:val="22"/>
        </w:rPr>
        <w:t>第三章</w:t>
      </w:r>
      <w:r>
        <w:rPr>
          <w:rFonts w:ascii="宋体" w:hAnsi="宋体" w:cs="宋体"/>
          <w:color w:val="000000"/>
          <w:sz w:val="22"/>
          <w:szCs w:val="22"/>
        </w:rPr>
        <w:t xml:space="preserve"> </w:t>
      </w:r>
      <w:r>
        <w:rPr>
          <w:rFonts w:hint="eastAsia" w:ascii="宋体" w:hAnsi="宋体" w:cs="宋体"/>
          <w:color w:val="000000"/>
          <w:sz w:val="22"/>
          <w:szCs w:val="22"/>
        </w:rPr>
        <w:t>采购需求及要求</w:t>
      </w:r>
    </w:p>
    <w:p w14:paraId="0F8B60A3">
      <w:pPr>
        <w:spacing w:line="360" w:lineRule="auto"/>
        <w:ind w:firstLine="550" w:firstLineChars="250"/>
        <w:rPr>
          <w:rFonts w:ascii="宋体"/>
          <w:color w:val="000000"/>
          <w:sz w:val="22"/>
          <w:szCs w:val="22"/>
        </w:rPr>
      </w:pPr>
      <w:r>
        <w:rPr>
          <w:rFonts w:hint="eastAsia" w:ascii="宋体" w:hAnsi="宋体" w:cs="宋体"/>
          <w:color w:val="000000"/>
          <w:sz w:val="22"/>
          <w:szCs w:val="22"/>
        </w:rPr>
        <w:t>第四章</w:t>
      </w:r>
      <w:r>
        <w:rPr>
          <w:rFonts w:ascii="宋体" w:hAnsi="宋体" w:cs="宋体"/>
          <w:color w:val="000000"/>
          <w:sz w:val="22"/>
          <w:szCs w:val="22"/>
        </w:rPr>
        <w:t xml:space="preserve"> </w:t>
      </w:r>
      <w:r>
        <w:rPr>
          <w:rFonts w:hint="eastAsia" w:ascii="宋体" w:hAnsi="宋体" w:cs="宋体"/>
          <w:color w:val="000000"/>
          <w:sz w:val="22"/>
          <w:szCs w:val="22"/>
        </w:rPr>
        <w:t>评标方法及标准</w:t>
      </w:r>
    </w:p>
    <w:p w14:paraId="19A59573">
      <w:pPr>
        <w:spacing w:line="360" w:lineRule="auto"/>
        <w:ind w:firstLine="550" w:firstLineChars="250"/>
        <w:rPr>
          <w:rFonts w:ascii="宋体"/>
          <w:color w:val="000000"/>
          <w:sz w:val="22"/>
          <w:szCs w:val="22"/>
        </w:rPr>
      </w:pPr>
      <w:r>
        <w:rPr>
          <w:rFonts w:hint="eastAsia" w:ascii="宋体" w:hAnsi="宋体" w:cs="宋体"/>
          <w:color w:val="000000"/>
          <w:sz w:val="22"/>
          <w:szCs w:val="22"/>
        </w:rPr>
        <w:t>第五章</w:t>
      </w:r>
      <w:r>
        <w:rPr>
          <w:rFonts w:ascii="宋体" w:hAnsi="宋体" w:cs="宋体"/>
          <w:color w:val="000000"/>
          <w:sz w:val="22"/>
          <w:szCs w:val="22"/>
        </w:rPr>
        <w:t xml:space="preserve"> </w:t>
      </w:r>
      <w:r>
        <w:rPr>
          <w:rFonts w:hint="eastAsia" w:ascii="宋体" w:hAnsi="宋体" w:cs="宋体"/>
          <w:color w:val="000000"/>
          <w:sz w:val="22"/>
          <w:szCs w:val="22"/>
        </w:rPr>
        <w:t>投标文件格式</w:t>
      </w:r>
    </w:p>
    <w:p w14:paraId="793A47BE">
      <w:pPr>
        <w:spacing w:line="360" w:lineRule="auto"/>
        <w:ind w:firstLine="550" w:firstLineChars="250"/>
        <w:rPr>
          <w:rFonts w:ascii="宋体"/>
          <w:color w:val="000000"/>
          <w:sz w:val="22"/>
          <w:szCs w:val="22"/>
        </w:rPr>
      </w:pPr>
      <w:r>
        <w:rPr>
          <w:rFonts w:hint="eastAsia" w:ascii="宋体" w:hAnsi="宋体" w:cs="宋体"/>
          <w:color w:val="000000"/>
          <w:sz w:val="22"/>
          <w:szCs w:val="22"/>
        </w:rPr>
        <w:t>第六章</w:t>
      </w:r>
      <w:r>
        <w:rPr>
          <w:rFonts w:ascii="宋体" w:hAnsi="宋体" w:cs="宋体"/>
          <w:color w:val="000000"/>
          <w:sz w:val="22"/>
          <w:szCs w:val="22"/>
        </w:rPr>
        <w:t xml:space="preserve"> </w:t>
      </w:r>
      <w:r>
        <w:rPr>
          <w:rFonts w:hint="eastAsia" w:ascii="宋体" w:hAnsi="宋体" w:cs="宋体"/>
          <w:color w:val="000000"/>
          <w:sz w:val="22"/>
          <w:szCs w:val="22"/>
        </w:rPr>
        <w:t>政府采购合同</w:t>
      </w:r>
    </w:p>
    <w:p w14:paraId="43B86C61">
      <w:pPr>
        <w:numPr>
          <w:ilvl w:val="1"/>
          <w:numId w:val="3"/>
        </w:numPr>
        <w:spacing w:line="360" w:lineRule="auto"/>
        <w:rPr>
          <w:rFonts w:ascii="宋体"/>
          <w:color w:val="000000"/>
          <w:sz w:val="22"/>
          <w:szCs w:val="22"/>
        </w:rPr>
      </w:pPr>
      <w:r>
        <w:rPr>
          <w:rFonts w:hint="eastAsia" w:ascii="宋体" w:hAnsi="宋体" w:cs="宋体"/>
          <w:sz w:val="22"/>
          <w:szCs w:val="22"/>
        </w:rPr>
        <w:t>对招标文件所作的澄清、修改，构成招标文件的组成部分。</w:t>
      </w:r>
    </w:p>
    <w:p w14:paraId="1DC283FA">
      <w:pPr>
        <w:numPr>
          <w:ilvl w:val="1"/>
          <w:numId w:val="3"/>
        </w:numPr>
        <w:spacing w:line="360" w:lineRule="auto"/>
        <w:rPr>
          <w:rFonts w:ascii="宋体"/>
          <w:color w:val="000000"/>
          <w:sz w:val="22"/>
          <w:szCs w:val="22"/>
        </w:rPr>
      </w:pPr>
      <w:r>
        <w:rPr>
          <w:rFonts w:hint="eastAsia" w:ascii="宋体" w:hAnsi="宋体" w:cs="宋体"/>
          <w:sz w:val="22"/>
          <w:szCs w:val="22"/>
        </w:rPr>
        <w:t>投标人应仔细阅读招标文件的全部内容，按照招标文件要求编制投标文件。任何对招标文件的忽略或误解不能作为投标文件存在缺陷或瑕疵的理由，其风险由投标人自行承担。</w:t>
      </w:r>
    </w:p>
    <w:p w14:paraId="6ECAEB96">
      <w:pPr>
        <w:numPr>
          <w:ilvl w:val="1"/>
          <w:numId w:val="3"/>
        </w:numPr>
        <w:spacing w:line="360" w:lineRule="auto"/>
        <w:rPr>
          <w:rFonts w:hint="eastAsia" w:ascii="宋体" w:hAnsi="宋体" w:cs="宋体"/>
          <w:b/>
          <w:bCs/>
          <w:sz w:val="28"/>
          <w:szCs w:val="28"/>
        </w:rPr>
      </w:pPr>
      <w:r>
        <w:rPr>
          <w:rFonts w:hint="eastAsia" w:ascii="宋体" w:hAnsi="宋体" w:cs="宋体"/>
          <w:b/>
          <w:bCs/>
          <w:sz w:val="28"/>
          <w:szCs w:val="28"/>
        </w:rPr>
        <w:t>本招标文件的投标人资格条件、服务内容及要求和评分标准由采购单位提供并负责解释。</w:t>
      </w:r>
    </w:p>
    <w:p w14:paraId="5DBA28A3">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招标文件的澄清、修改</w:t>
      </w:r>
    </w:p>
    <w:p w14:paraId="3E236E1E">
      <w:pPr>
        <w:numPr>
          <w:ilvl w:val="1"/>
          <w:numId w:val="3"/>
        </w:numPr>
        <w:spacing w:line="360" w:lineRule="auto"/>
        <w:rPr>
          <w:rFonts w:ascii="宋体"/>
          <w:sz w:val="22"/>
          <w:szCs w:val="22"/>
        </w:rPr>
      </w:pPr>
      <w:r>
        <w:rPr>
          <w:rFonts w:hint="eastAsia" w:ascii="宋体" w:hAnsi="宋体" w:cs="宋体"/>
          <w:sz w:val="22"/>
          <w:szCs w:val="22"/>
        </w:rPr>
        <w:t>采购人或者</w:t>
      </w:r>
      <w:r>
        <w:rPr>
          <w:rFonts w:hint="eastAsia" w:ascii="宋体" w:hAnsi="宋体" w:cs="宋体"/>
          <w:sz w:val="22"/>
          <w:szCs w:val="22"/>
          <w:lang w:val="en-US" w:eastAsia="zh-CN"/>
        </w:rPr>
        <w:t>集采</w:t>
      </w:r>
      <w:r>
        <w:rPr>
          <w:rFonts w:hint="eastAsia" w:ascii="宋体" w:hAnsi="宋体" w:cs="宋体"/>
          <w:sz w:val="22"/>
          <w:szCs w:val="22"/>
        </w:rPr>
        <w:t>机构可以对已发出的招标文件进行必要的澄清或者修改，但不得改变采购标的和资格条件。澄清或者修改应当在原公告发布媒体（甘肃政府采购网、陇南公共资源交易网，下同）上发布澄清公告，并以书面形式通过上传答疑文件通知所有招标文件收受人。该澄清或者修改的内容为招标文件的组成部分。澄清或者修改的内容为招标文件的组成部分。</w:t>
      </w:r>
    </w:p>
    <w:p w14:paraId="772EC61A">
      <w:pPr>
        <w:numPr>
          <w:ilvl w:val="1"/>
          <w:numId w:val="3"/>
        </w:numPr>
        <w:spacing w:line="360" w:lineRule="auto"/>
        <w:rPr>
          <w:rFonts w:ascii="宋体"/>
          <w:color w:val="000000"/>
          <w:sz w:val="22"/>
          <w:szCs w:val="22"/>
        </w:rPr>
      </w:pPr>
      <w:r>
        <w:rPr>
          <w:rFonts w:hint="eastAsia" w:ascii="宋体" w:hAnsi="宋体" w:cs="宋体"/>
          <w:color w:val="000000"/>
          <w:sz w:val="22"/>
          <w:szCs w:val="22"/>
        </w:rPr>
        <w:t>采购人及</w:t>
      </w:r>
      <w:r>
        <w:rPr>
          <w:rFonts w:hint="eastAsia" w:ascii="宋体" w:hAnsi="宋体" w:cs="宋体"/>
          <w:color w:val="000000"/>
          <w:sz w:val="22"/>
          <w:szCs w:val="22"/>
          <w:lang w:val="en-US" w:eastAsia="zh-CN"/>
        </w:rPr>
        <w:t>集采</w:t>
      </w:r>
      <w:r>
        <w:rPr>
          <w:rFonts w:hint="eastAsia" w:ascii="宋体" w:hAnsi="宋体" w:cs="宋体"/>
          <w:color w:val="000000"/>
          <w:sz w:val="22"/>
          <w:szCs w:val="22"/>
        </w:rPr>
        <w:t>代理机构可以视采购具体情况，延长投标截止时间和开标时间，但至少应当在招标文件要求提交投标文件的截止时间三日前，并在财政部门指定的政府采购信息发布媒体上发布变更公告。</w:t>
      </w:r>
    </w:p>
    <w:p w14:paraId="27DF911F">
      <w:pPr>
        <w:numPr>
          <w:ilvl w:val="1"/>
          <w:numId w:val="3"/>
        </w:numPr>
        <w:spacing w:line="360" w:lineRule="auto"/>
        <w:rPr>
          <w:rFonts w:hint="eastAsia" w:ascii="宋体" w:hAnsi="宋体" w:cs="宋体"/>
          <w:b/>
          <w:bCs/>
          <w:color w:val="000000"/>
          <w:sz w:val="22"/>
          <w:szCs w:val="22"/>
        </w:rPr>
      </w:pPr>
      <w:r>
        <w:rPr>
          <w:rFonts w:hint="eastAsia" w:ascii="宋体" w:hAnsi="宋体" w:cs="宋体"/>
          <w:b/>
          <w:bCs/>
          <w:color w:val="000000"/>
          <w:sz w:val="22"/>
          <w:szCs w:val="22"/>
        </w:rPr>
        <w:t>陇南市公共资源交易网采用网上报名的方式，开标前无法获悉潜在投标人名单，请各投标人随时关注甘肃政府采购网、陇南市公共资源交易网本项目相关变更公告、答疑文件及通知，否则由变更引起的相关责任自负。</w:t>
      </w:r>
    </w:p>
    <w:p w14:paraId="70D43646">
      <w:pPr>
        <w:pStyle w:val="5"/>
        <w:adjustRightInd/>
        <w:spacing w:before="0" w:after="0" w:line="360" w:lineRule="auto"/>
        <w:jc w:val="center"/>
        <w:textAlignment w:val="auto"/>
        <w:rPr>
          <w:rFonts w:ascii="宋体"/>
          <w:b w:val="0"/>
          <w:bCs w:val="0"/>
          <w:kern w:val="2"/>
          <w:sz w:val="32"/>
          <w:szCs w:val="32"/>
        </w:rPr>
      </w:pPr>
      <w:bookmarkStart w:id="38" w:name="_Toc10153"/>
      <w:r>
        <w:rPr>
          <w:rFonts w:hint="eastAsia" w:ascii="宋体" w:hAnsi="宋体" w:cs="宋体"/>
          <w:b w:val="0"/>
          <w:bCs w:val="0"/>
          <w:kern w:val="2"/>
          <w:sz w:val="32"/>
          <w:szCs w:val="32"/>
        </w:rPr>
        <w:t>三、投标文件</w:t>
      </w:r>
      <w:bookmarkEnd w:id="38"/>
    </w:p>
    <w:p w14:paraId="110BBE6F">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编制原则</w:t>
      </w:r>
    </w:p>
    <w:p w14:paraId="37F322BF">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投标文件应突出重点，精简扼要。所提供的资料必须符合诚实信用、客观真实的原则，对弄虚作假或违背诚信的违法行为，应承担相应的后果及法律责任。</w:t>
      </w:r>
    </w:p>
    <w:p w14:paraId="6B403382">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投标人应仔细阅读招标文件的所有内容，按照招标文件的要求提交投标文件。投标文件应对招标文件的要求作出实质性响应，并保证所提供的全部资料的真实性。</w:t>
      </w:r>
    </w:p>
    <w:p w14:paraId="3996942A">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编制要求</w:t>
      </w:r>
    </w:p>
    <w:p w14:paraId="459A5550">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投标文件应按照</w:t>
      </w:r>
      <w:r>
        <w:rPr>
          <w:rFonts w:ascii="宋体" w:hAnsi="宋体" w:cs="宋体"/>
          <w:color w:val="000000"/>
          <w:sz w:val="22"/>
          <w:szCs w:val="22"/>
        </w:rPr>
        <w:t xml:space="preserve"> </w:t>
      </w:r>
      <w:r>
        <w:rPr>
          <w:rFonts w:hint="eastAsia" w:ascii="宋体" w:hAnsi="宋体" w:cs="宋体"/>
          <w:color w:val="000000"/>
          <w:sz w:val="22"/>
          <w:szCs w:val="22"/>
        </w:rPr>
        <w:t>“投标文件格式”的要求以</w:t>
      </w:r>
      <w:r>
        <w:rPr>
          <w:rFonts w:ascii="宋体" w:hAnsi="宋体" w:cs="宋体"/>
          <w:color w:val="000000"/>
          <w:sz w:val="22"/>
          <w:szCs w:val="22"/>
        </w:rPr>
        <w:t>A4</w:t>
      </w:r>
      <w:r>
        <w:rPr>
          <w:rFonts w:hint="eastAsia" w:ascii="宋体" w:hAnsi="宋体" w:cs="宋体"/>
          <w:color w:val="000000"/>
          <w:sz w:val="22"/>
          <w:szCs w:val="22"/>
        </w:rPr>
        <w:t>版面统一编制。</w:t>
      </w:r>
    </w:p>
    <w:p w14:paraId="377DE483">
      <w:pPr>
        <w:numPr>
          <w:ilvl w:val="1"/>
          <w:numId w:val="3"/>
        </w:numPr>
        <w:spacing w:line="360" w:lineRule="auto"/>
        <w:rPr>
          <w:rFonts w:ascii="宋体"/>
          <w:b/>
          <w:bCs/>
          <w:color w:val="000000"/>
          <w:sz w:val="22"/>
          <w:szCs w:val="22"/>
        </w:rPr>
      </w:pPr>
      <w:r>
        <w:rPr>
          <w:rFonts w:hint="eastAsia" w:ascii="宋体" w:hAnsi="宋体" w:cs="宋体"/>
          <w:b/>
          <w:bCs/>
          <w:color w:val="000000"/>
          <w:sz w:val="22"/>
          <w:szCs w:val="22"/>
        </w:rPr>
        <w:t>对于有特定格式要求的，不允许改动其内容，否则，其投标无效。</w:t>
      </w:r>
    </w:p>
    <w:p w14:paraId="3258B751">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投标文件的制作，应使用简体中文。</w:t>
      </w:r>
    </w:p>
    <w:p w14:paraId="65FE7C58">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投标文件在加盖投标人公章时，不得使用合同专用章、财务专用章、公司部门章或分支机构章、授权（投标）专用章等代替；否则，投标文件按无效投标处理。</w:t>
      </w:r>
    </w:p>
    <w:p w14:paraId="78DE9AB3">
      <w:pPr>
        <w:numPr>
          <w:ilvl w:val="1"/>
          <w:numId w:val="3"/>
        </w:numPr>
        <w:spacing w:line="360" w:lineRule="auto"/>
        <w:rPr>
          <w:rFonts w:ascii="宋体"/>
          <w:color w:val="000000"/>
          <w:sz w:val="22"/>
          <w:szCs w:val="22"/>
        </w:rPr>
      </w:pPr>
      <w:r>
        <w:rPr>
          <w:rFonts w:hint="eastAsia" w:ascii="宋体" w:hAnsi="宋体" w:cs="宋体"/>
          <w:color w:val="000000"/>
          <w:sz w:val="22"/>
          <w:szCs w:val="22"/>
        </w:rPr>
        <w:t>任何行间插字、涂改和增删，须由投标人授权代表在旁边签字后方为有效。</w:t>
      </w:r>
    </w:p>
    <w:p w14:paraId="56AAF338">
      <w:pPr>
        <w:numPr>
          <w:ilvl w:val="0"/>
          <w:numId w:val="3"/>
        </w:numPr>
        <w:spacing w:line="360" w:lineRule="auto"/>
        <w:rPr>
          <w:rFonts w:ascii="宋体"/>
          <w:b w:val="0"/>
          <w:bCs w:val="0"/>
          <w:sz w:val="22"/>
          <w:szCs w:val="22"/>
        </w:rPr>
      </w:pPr>
      <w:r>
        <w:rPr>
          <w:rFonts w:hint="eastAsia" w:ascii="宋体" w:hAnsi="宋体" w:cs="宋体"/>
          <w:b w:val="0"/>
          <w:bCs w:val="0"/>
          <w:sz w:val="22"/>
          <w:szCs w:val="22"/>
        </w:rPr>
        <w:t>投标文件的组成</w:t>
      </w:r>
    </w:p>
    <w:p w14:paraId="1B497A27">
      <w:pPr>
        <w:spacing w:line="360" w:lineRule="auto"/>
        <w:ind w:left="437" w:leftChars="208" w:firstLine="0" w:firstLineChars="0"/>
        <w:rPr>
          <w:rFonts w:ascii="宋体"/>
          <w:b/>
          <w:bCs/>
          <w:sz w:val="22"/>
          <w:szCs w:val="22"/>
        </w:rPr>
      </w:pPr>
      <w:r>
        <w:rPr>
          <w:rFonts w:hint="eastAsia" w:ascii="宋体" w:hAnsi="宋体" w:cs="宋体"/>
          <w:b/>
          <w:bCs/>
          <w:sz w:val="22"/>
          <w:szCs w:val="22"/>
        </w:rPr>
        <w:t>投标文件由价格文件、商务文件和技术文件三部分组成。（以</w:t>
      </w:r>
      <w:r>
        <w:rPr>
          <w:rFonts w:hint="eastAsia" w:ascii="宋体" w:hAnsi="宋体" w:cs="宋体"/>
          <w:b/>
          <w:bCs/>
          <w:sz w:val="22"/>
          <w:szCs w:val="22"/>
          <w:lang w:val="en-US" w:eastAsia="zh-CN"/>
        </w:rPr>
        <w:t>国泰</w:t>
      </w:r>
      <w:r>
        <w:rPr>
          <w:rFonts w:hint="eastAsia" w:ascii="宋体" w:hAnsi="宋体" w:cs="宋体"/>
          <w:b/>
          <w:bCs/>
          <w:sz w:val="22"/>
          <w:szCs w:val="22"/>
        </w:rPr>
        <w:t>新点网上不见面开标系统投标文件制作格式为准）</w:t>
      </w:r>
    </w:p>
    <w:p w14:paraId="017B015A">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投标报价</w:t>
      </w:r>
    </w:p>
    <w:p w14:paraId="67CC2CE2">
      <w:pPr>
        <w:numPr>
          <w:ilvl w:val="1"/>
          <w:numId w:val="3"/>
        </w:numPr>
        <w:spacing w:line="360" w:lineRule="auto"/>
        <w:rPr>
          <w:rFonts w:ascii="宋体"/>
          <w:color w:val="000000"/>
          <w:sz w:val="22"/>
          <w:szCs w:val="22"/>
        </w:rPr>
      </w:pPr>
      <w:r>
        <w:rPr>
          <w:rFonts w:hint="eastAsia" w:ascii="宋体" w:hAnsi="宋体" w:cs="宋体"/>
          <w:sz w:val="22"/>
          <w:szCs w:val="22"/>
        </w:rPr>
        <w:t>投标人应按招标文件规定的供货及服务要求、责任范围和合同条件，以人民币进行报价。</w:t>
      </w:r>
    </w:p>
    <w:p w14:paraId="74A87541">
      <w:pPr>
        <w:numPr>
          <w:ilvl w:val="1"/>
          <w:numId w:val="3"/>
        </w:numPr>
        <w:spacing w:line="360" w:lineRule="auto"/>
        <w:rPr>
          <w:rFonts w:ascii="宋体"/>
          <w:color w:val="000000"/>
          <w:sz w:val="22"/>
          <w:szCs w:val="22"/>
        </w:rPr>
      </w:pPr>
      <w:r>
        <w:rPr>
          <w:rFonts w:hint="eastAsia" w:ascii="宋体" w:hAnsi="宋体" w:cs="宋体"/>
          <w:sz w:val="22"/>
          <w:szCs w:val="22"/>
        </w:rPr>
        <w:t>投标人应按开标报价一览表和分项价格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14:paraId="39F9B9FF">
      <w:pPr>
        <w:numPr>
          <w:ilvl w:val="1"/>
          <w:numId w:val="3"/>
        </w:numPr>
        <w:spacing w:line="360" w:lineRule="auto"/>
        <w:rPr>
          <w:rFonts w:ascii="宋体"/>
          <w:color w:val="000000"/>
          <w:sz w:val="22"/>
          <w:szCs w:val="22"/>
        </w:rPr>
      </w:pPr>
      <w:r>
        <w:rPr>
          <w:rFonts w:hint="eastAsia" w:ascii="宋体" w:hAnsi="宋体" w:cs="宋体"/>
          <w:sz w:val="22"/>
          <w:szCs w:val="22"/>
        </w:rPr>
        <w:t>投标人对每种货物及服务只允许有一个报价，不接受选择性报价，否则，在评标时将其视为无效投标。</w:t>
      </w:r>
    </w:p>
    <w:p w14:paraId="62CE3E9A">
      <w:pPr>
        <w:numPr>
          <w:ilvl w:val="1"/>
          <w:numId w:val="3"/>
        </w:numPr>
        <w:spacing w:line="360" w:lineRule="auto"/>
        <w:rPr>
          <w:rFonts w:ascii="宋体"/>
          <w:sz w:val="22"/>
          <w:szCs w:val="22"/>
        </w:rPr>
      </w:pPr>
      <w:r>
        <w:rPr>
          <w:rFonts w:hint="eastAsia" w:ascii="宋体" w:hAnsi="宋体" w:cs="宋体"/>
          <w:sz w:val="22"/>
          <w:szCs w:val="22"/>
        </w:rPr>
        <w:t>投标文件中标明的价格在合同执行过程中是固定不变的，不得以任何理由予以变更。任何包含价格调整要求和条件的投标，在评标时将其视为无效投标。</w:t>
      </w:r>
    </w:p>
    <w:p w14:paraId="3BAA7868">
      <w:pPr>
        <w:numPr>
          <w:ilvl w:val="1"/>
          <w:numId w:val="3"/>
        </w:numPr>
        <w:spacing w:line="360" w:lineRule="auto"/>
        <w:rPr>
          <w:rFonts w:ascii="宋体"/>
          <w:sz w:val="22"/>
          <w:szCs w:val="22"/>
        </w:rPr>
      </w:pPr>
      <w:r>
        <w:rPr>
          <w:rFonts w:hint="eastAsia" w:ascii="宋体" w:hAnsi="宋体" w:cs="宋体"/>
          <w:sz w:val="22"/>
          <w:szCs w:val="22"/>
        </w:rPr>
        <w:t>投标人应根据《采购清单》最终得出总额。</w:t>
      </w:r>
    </w:p>
    <w:p w14:paraId="504AEA3A">
      <w:pPr>
        <w:numPr>
          <w:ilvl w:val="1"/>
          <w:numId w:val="3"/>
        </w:numPr>
        <w:spacing w:line="360" w:lineRule="auto"/>
        <w:rPr>
          <w:rFonts w:ascii="宋体"/>
          <w:sz w:val="22"/>
          <w:szCs w:val="22"/>
        </w:rPr>
      </w:pPr>
      <w:r>
        <w:rPr>
          <w:rFonts w:hint="eastAsia" w:ascii="宋体" w:hAnsi="宋体" w:cs="宋体"/>
          <w:sz w:val="22"/>
          <w:szCs w:val="22"/>
        </w:rPr>
        <w:t>投标报价应包含产品的安装、维护、售后服务及税金等全部费用。</w:t>
      </w:r>
    </w:p>
    <w:p w14:paraId="0DC5ECF4">
      <w:pPr>
        <w:numPr>
          <w:ilvl w:val="1"/>
          <w:numId w:val="3"/>
        </w:numPr>
        <w:spacing w:line="360" w:lineRule="auto"/>
        <w:rPr>
          <w:rFonts w:ascii="宋体"/>
          <w:sz w:val="22"/>
          <w:szCs w:val="22"/>
        </w:rPr>
      </w:pPr>
      <w:r>
        <w:rPr>
          <w:rFonts w:hint="eastAsia" w:ascii="宋体" w:hAnsi="宋体" w:cs="宋体"/>
          <w:sz w:val="22"/>
          <w:szCs w:val="22"/>
        </w:rPr>
        <w:t>投标人根据招标内容的要求，准确报价，一经报出，不得更改。</w:t>
      </w:r>
    </w:p>
    <w:p w14:paraId="2C65A86D">
      <w:pPr>
        <w:numPr>
          <w:ilvl w:val="0"/>
          <w:numId w:val="3"/>
        </w:numPr>
        <w:spacing w:line="360" w:lineRule="auto"/>
        <w:rPr>
          <w:rFonts w:ascii="宋体"/>
          <w:b/>
          <w:bCs/>
          <w:sz w:val="22"/>
          <w:szCs w:val="22"/>
        </w:rPr>
      </w:pPr>
      <w:r>
        <w:rPr>
          <w:rFonts w:hint="eastAsia" w:ascii="宋体" w:hAnsi="宋体" w:cs="宋体"/>
          <w:b/>
          <w:bCs/>
          <w:sz w:val="22"/>
          <w:szCs w:val="22"/>
        </w:rPr>
        <w:t>投标文件报价出现前后不一致的，按照下列规定修正：</w:t>
      </w:r>
      <w:r>
        <w:rPr>
          <w:rFonts w:ascii="宋体" w:hAnsi="宋体" w:cs="宋体"/>
          <w:b/>
          <w:bCs/>
          <w:sz w:val="22"/>
          <w:szCs w:val="22"/>
        </w:rPr>
        <w:t xml:space="preserve"> </w:t>
      </w:r>
    </w:p>
    <w:p w14:paraId="6C8726DD">
      <w:pPr>
        <w:numPr>
          <w:ilvl w:val="1"/>
          <w:numId w:val="3"/>
        </w:numPr>
        <w:spacing w:line="360" w:lineRule="auto"/>
        <w:rPr>
          <w:rFonts w:hint="eastAsia" w:ascii="宋体" w:hAnsi="宋体" w:cs="宋体"/>
          <w:b/>
          <w:bCs/>
          <w:sz w:val="22"/>
          <w:szCs w:val="22"/>
        </w:rPr>
      </w:pPr>
      <w:r>
        <w:rPr>
          <w:rFonts w:hint="eastAsia" w:ascii="宋体" w:hAnsi="宋体" w:cs="宋体"/>
          <w:sz w:val="22"/>
          <w:szCs w:val="22"/>
        </w:rPr>
        <w:t>投标文件中开标一览表（报价表）内容与投标文件中相应内容不一致的，</w:t>
      </w:r>
      <w:r>
        <w:rPr>
          <w:rFonts w:hint="eastAsia" w:ascii="宋体" w:hAnsi="宋体" w:cs="宋体"/>
          <w:b/>
          <w:bCs/>
          <w:sz w:val="22"/>
          <w:szCs w:val="22"/>
        </w:rPr>
        <w:t>以开标一览表（报价表）为准；</w:t>
      </w:r>
    </w:p>
    <w:p w14:paraId="5E8F40D9">
      <w:pPr>
        <w:numPr>
          <w:ilvl w:val="1"/>
          <w:numId w:val="3"/>
        </w:numPr>
        <w:spacing w:line="360" w:lineRule="auto"/>
        <w:rPr>
          <w:rFonts w:ascii="宋体"/>
          <w:b/>
          <w:bCs/>
          <w:sz w:val="22"/>
          <w:szCs w:val="22"/>
        </w:rPr>
      </w:pPr>
      <w:r>
        <w:rPr>
          <w:rFonts w:hint="eastAsia" w:ascii="宋体" w:hAnsi="宋体" w:cs="宋体"/>
          <w:sz w:val="22"/>
          <w:szCs w:val="22"/>
        </w:rPr>
        <w:t>大写金额和小写金额不一致的，</w:t>
      </w:r>
      <w:r>
        <w:rPr>
          <w:rFonts w:hint="eastAsia" w:ascii="宋体" w:hAnsi="宋体" w:cs="宋体"/>
          <w:b/>
          <w:bCs/>
          <w:sz w:val="22"/>
          <w:szCs w:val="22"/>
        </w:rPr>
        <w:t>以大写金额为准；</w:t>
      </w:r>
      <w:r>
        <w:rPr>
          <w:rFonts w:ascii="宋体" w:hAnsi="宋体" w:cs="宋体"/>
          <w:b/>
          <w:bCs/>
          <w:sz w:val="22"/>
          <w:szCs w:val="22"/>
        </w:rPr>
        <w:t xml:space="preserve"> </w:t>
      </w:r>
    </w:p>
    <w:p w14:paraId="5CEB4AD5">
      <w:pPr>
        <w:numPr>
          <w:ilvl w:val="1"/>
          <w:numId w:val="3"/>
        </w:numPr>
        <w:spacing w:line="360" w:lineRule="auto"/>
        <w:rPr>
          <w:rFonts w:ascii="宋体"/>
          <w:sz w:val="22"/>
          <w:szCs w:val="22"/>
        </w:rPr>
      </w:pPr>
      <w:r>
        <w:rPr>
          <w:rFonts w:hint="eastAsia" w:ascii="宋体" w:hAnsi="宋体" w:cs="宋体"/>
          <w:sz w:val="22"/>
          <w:szCs w:val="22"/>
        </w:rPr>
        <w:t>单价金额小数点或者百分比有明显错位的，以开标一览表的总价为准，并修改单价；</w:t>
      </w:r>
      <w:r>
        <w:rPr>
          <w:rFonts w:ascii="宋体" w:hAnsi="宋体" w:cs="宋体"/>
          <w:sz w:val="22"/>
          <w:szCs w:val="22"/>
        </w:rPr>
        <w:t xml:space="preserve"> </w:t>
      </w:r>
    </w:p>
    <w:p w14:paraId="7BFC4698">
      <w:pPr>
        <w:numPr>
          <w:ilvl w:val="1"/>
          <w:numId w:val="3"/>
        </w:numPr>
        <w:spacing w:line="360" w:lineRule="auto"/>
        <w:rPr>
          <w:rFonts w:ascii="宋体"/>
          <w:sz w:val="22"/>
          <w:szCs w:val="22"/>
        </w:rPr>
      </w:pPr>
      <w:r>
        <w:rPr>
          <w:rFonts w:hint="eastAsia" w:ascii="宋体" w:hAnsi="宋体" w:cs="宋体"/>
          <w:sz w:val="22"/>
          <w:szCs w:val="22"/>
        </w:rPr>
        <w:t>总价金额与按单价汇总金额不一致的，以单价金额计算结果为准。</w:t>
      </w:r>
      <w:r>
        <w:rPr>
          <w:rFonts w:ascii="宋体" w:hAnsi="宋体" w:cs="宋体"/>
          <w:sz w:val="22"/>
          <w:szCs w:val="22"/>
        </w:rPr>
        <w:t xml:space="preserve"> </w:t>
      </w:r>
    </w:p>
    <w:p w14:paraId="27838A76">
      <w:pPr>
        <w:numPr>
          <w:ilvl w:val="1"/>
          <w:numId w:val="3"/>
        </w:numPr>
        <w:spacing w:line="360" w:lineRule="auto"/>
        <w:rPr>
          <w:rFonts w:ascii="宋体"/>
          <w:sz w:val="22"/>
          <w:szCs w:val="22"/>
        </w:rPr>
      </w:pPr>
      <w:r>
        <w:rPr>
          <w:rFonts w:hint="eastAsia" w:ascii="宋体" w:hAnsi="宋体" w:cs="宋体"/>
          <w:sz w:val="22"/>
          <w:szCs w:val="22"/>
        </w:rPr>
        <w:t>同时出现两种以上不一致的，按照前款规定的顺序修正，投标人不确认的，其投标无效。</w:t>
      </w:r>
      <w:r>
        <w:rPr>
          <w:rFonts w:ascii="宋体" w:hAnsi="宋体" w:cs="宋体"/>
          <w:sz w:val="22"/>
          <w:szCs w:val="22"/>
        </w:rPr>
        <w:t xml:space="preserve"> </w:t>
      </w:r>
    </w:p>
    <w:p w14:paraId="0C578DA1">
      <w:pPr>
        <w:numPr>
          <w:ilvl w:val="1"/>
          <w:numId w:val="3"/>
        </w:numPr>
        <w:spacing w:line="360" w:lineRule="auto"/>
        <w:rPr>
          <w:rFonts w:ascii="宋体"/>
          <w:sz w:val="22"/>
          <w:szCs w:val="22"/>
        </w:rPr>
      </w:pPr>
      <w:r>
        <w:rPr>
          <w:rFonts w:hint="eastAsia" w:ascii="宋体" w:hAnsi="宋体" w:cs="宋体"/>
          <w:sz w:val="22"/>
          <w:szCs w:val="22"/>
        </w:rPr>
        <w:t>投标人在报价时，价格包含一切税费，未作说明的情况下，视同包含一切税费。</w:t>
      </w:r>
    </w:p>
    <w:p w14:paraId="5F352792">
      <w:pPr>
        <w:numPr>
          <w:ilvl w:val="1"/>
          <w:numId w:val="3"/>
        </w:numPr>
        <w:spacing w:line="360" w:lineRule="auto"/>
        <w:rPr>
          <w:rFonts w:ascii="宋体"/>
          <w:color w:val="000000"/>
          <w:sz w:val="22"/>
          <w:szCs w:val="22"/>
        </w:rPr>
      </w:pPr>
      <w:r>
        <w:rPr>
          <w:rFonts w:hint="eastAsia" w:ascii="宋体" w:hAnsi="宋体" w:cs="宋体"/>
          <w:sz w:val="22"/>
          <w:szCs w:val="22"/>
        </w:rPr>
        <w:t>未宣读的投标价格信息，评标时不予承认。</w:t>
      </w:r>
    </w:p>
    <w:p w14:paraId="4D48DD51">
      <w:pPr>
        <w:numPr>
          <w:ilvl w:val="0"/>
          <w:numId w:val="3"/>
        </w:numPr>
        <w:spacing w:line="360" w:lineRule="auto"/>
        <w:rPr>
          <w:rFonts w:ascii="宋体"/>
          <w:color w:val="000000"/>
          <w:sz w:val="22"/>
          <w:szCs w:val="22"/>
        </w:rPr>
      </w:pPr>
      <w:r>
        <w:rPr>
          <w:rFonts w:hint="eastAsia" w:ascii="宋体" w:hAnsi="宋体" w:cs="宋体"/>
          <w:b/>
          <w:bCs/>
          <w:sz w:val="22"/>
          <w:szCs w:val="22"/>
        </w:rPr>
        <w:t>备选方案</w:t>
      </w:r>
    </w:p>
    <w:p w14:paraId="48BC3D90">
      <w:pPr>
        <w:numPr>
          <w:ilvl w:val="1"/>
          <w:numId w:val="3"/>
        </w:numPr>
        <w:spacing w:line="360" w:lineRule="auto"/>
        <w:rPr>
          <w:rFonts w:ascii="宋体"/>
          <w:b w:val="0"/>
          <w:bCs w:val="0"/>
          <w:color w:val="000000"/>
          <w:sz w:val="22"/>
          <w:szCs w:val="22"/>
        </w:rPr>
      </w:pPr>
      <w:r>
        <w:rPr>
          <w:rFonts w:hint="eastAsia" w:ascii="宋体" w:hAnsi="宋体" w:cs="宋体"/>
          <w:b w:val="0"/>
          <w:bCs w:val="0"/>
          <w:sz w:val="22"/>
          <w:szCs w:val="22"/>
        </w:rPr>
        <w:t>本采购项目不接受备选方案投标。</w:t>
      </w:r>
    </w:p>
    <w:p w14:paraId="3B0E2945">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投标人的资格证明文件</w:t>
      </w:r>
    </w:p>
    <w:p w14:paraId="75636C22">
      <w:pPr>
        <w:numPr>
          <w:ilvl w:val="1"/>
          <w:numId w:val="3"/>
        </w:numPr>
        <w:spacing w:line="360" w:lineRule="auto"/>
        <w:rPr>
          <w:rFonts w:ascii="宋体"/>
          <w:b/>
          <w:bCs/>
          <w:color w:val="000000"/>
          <w:sz w:val="22"/>
          <w:szCs w:val="22"/>
        </w:rPr>
      </w:pPr>
      <w:r>
        <w:rPr>
          <w:rFonts w:hint="eastAsia" w:ascii="宋体" w:hAnsi="宋体" w:cs="宋体"/>
          <w:sz w:val="22"/>
          <w:szCs w:val="22"/>
        </w:rPr>
        <w:t>投标人应提交满足资格条件要求的证明文件</w:t>
      </w:r>
      <w:r>
        <w:rPr>
          <w:rFonts w:ascii="宋体" w:cs="宋体"/>
          <w:sz w:val="22"/>
          <w:szCs w:val="22"/>
        </w:rPr>
        <w:t>,</w:t>
      </w:r>
      <w:r>
        <w:rPr>
          <w:rFonts w:hint="eastAsia" w:ascii="宋体" w:hAnsi="宋体" w:cs="宋体"/>
          <w:sz w:val="22"/>
          <w:szCs w:val="22"/>
        </w:rPr>
        <w:t>该证明文件作为投标文件的一部分。</w:t>
      </w:r>
    </w:p>
    <w:p w14:paraId="16809EF2">
      <w:pPr>
        <w:numPr>
          <w:ilvl w:val="0"/>
          <w:numId w:val="3"/>
        </w:numPr>
        <w:spacing w:line="360" w:lineRule="auto"/>
        <w:rPr>
          <w:rFonts w:ascii="宋体"/>
          <w:b/>
          <w:bCs/>
          <w:color w:val="000000"/>
          <w:sz w:val="22"/>
          <w:szCs w:val="22"/>
        </w:rPr>
      </w:pPr>
      <w:r>
        <w:rPr>
          <w:rFonts w:hint="eastAsia" w:ascii="宋体" w:hAnsi="宋体" w:cs="宋体"/>
          <w:b/>
          <w:bCs/>
          <w:sz w:val="22"/>
          <w:szCs w:val="22"/>
        </w:rPr>
        <w:t>投标有效期</w:t>
      </w:r>
    </w:p>
    <w:p w14:paraId="238EF84C">
      <w:pPr>
        <w:numPr>
          <w:ilvl w:val="1"/>
          <w:numId w:val="3"/>
        </w:numPr>
        <w:spacing w:line="360" w:lineRule="auto"/>
        <w:rPr>
          <w:rFonts w:ascii="宋体"/>
          <w:b/>
          <w:bCs/>
          <w:color w:val="000000"/>
          <w:sz w:val="22"/>
          <w:szCs w:val="22"/>
        </w:rPr>
      </w:pPr>
      <w:r>
        <w:rPr>
          <w:rFonts w:hint="eastAsia" w:ascii="宋体" w:hAnsi="宋体" w:cs="宋体"/>
          <w:sz w:val="22"/>
          <w:szCs w:val="22"/>
        </w:rPr>
        <w:t>投标有效期为</w:t>
      </w:r>
      <w:r>
        <w:rPr>
          <w:rFonts w:ascii="宋体" w:hAnsi="宋体" w:cs="宋体"/>
          <w:sz w:val="22"/>
          <w:szCs w:val="22"/>
        </w:rPr>
        <w:t>60</w:t>
      </w:r>
      <w:r>
        <w:rPr>
          <w:rFonts w:hint="eastAsia" w:ascii="宋体" w:hAnsi="宋体" w:cs="宋体"/>
          <w:sz w:val="22"/>
          <w:szCs w:val="22"/>
        </w:rPr>
        <w:t>天，在此期间投标文件对投标人具有法律约束力，以保证采购人有足够的时间完成评标、定标以及签订合同。投标有效期从规定的投标截止之日起计算。</w:t>
      </w:r>
      <w:r>
        <w:rPr>
          <w:rFonts w:hint="eastAsia" w:ascii="宋体" w:hAnsi="宋体" w:cs="宋体"/>
          <w:b/>
          <w:bCs/>
          <w:sz w:val="22"/>
          <w:szCs w:val="22"/>
        </w:rPr>
        <w:t>投标有效期不足的，在评标时将其视为无效投标。</w:t>
      </w:r>
    </w:p>
    <w:p w14:paraId="7280DCF2">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投标文件签署、盖章</w:t>
      </w:r>
    </w:p>
    <w:p w14:paraId="62EFC77F">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投标文件应按照规定的格式填报，且必须编制详细目录，并逐页标注连续页码，其纸张大小统一规定为</w:t>
      </w:r>
      <w:r>
        <w:rPr>
          <w:rFonts w:ascii="宋体" w:hAnsi="宋体" w:cs="宋体"/>
          <w:color w:val="000000"/>
          <w:sz w:val="22"/>
          <w:szCs w:val="22"/>
        </w:rPr>
        <w:t>A4</w:t>
      </w:r>
      <w:r>
        <w:rPr>
          <w:rFonts w:hint="eastAsia" w:ascii="宋体" w:hAnsi="宋体" w:cs="宋体"/>
          <w:color w:val="000000"/>
          <w:sz w:val="22"/>
          <w:szCs w:val="22"/>
        </w:rPr>
        <w:t>。</w:t>
      </w:r>
      <w:r>
        <w:rPr>
          <w:rFonts w:ascii="宋体" w:hAnsi="宋体" w:cs="宋体"/>
          <w:color w:val="000000"/>
          <w:sz w:val="22"/>
          <w:szCs w:val="22"/>
        </w:rPr>
        <w:t xml:space="preserve"> </w:t>
      </w:r>
    </w:p>
    <w:p w14:paraId="76C0CF59">
      <w:pPr>
        <w:numPr>
          <w:ilvl w:val="1"/>
          <w:numId w:val="3"/>
        </w:numPr>
        <w:spacing w:line="360" w:lineRule="auto"/>
        <w:rPr>
          <w:rFonts w:ascii="宋体"/>
          <w:b/>
          <w:bCs/>
          <w:color w:val="000000"/>
          <w:sz w:val="22"/>
          <w:szCs w:val="22"/>
        </w:rPr>
      </w:pPr>
      <w:r>
        <w:rPr>
          <w:rFonts w:hint="eastAsia" w:ascii="宋体" w:hAnsi="宋体" w:cs="宋体"/>
          <w:color w:val="000000"/>
          <w:sz w:val="22"/>
          <w:szCs w:val="22"/>
        </w:rPr>
        <w:t>投标文件正本中除要求由投标人法定代表人或被授权人签字的内容必须签字、盖章，否则按无效投标处理。</w:t>
      </w:r>
    </w:p>
    <w:p w14:paraId="663496A3">
      <w:pPr>
        <w:pStyle w:val="5"/>
        <w:adjustRightInd/>
        <w:spacing w:before="0" w:after="0" w:line="360" w:lineRule="auto"/>
        <w:jc w:val="center"/>
        <w:textAlignment w:val="auto"/>
        <w:rPr>
          <w:rFonts w:ascii="宋体"/>
          <w:b w:val="0"/>
          <w:bCs w:val="0"/>
          <w:kern w:val="2"/>
          <w:sz w:val="32"/>
          <w:szCs w:val="32"/>
        </w:rPr>
      </w:pPr>
      <w:bookmarkStart w:id="39" w:name="_Toc5052"/>
      <w:r>
        <w:rPr>
          <w:rFonts w:hint="eastAsia" w:ascii="宋体" w:hAnsi="宋体" w:cs="宋体"/>
          <w:b w:val="0"/>
          <w:bCs w:val="0"/>
          <w:kern w:val="2"/>
          <w:sz w:val="32"/>
          <w:szCs w:val="32"/>
        </w:rPr>
        <w:t>四、投标文件的递交</w:t>
      </w:r>
      <w:bookmarkEnd w:id="39"/>
    </w:p>
    <w:p w14:paraId="5736FFEB">
      <w:pPr>
        <w:spacing w:line="360" w:lineRule="auto"/>
        <w:rPr>
          <w:rFonts w:ascii="宋体"/>
          <w:color w:val="000000"/>
          <w:sz w:val="22"/>
          <w:szCs w:val="22"/>
        </w:rPr>
      </w:pPr>
    </w:p>
    <w:p w14:paraId="302F7D56">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投标文件的递交</w:t>
      </w:r>
    </w:p>
    <w:p w14:paraId="00CC8A22">
      <w:pPr>
        <w:numPr>
          <w:ilvl w:val="1"/>
          <w:numId w:val="3"/>
        </w:numPr>
        <w:spacing w:line="360" w:lineRule="auto"/>
        <w:rPr>
          <w:rFonts w:ascii="宋体"/>
          <w:color w:val="000000"/>
          <w:sz w:val="22"/>
          <w:szCs w:val="22"/>
        </w:rPr>
      </w:pPr>
      <w:r>
        <w:rPr>
          <w:rFonts w:hint="eastAsia" w:ascii="宋体" w:hAnsi="宋体" w:cs="宋体"/>
          <w:sz w:val="22"/>
          <w:szCs w:val="22"/>
        </w:rPr>
        <w:t>投标文件必须在投标截止时间之前上传到指定的地点。</w:t>
      </w:r>
    </w:p>
    <w:p w14:paraId="1E0199F5">
      <w:pPr>
        <w:numPr>
          <w:ilvl w:val="1"/>
          <w:numId w:val="3"/>
        </w:numPr>
        <w:spacing w:line="360" w:lineRule="auto"/>
        <w:rPr>
          <w:rFonts w:ascii="宋体"/>
          <w:sz w:val="22"/>
          <w:szCs w:val="22"/>
        </w:rPr>
      </w:pPr>
      <w:r>
        <w:rPr>
          <w:rFonts w:hint="eastAsia" w:ascii="宋体" w:hAnsi="宋体" w:cs="宋体"/>
          <w:sz w:val="22"/>
          <w:szCs w:val="22"/>
        </w:rPr>
        <w:t>未提交招标文件规定的资格证明文件和其他文件的，其投标文件拒绝接收。</w:t>
      </w:r>
    </w:p>
    <w:p w14:paraId="1ED8EF32">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投标文件未按照招标文件规定要求签署、盖章的，其投标文件拒绝接收。</w:t>
      </w:r>
    </w:p>
    <w:p w14:paraId="786D9C6D">
      <w:pPr>
        <w:numPr>
          <w:ilvl w:val="1"/>
          <w:numId w:val="3"/>
        </w:numPr>
        <w:spacing w:line="360" w:lineRule="auto"/>
        <w:rPr>
          <w:rFonts w:ascii="宋体"/>
          <w:color w:val="000000"/>
          <w:sz w:val="22"/>
          <w:szCs w:val="22"/>
        </w:rPr>
      </w:pPr>
      <w:r>
        <w:rPr>
          <w:rFonts w:hint="eastAsia" w:ascii="宋体" w:hAnsi="宋体" w:cs="宋体"/>
          <w:color w:val="000000"/>
          <w:sz w:val="22"/>
          <w:szCs w:val="22"/>
        </w:rPr>
        <w:t>未参加投标报名的，其投标文件拒绝接收。</w:t>
      </w:r>
    </w:p>
    <w:p w14:paraId="421C1A21">
      <w:pPr>
        <w:numPr>
          <w:ilvl w:val="1"/>
          <w:numId w:val="3"/>
        </w:numPr>
        <w:spacing w:line="360" w:lineRule="auto"/>
        <w:rPr>
          <w:rFonts w:ascii="宋体"/>
          <w:b w:val="0"/>
          <w:bCs w:val="0"/>
          <w:color w:val="000000"/>
          <w:sz w:val="22"/>
          <w:szCs w:val="22"/>
        </w:rPr>
      </w:pPr>
      <w:r>
        <w:rPr>
          <w:rFonts w:hint="eastAsia" w:ascii="宋体" w:hAnsi="宋体" w:cs="宋体"/>
          <w:b w:val="0"/>
          <w:bCs w:val="0"/>
          <w:color w:val="000000"/>
          <w:sz w:val="22"/>
          <w:szCs w:val="22"/>
        </w:rPr>
        <w:t>投标人名称与投标报名时的名称不一致者且未提供有效证明的，其投标文件拒绝接收。</w:t>
      </w:r>
    </w:p>
    <w:p w14:paraId="6462E564">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投标文件的修改和撤回</w:t>
      </w:r>
    </w:p>
    <w:p w14:paraId="03A04CBD">
      <w:pPr>
        <w:numPr>
          <w:ilvl w:val="1"/>
          <w:numId w:val="3"/>
        </w:numPr>
        <w:spacing w:line="360" w:lineRule="auto"/>
        <w:rPr>
          <w:rFonts w:ascii="宋体"/>
          <w:b/>
          <w:bCs/>
          <w:sz w:val="22"/>
          <w:szCs w:val="22"/>
        </w:rPr>
      </w:pPr>
      <w:r>
        <w:rPr>
          <w:rFonts w:hint="eastAsia" w:ascii="宋体" w:hAnsi="宋体" w:cs="宋体"/>
          <w:sz w:val="22"/>
          <w:szCs w:val="22"/>
        </w:rPr>
        <w:t>投标人在投标截止时间前，可以对所递交的投标文件进行补充、修改或者撤回，并书面通知采购人或者采购代理机构。补充、修改的内容应当按照招标文件要求签署、盖章后，作为投标文件的组成部分。</w:t>
      </w:r>
    </w:p>
    <w:p w14:paraId="0780E178">
      <w:pPr>
        <w:numPr>
          <w:ilvl w:val="1"/>
          <w:numId w:val="3"/>
        </w:numPr>
        <w:spacing w:line="360" w:lineRule="auto"/>
        <w:rPr>
          <w:rFonts w:ascii="宋体"/>
          <w:b/>
          <w:bCs/>
          <w:sz w:val="22"/>
          <w:szCs w:val="22"/>
        </w:rPr>
      </w:pPr>
      <w:r>
        <w:rPr>
          <w:rFonts w:hint="eastAsia" w:ascii="宋体" w:hAnsi="宋体" w:cs="宋体"/>
          <w:sz w:val="22"/>
          <w:szCs w:val="22"/>
        </w:rPr>
        <w:t>修改、补充的内容为投标文件的组成部分。修改、补充的投标文件应按规定编制、签署、标记和递交，并标明“修改、补充”字样。</w:t>
      </w:r>
    </w:p>
    <w:p w14:paraId="5725BBFF">
      <w:pPr>
        <w:pStyle w:val="5"/>
        <w:adjustRightInd/>
        <w:spacing w:before="0" w:after="0" w:line="360" w:lineRule="auto"/>
        <w:jc w:val="center"/>
        <w:textAlignment w:val="auto"/>
        <w:rPr>
          <w:rFonts w:ascii="宋体"/>
          <w:b w:val="0"/>
          <w:bCs w:val="0"/>
          <w:kern w:val="2"/>
          <w:sz w:val="32"/>
          <w:szCs w:val="32"/>
        </w:rPr>
      </w:pPr>
      <w:bookmarkStart w:id="40" w:name="_Toc3678"/>
      <w:r>
        <w:rPr>
          <w:rFonts w:hint="eastAsia" w:ascii="宋体" w:hAnsi="宋体" w:cs="宋体"/>
          <w:b w:val="0"/>
          <w:bCs w:val="0"/>
          <w:kern w:val="2"/>
          <w:sz w:val="32"/>
          <w:szCs w:val="32"/>
        </w:rPr>
        <w:t>五、开标、评标与定标</w:t>
      </w:r>
      <w:bookmarkEnd w:id="40"/>
    </w:p>
    <w:p w14:paraId="1F27DC3D">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开标</w:t>
      </w:r>
    </w:p>
    <w:p w14:paraId="625109C2">
      <w:pPr>
        <w:spacing w:line="360" w:lineRule="auto"/>
        <w:ind w:firstLine="643" w:firstLineChars="200"/>
        <w:rPr>
          <w:rFonts w:ascii="宋体"/>
          <w:b/>
          <w:bCs/>
          <w:sz w:val="32"/>
          <w:szCs w:val="32"/>
        </w:rPr>
      </w:pPr>
      <w:r>
        <w:rPr>
          <w:rFonts w:hint="eastAsia" w:ascii="宋体" w:hAnsi="宋体" w:cs="宋体"/>
          <w:b/>
          <w:bCs/>
          <w:sz w:val="32"/>
          <w:szCs w:val="32"/>
        </w:rPr>
        <w:t>本项目招投标流程以现行电子开标程序为主（登录陇南市公共资源交易网首页“下载中心”，下载政府采购全流程电子化开评标系统操作手册）。</w:t>
      </w:r>
    </w:p>
    <w:p w14:paraId="5C7844F3">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评标</w:t>
      </w:r>
    </w:p>
    <w:p w14:paraId="0C1FC5C8">
      <w:pPr>
        <w:numPr>
          <w:ilvl w:val="1"/>
          <w:numId w:val="3"/>
        </w:numPr>
        <w:spacing w:line="360" w:lineRule="auto"/>
        <w:rPr>
          <w:rFonts w:ascii="宋体"/>
          <w:sz w:val="22"/>
          <w:szCs w:val="22"/>
        </w:rPr>
      </w:pPr>
      <w:r>
        <w:rPr>
          <w:rFonts w:hint="eastAsia" w:ascii="宋体" w:hAnsi="宋体" w:cs="宋体"/>
          <w:sz w:val="22"/>
          <w:szCs w:val="22"/>
        </w:rPr>
        <w:t>开标前半小时，采购人将立即组织评标委员会（以下简称评委会）进行评标。</w:t>
      </w:r>
    </w:p>
    <w:p w14:paraId="13A0A607">
      <w:pPr>
        <w:numPr>
          <w:ilvl w:val="0"/>
          <w:numId w:val="0"/>
        </w:numPr>
        <w:spacing w:line="360" w:lineRule="auto"/>
        <w:ind w:leftChars="0"/>
        <w:rPr>
          <w:rFonts w:ascii="宋体"/>
          <w:sz w:val="22"/>
          <w:szCs w:val="22"/>
        </w:rPr>
      </w:pPr>
      <w:r>
        <w:rPr>
          <w:rFonts w:hint="eastAsia" w:ascii="宋体" w:hAnsi="宋体" w:cs="宋体"/>
          <w:sz w:val="22"/>
          <w:szCs w:val="22"/>
        </w:rPr>
        <w:t>评委会由行业专家、采购人代表组成，且人员构成符合相关规定。</w:t>
      </w:r>
    </w:p>
    <w:p w14:paraId="60E7229E">
      <w:pPr>
        <w:spacing w:line="360" w:lineRule="auto"/>
        <w:ind w:firstLine="440" w:firstLineChars="200"/>
        <w:rPr>
          <w:rFonts w:ascii="宋体"/>
          <w:b w:val="0"/>
          <w:bCs w:val="0"/>
          <w:sz w:val="22"/>
          <w:szCs w:val="22"/>
        </w:rPr>
      </w:pPr>
      <w:r>
        <w:rPr>
          <w:rFonts w:hint="eastAsia" w:ascii="宋体" w:hAnsi="宋体" w:cs="宋体"/>
          <w:sz w:val="22"/>
          <w:szCs w:val="22"/>
        </w:rPr>
        <w:t>评标由采购人依法组建的评标委员会负责。评标委员会由有关技术、经济等方面的专家</w:t>
      </w:r>
      <w:r>
        <w:rPr>
          <w:rFonts w:hint="eastAsia" w:ascii="宋体" w:hAnsi="宋体" w:cs="宋体"/>
          <w:sz w:val="22"/>
          <w:szCs w:val="22"/>
          <w:lang w:eastAsia="zh-CN"/>
        </w:rPr>
        <w:t>以</w:t>
      </w:r>
      <w:r>
        <w:rPr>
          <w:rFonts w:hint="eastAsia" w:ascii="宋体" w:hAnsi="宋体" w:cs="宋体"/>
          <w:sz w:val="22"/>
          <w:szCs w:val="22"/>
        </w:rPr>
        <w:t>单数组成，评标专家从陇南市公共资源交易中心</w:t>
      </w:r>
      <w:r>
        <w:rPr>
          <w:rFonts w:hint="eastAsia" w:ascii="宋体" w:hAnsi="宋体" w:cs="宋体"/>
          <w:sz w:val="22"/>
          <w:szCs w:val="22"/>
          <w:lang w:val="en-US" w:eastAsia="zh-CN"/>
        </w:rPr>
        <w:t>政府采购</w:t>
      </w:r>
      <w:r>
        <w:rPr>
          <w:rFonts w:hint="eastAsia" w:ascii="宋体" w:hAnsi="宋体" w:cs="宋体"/>
          <w:sz w:val="22"/>
          <w:szCs w:val="22"/>
        </w:rPr>
        <w:t>评标专家库中随机抽取产生。</w:t>
      </w:r>
      <w:r>
        <w:rPr>
          <w:rFonts w:hint="eastAsia" w:ascii="宋体" w:hAnsi="宋体" w:cs="宋体"/>
          <w:b w:val="0"/>
          <w:bCs w:val="0"/>
          <w:sz w:val="22"/>
          <w:szCs w:val="22"/>
        </w:rPr>
        <w:t>采购人代表须出具采购单位的授权函。</w:t>
      </w:r>
    </w:p>
    <w:p w14:paraId="3EE2241A">
      <w:pPr>
        <w:numPr>
          <w:ilvl w:val="1"/>
          <w:numId w:val="3"/>
        </w:numPr>
        <w:spacing w:line="360" w:lineRule="auto"/>
        <w:rPr>
          <w:rFonts w:ascii="宋体"/>
          <w:sz w:val="22"/>
          <w:szCs w:val="22"/>
        </w:rPr>
      </w:pPr>
      <w:r>
        <w:rPr>
          <w:rFonts w:hint="eastAsia" w:ascii="宋体" w:hAnsi="宋体" w:cs="宋体"/>
          <w:sz w:val="22"/>
          <w:szCs w:val="22"/>
        </w:rPr>
        <w:t>评标委员会负责具体评标事务，并独立履行下列职责：</w:t>
      </w:r>
    </w:p>
    <w:p w14:paraId="2C03BD30">
      <w:pPr>
        <w:numPr>
          <w:ilvl w:val="0"/>
          <w:numId w:val="4"/>
        </w:numPr>
        <w:tabs>
          <w:tab w:val="left" w:pos="567"/>
        </w:tabs>
        <w:spacing w:line="360" w:lineRule="auto"/>
        <w:rPr>
          <w:rFonts w:ascii="宋体"/>
          <w:sz w:val="22"/>
          <w:szCs w:val="22"/>
        </w:rPr>
      </w:pPr>
      <w:r>
        <w:rPr>
          <w:rFonts w:hint="eastAsia" w:ascii="宋体" w:hAnsi="宋体" w:cs="宋体"/>
          <w:sz w:val="22"/>
          <w:szCs w:val="22"/>
        </w:rPr>
        <w:t>审查、评价投标文件是否符合招标文件的商务、技术等实质性要求；</w:t>
      </w:r>
      <w:r>
        <w:rPr>
          <w:rFonts w:ascii="宋体" w:hAnsi="宋体" w:cs="宋体"/>
          <w:sz w:val="22"/>
          <w:szCs w:val="22"/>
        </w:rPr>
        <w:t xml:space="preserve"> </w:t>
      </w:r>
    </w:p>
    <w:p w14:paraId="66016BA4">
      <w:pPr>
        <w:numPr>
          <w:ilvl w:val="0"/>
          <w:numId w:val="4"/>
        </w:numPr>
        <w:tabs>
          <w:tab w:val="left" w:pos="567"/>
        </w:tabs>
        <w:spacing w:line="360" w:lineRule="auto"/>
        <w:rPr>
          <w:rFonts w:ascii="宋体"/>
          <w:sz w:val="22"/>
          <w:szCs w:val="22"/>
        </w:rPr>
      </w:pPr>
      <w:r>
        <w:rPr>
          <w:rFonts w:hint="eastAsia" w:ascii="宋体" w:hAnsi="宋体" w:cs="宋体"/>
          <w:sz w:val="22"/>
          <w:szCs w:val="22"/>
        </w:rPr>
        <w:t>要求投标人对投标文件有关事项作出澄清或者说明；</w:t>
      </w:r>
      <w:r>
        <w:rPr>
          <w:rFonts w:ascii="宋体" w:hAnsi="宋体" w:cs="宋体"/>
          <w:sz w:val="22"/>
          <w:szCs w:val="22"/>
        </w:rPr>
        <w:t xml:space="preserve"> </w:t>
      </w:r>
    </w:p>
    <w:p w14:paraId="2A22A178">
      <w:pPr>
        <w:tabs>
          <w:tab w:val="left" w:pos="567"/>
        </w:tabs>
        <w:spacing w:line="360" w:lineRule="auto"/>
        <w:ind w:firstLine="440" w:firstLineChars="200"/>
        <w:rPr>
          <w:rFonts w:ascii="宋体"/>
          <w:sz w:val="22"/>
          <w:szCs w:val="22"/>
        </w:rPr>
      </w:pPr>
      <w:r>
        <w:rPr>
          <w:rFonts w:hint="eastAsia" w:ascii="宋体" w:hAnsi="宋体" w:cs="宋体"/>
          <w:sz w:val="22"/>
          <w:szCs w:val="22"/>
        </w:rPr>
        <w:t>（三）对投标文件进行比较和评价；</w:t>
      </w:r>
      <w:r>
        <w:rPr>
          <w:rFonts w:ascii="宋体" w:hAnsi="宋体" w:cs="宋体"/>
          <w:sz w:val="22"/>
          <w:szCs w:val="22"/>
        </w:rPr>
        <w:t xml:space="preserve"> </w:t>
      </w:r>
    </w:p>
    <w:p w14:paraId="31999D91">
      <w:pPr>
        <w:tabs>
          <w:tab w:val="left" w:pos="567"/>
        </w:tabs>
        <w:spacing w:line="360" w:lineRule="auto"/>
        <w:ind w:firstLine="440" w:firstLineChars="200"/>
        <w:rPr>
          <w:rFonts w:ascii="宋体"/>
          <w:sz w:val="22"/>
          <w:szCs w:val="22"/>
        </w:rPr>
      </w:pPr>
      <w:r>
        <w:rPr>
          <w:rFonts w:hint="eastAsia" w:ascii="宋体" w:hAnsi="宋体" w:cs="宋体"/>
          <w:sz w:val="22"/>
          <w:szCs w:val="22"/>
        </w:rPr>
        <w:t>（四）确定中标候选人名单，以及根据采购人委托直接确定中标人；</w:t>
      </w:r>
      <w:r>
        <w:rPr>
          <w:rFonts w:ascii="宋体" w:hAnsi="宋体" w:cs="宋体"/>
          <w:sz w:val="22"/>
          <w:szCs w:val="22"/>
        </w:rPr>
        <w:t xml:space="preserve"> </w:t>
      </w:r>
    </w:p>
    <w:p w14:paraId="21AF0AC1">
      <w:pPr>
        <w:tabs>
          <w:tab w:val="left" w:pos="567"/>
        </w:tabs>
        <w:spacing w:line="360" w:lineRule="auto"/>
        <w:ind w:firstLine="440" w:firstLineChars="200"/>
        <w:rPr>
          <w:rFonts w:ascii="宋体"/>
          <w:sz w:val="22"/>
          <w:szCs w:val="22"/>
        </w:rPr>
      </w:pPr>
      <w:r>
        <w:rPr>
          <w:rFonts w:hint="eastAsia" w:ascii="宋体" w:hAnsi="宋体" w:cs="宋体"/>
          <w:sz w:val="22"/>
          <w:szCs w:val="22"/>
        </w:rPr>
        <w:t>（五）向采购人、采购代理机构或者有关部门报告评标中发现的违法行为。</w:t>
      </w:r>
    </w:p>
    <w:p w14:paraId="7968C593">
      <w:pPr>
        <w:numPr>
          <w:ilvl w:val="1"/>
          <w:numId w:val="3"/>
        </w:numPr>
        <w:tabs>
          <w:tab w:val="left" w:pos="425"/>
        </w:tabs>
        <w:spacing w:line="360" w:lineRule="auto"/>
        <w:rPr>
          <w:rFonts w:ascii="宋体"/>
          <w:b/>
          <w:bCs/>
          <w:sz w:val="22"/>
          <w:szCs w:val="22"/>
        </w:rPr>
      </w:pPr>
      <w:r>
        <w:rPr>
          <w:rFonts w:ascii="宋体" w:hAnsi="宋体" w:cs="宋体"/>
          <w:sz w:val="22"/>
          <w:szCs w:val="22"/>
        </w:rPr>
        <w:t xml:space="preserve"> </w:t>
      </w:r>
      <w:r>
        <w:rPr>
          <w:rFonts w:hint="eastAsia" w:ascii="宋体" w:hAnsi="宋体" w:cs="宋体"/>
          <w:sz w:val="22"/>
          <w:szCs w:val="22"/>
        </w:rPr>
        <w:t>评标委员会成员与投标人存在利害关系的，应当回避。</w:t>
      </w:r>
    </w:p>
    <w:p w14:paraId="64334165">
      <w:pPr>
        <w:numPr>
          <w:ilvl w:val="1"/>
          <w:numId w:val="3"/>
        </w:numPr>
        <w:spacing w:line="360" w:lineRule="auto"/>
        <w:rPr>
          <w:rFonts w:ascii="宋体"/>
          <w:b/>
          <w:bCs/>
          <w:sz w:val="22"/>
          <w:szCs w:val="22"/>
        </w:rPr>
      </w:pPr>
      <w:r>
        <w:rPr>
          <w:rFonts w:hint="eastAsia" w:ascii="宋体" w:hAnsi="宋体" w:cs="宋体"/>
          <w:sz w:val="22"/>
          <w:szCs w:val="22"/>
        </w:rPr>
        <w:t>评标委员会应当对符合资格的投标人的投标文件进行符合性审查，以确定其是否满足招标文件的实质性要求。</w:t>
      </w:r>
    </w:p>
    <w:p w14:paraId="2FB17C90">
      <w:pPr>
        <w:numPr>
          <w:ilvl w:val="1"/>
          <w:numId w:val="3"/>
        </w:numPr>
        <w:spacing w:line="360" w:lineRule="auto"/>
        <w:rPr>
          <w:rFonts w:ascii="宋体"/>
          <w:b/>
          <w:bCs/>
          <w:sz w:val="22"/>
          <w:szCs w:val="22"/>
        </w:rPr>
      </w:pPr>
      <w:r>
        <w:rPr>
          <w:rFonts w:hint="eastAsia" w:ascii="宋体" w:hAnsi="宋体" w:cs="宋体"/>
          <w:sz w:val="22"/>
          <w:szCs w:val="22"/>
        </w:rPr>
        <w:t>评标委员会应当按照招标文件中规定的评标方法和标准，对符合性审查合格的投标文件进行商务和技术评估，综合比较与评价。</w:t>
      </w:r>
    </w:p>
    <w:p w14:paraId="30AF290C">
      <w:pPr>
        <w:numPr>
          <w:ilvl w:val="1"/>
          <w:numId w:val="3"/>
        </w:numPr>
        <w:spacing w:line="360" w:lineRule="auto"/>
        <w:rPr>
          <w:rFonts w:ascii="宋体"/>
          <w:sz w:val="22"/>
          <w:szCs w:val="22"/>
        </w:rPr>
      </w:pPr>
      <w:r>
        <w:rPr>
          <w:rFonts w:hint="eastAsia" w:ascii="宋体" w:hAnsi="宋体" w:cs="宋体"/>
          <w:sz w:val="22"/>
          <w:szCs w:val="22"/>
        </w:rPr>
        <w:t>评委会应以科学、公正的态度参加评审工作并推荐中标候选人。评审专家在评审过程中不受任何干扰，独立、负责地提出评审意见，并对自己的评审意见承担责任。</w:t>
      </w:r>
    </w:p>
    <w:p w14:paraId="135E3467">
      <w:pPr>
        <w:numPr>
          <w:ilvl w:val="1"/>
          <w:numId w:val="3"/>
        </w:numPr>
        <w:spacing w:line="360" w:lineRule="auto"/>
        <w:rPr>
          <w:rFonts w:ascii="宋体"/>
          <w:sz w:val="22"/>
          <w:szCs w:val="22"/>
        </w:rPr>
      </w:pPr>
      <w:r>
        <w:rPr>
          <w:rFonts w:hint="eastAsia" w:ascii="宋体" w:hAnsi="宋体" w:cs="宋体"/>
          <w:sz w:val="22"/>
          <w:szCs w:val="22"/>
        </w:rPr>
        <w:t>评委会将对投标人的商业、技术秘密予以保密。</w:t>
      </w:r>
    </w:p>
    <w:p w14:paraId="478D3005">
      <w:pPr>
        <w:numPr>
          <w:ilvl w:val="1"/>
          <w:numId w:val="3"/>
        </w:numPr>
        <w:spacing w:line="360" w:lineRule="auto"/>
        <w:rPr>
          <w:rFonts w:ascii="宋体"/>
          <w:sz w:val="22"/>
          <w:szCs w:val="22"/>
        </w:rPr>
      </w:pPr>
      <w:r>
        <w:rPr>
          <w:rFonts w:hint="eastAsia" w:ascii="宋体" w:hAnsi="宋体" w:cs="宋体"/>
          <w:sz w:val="22"/>
          <w:szCs w:val="22"/>
        </w:rPr>
        <w:t>评标时，评标委员会各成员应当独立对每个投标人的投标文件进行评价，并汇总每个投标人的得分。</w:t>
      </w:r>
    </w:p>
    <w:p w14:paraId="6C0B4942">
      <w:pPr>
        <w:numPr>
          <w:ilvl w:val="1"/>
          <w:numId w:val="3"/>
        </w:numPr>
        <w:spacing w:line="360" w:lineRule="auto"/>
        <w:rPr>
          <w:rFonts w:ascii="宋体"/>
          <w:sz w:val="22"/>
          <w:szCs w:val="22"/>
        </w:rPr>
      </w:pPr>
      <w:r>
        <w:rPr>
          <w:rFonts w:hint="eastAsia" w:ascii="宋体" w:hAnsi="宋体" w:cs="宋体"/>
          <w:sz w:val="22"/>
          <w:szCs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7AE652">
      <w:pPr>
        <w:numPr>
          <w:ilvl w:val="1"/>
          <w:numId w:val="3"/>
        </w:numPr>
        <w:spacing w:line="360" w:lineRule="auto"/>
        <w:rPr>
          <w:rFonts w:ascii="宋体"/>
          <w:sz w:val="22"/>
          <w:szCs w:val="22"/>
        </w:rPr>
      </w:pPr>
      <w:r>
        <w:rPr>
          <w:rFonts w:hint="eastAsia" w:ascii="宋体" w:hAnsi="宋体" w:cs="宋体"/>
          <w:sz w:val="22"/>
          <w:szCs w:val="22"/>
        </w:rPr>
        <w:t>评标结果汇总完成后，除下列情形外，任何人不得修改评标结果：</w:t>
      </w:r>
      <w:r>
        <w:rPr>
          <w:rFonts w:ascii="宋体" w:hAnsi="宋体" w:cs="宋体"/>
          <w:sz w:val="22"/>
          <w:szCs w:val="22"/>
        </w:rPr>
        <w:t xml:space="preserve"> </w:t>
      </w:r>
    </w:p>
    <w:p w14:paraId="15B9A144">
      <w:pPr>
        <w:numPr>
          <w:ilvl w:val="0"/>
          <w:numId w:val="5"/>
        </w:numPr>
        <w:tabs>
          <w:tab w:val="left" w:pos="567"/>
        </w:tabs>
        <w:spacing w:line="360" w:lineRule="auto"/>
        <w:rPr>
          <w:rFonts w:ascii="宋体"/>
          <w:sz w:val="22"/>
          <w:szCs w:val="22"/>
        </w:rPr>
      </w:pPr>
      <w:r>
        <w:rPr>
          <w:rFonts w:hint="eastAsia" w:ascii="宋体" w:hAnsi="宋体" w:cs="宋体"/>
          <w:sz w:val="22"/>
          <w:szCs w:val="22"/>
        </w:rPr>
        <w:t>分值汇总计算错误的；</w:t>
      </w:r>
    </w:p>
    <w:p w14:paraId="40B2BDDB">
      <w:pPr>
        <w:numPr>
          <w:ilvl w:val="0"/>
          <w:numId w:val="5"/>
        </w:numPr>
        <w:tabs>
          <w:tab w:val="left" w:pos="567"/>
        </w:tabs>
        <w:spacing w:line="360" w:lineRule="auto"/>
        <w:rPr>
          <w:rFonts w:ascii="宋体"/>
          <w:sz w:val="22"/>
          <w:szCs w:val="22"/>
        </w:rPr>
      </w:pPr>
      <w:r>
        <w:rPr>
          <w:rFonts w:hint="eastAsia" w:ascii="宋体" w:hAnsi="宋体" w:cs="宋体"/>
          <w:sz w:val="22"/>
          <w:szCs w:val="22"/>
        </w:rPr>
        <w:t>分项评分超出评分标准范围的；</w:t>
      </w:r>
    </w:p>
    <w:p w14:paraId="27585D27">
      <w:pPr>
        <w:numPr>
          <w:ilvl w:val="0"/>
          <w:numId w:val="5"/>
        </w:numPr>
        <w:tabs>
          <w:tab w:val="left" w:pos="567"/>
        </w:tabs>
        <w:spacing w:line="360" w:lineRule="auto"/>
        <w:rPr>
          <w:rFonts w:ascii="宋体"/>
          <w:sz w:val="22"/>
          <w:szCs w:val="22"/>
        </w:rPr>
      </w:pPr>
      <w:r>
        <w:rPr>
          <w:rFonts w:hint="eastAsia" w:ascii="宋体" w:hAnsi="宋体" w:cs="宋体"/>
          <w:sz w:val="22"/>
          <w:szCs w:val="22"/>
        </w:rPr>
        <w:t>评标委员会成员对客观评审因素评分不一致的；</w:t>
      </w:r>
    </w:p>
    <w:p w14:paraId="455C62DE">
      <w:pPr>
        <w:numPr>
          <w:ilvl w:val="0"/>
          <w:numId w:val="5"/>
        </w:numPr>
        <w:tabs>
          <w:tab w:val="left" w:pos="567"/>
        </w:tabs>
        <w:spacing w:line="360" w:lineRule="auto"/>
        <w:rPr>
          <w:rFonts w:ascii="宋体"/>
          <w:sz w:val="22"/>
          <w:szCs w:val="22"/>
        </w:rPr>
      </w:pPr>
      <w:r>
        <w:rPr>
          <w:rFonts w:hint="eastAsia" w:ascii="宋体" w:hAnsi="宋体" w:cs="宋体"/>
          <w:sz w:val="22"/>
          <w:szCs w:val="22"/>
        </w:rPr>
        <w:t>经评标委员会认定评分畸高、畸低的。</w:t>
      </w:r>
    </w:p>
    <w:p w14:paraId="6B868BB5">
      <w:pPr>
        <w:tabs>
          <w:tab w:val="left" w:pos="567"/>
        </w:tabs>
        <w:spacing w:line="360" w:lineRule="auto"/>
        <w:ind w:left="630"/>
        <w:rPr>
          <w:rFonts w:ascii="宋体"/>
          <w:sz w:val="22"/>
          <w:szCs w:val="22"/>
        </w:rPr>
      </w:pPr>
      <w:r>
        <w:rPr>
          <w:rFonts w:hint="eastAsia" w:ascii="宋体" w:hAnsi="宋体" w:cs="宋体"/>
          <w:sz w:val="22"/>
          <w:szCs w:val="2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22D2F40">
      <w:pPr>
        <w:tabs>
          <w:tab w:val="left" w:pos="567"/>
        </w:tabs>
        <w:spacing w:line="360" w:lineRule="auto"/>
        <w:ind w:left="630"/>
        <w:rPr>
          <w:rFonts w:ascii="宋体"/>
          <w:sz w:val="22"/>
          <w:szCs w:val="22"/>
        </w:rPr>
      </w:pPr>
      <w:r>
        <w:rPr>
          <w:rFonts w:hint="eastAsia" w:ascii="宋体" w:hAnsi="宋体" w:cs="宋体"/>
          <w:sz w:val="22"/>
          <w:szCs w:val="22"/>
        </w:rPr>
        <w:t>投标人对本条第一款情形提出质疑的，采购人或者采购代理机构可以组织原评标委员会进行重新评审，重新评审改变评标结果的，应当书面报告本级财政部门。</w:t>
      </w:r>
      <w:r>
        <w:rPr>
          <w:rFonts w:ascii="宋体" w:hAnsi="宋体" w:cs="宋体"/>
          <w:sz w:val="22"/>
          <w:szCs w:val="22"/>
        </w:rPr>
        <w:t xml:space="preserve"> </w:t>
      </w:r>
    </w:p>
    <w:p w14:paraId="1BBE5504">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评标过程的保密与公正</w:t>
      </w:r>
    </w:p>
    <w:p w14:paraId="6778189D">
      <w:pPr>
        <w:numPr>
          <w:ilvl w:val="1"/>
          <w:numId w:val="3"/>
        </w:numPr>
        <w:spacing w:line="360" w:lineRule="auto"/>
        <w:rPr>
          <w:rFonts w:ascii="宋体"/>
          <w:sz w:val="22"/>
          <w:szCs w:val="22"/>
        </w:rPr>
      </w:pPr>
      <w:r>
        <w:rPr>
          <w:rFonts w:hint="eastAsia" w:ascii="宋体" w:hAnsi="宋体" w:cs="宋体"/>
          <w:sz w:val="22"/>
          <w:szCs w:val="22"/>
        </w:rPr>
        <w:t>公开开标后，直至向中标的投标人授予合同时止，凡是与审查、澄清、评价和比较投标的有关资料以及授标建议等，均不得向投标或与评标无关的其他人员透露。</w:t>
      </w:r>
    </w:p>
    <w:p w14:paraId="02645214">
      <w:pPr>
        <w:numPr>
          <w:ilvl w:val="1"/>
          <w:numId w:val="3"/>
        </w:numPr>
        <w:spacing w:line="360" w:lineRule="auto"/>
        <w:rPr>
          <w:rFonts w:ascii="宋体"/>
          <w:sz w:val="22"/>
          <w:szCs w:val="22"/>
        </w:rPr>
      </w:pPr>
      <w:r>
        <w:rPr>
          <w:rFonts w:hint="eastAsia" w:ascii="宋体" w:hAnsi="宋体" w:cs="宋体"/>
          <w:sz w:val="22"/>
          <w:szCs w:val="22"/>
        </w:rPr>
        <w:t>评标委员会成员名单在评标结果公告前应当保密。</w:t>
      </w:r>
    </w:p>
    <w:p w14:paraId="59987362">
      <w:pPr>
        <w:numPr>
          <w:ilvl w:val="1"/>
          <w:numId w:val="3"/>
        </w:numPr>
        <w:spacing w:line="360" w:lineRule="auto"/>
        <w:rPr>
          <w:rFonts w:ascii="宋体"/>
          <w:sz w:val="22"/>
          <w:szCs w:val="22"/>
        </w:rPr>
      </w:pPr>
      <w:r>
        <w:rPr>
          <w:rFonts w:hint="eastAsia" w:ascii="宋体" w:hAnsi="宋体" w:cs="宋体"/>
          <w:sz w:val="22"/>
          <w:szCs w:val="22"/>
        </w:rPr>
        <w:t>陇南市公共资源交易中心保证评标在严格保密的情况下进行。除采购人代表、评标现场组织人员外，采购人的其他工作人员以及与评标工作无关的人员不得进入评标现场。</w:t>
      </w:r>
    </w:p>
    <w:p w14:paraId="4B95D614">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投标文件的澄清</w:t>
      </w:r>
    </w:p>
    <w:p w14:paraId="4527EDD1">
      <w:pPr>
        <w:numPr>
          <w:ilvl w:val="1"/>
          <w:numId w:val="3"/>
        </w:numPr>
        <w:spacing w:line="360" w:lineRule="auto"/>
        <w:rPr>
          <w:rFonts w:ascii="宋体"/>
          <w:sz w:val="22"/>
          <w:szCs w:val="22"/>
        </w:rPr>
      </w:pPr>
      <w:r>
        <w:rPr>
          <w:rFonts w:hint="eastAsia" w:ascii="宋体" w:hAnsi="宋体" w:cs="宋体"/>
          <w:sz w:val="22"/>
          <w:szCs w:val="22"/>
        </w:rPr>
        <w:t>对于投标文件中含义不明确、同类问题表述不一致或者有明显文字和计算错误的内容，评标委员会应当以书面形式要求投标人作出必要的澄清、说明或者补正。</w:t>
      </w:r>
      <w:r>
        <w:rPr>
          <w:rFonts w:ascii="宋体" w:hAnsi="宋体" w:cs="宋体"/>
          <w:sz w:val="22"/>
          <w:szCs w:val="22"/>
        </w:rPr>
        <w:t xml:space="preserve"> </w:t>
      </w:r>
    </w:p>
    <w:p w14:paraId="390602CC">
      <w:pPr>
        <w:numPr>
          <w:ilvl w:val="1"/>
          <w:numId w:val="3"/>
        </w:numPr>
        <w:spacing w:line="360" w:lineRule="auto"/>
        <w:rPr>
          <w:rFonts w:ascii="宋体"/>
          <w:b/>
          <w:bCs/>
          <w:sz w:val="22"/>
          <w:szCs w:val="22"/>
        </w:rPr>
      </w:pPr>
      <w:r>
        <w:rPr>
          <w:rFonts w:hint="eastAsia" w:ascii="宋体" w:hAnsi="宋体" w:cs="宋体"/>
          <w:sz w:val="22"/>
          <w:szCs w:val="22"/>
        </w:rPr>
        <w:t>投标人的澄清、说明或者补正应当采用书面形式，并加盖公章，或者由法定代表人或其授权的代表签字。投标人的澄清、说明或者补正不得超出投标文件的范围或者改变投标文件的实质性内容。</w:t>
      </w:r>
      <w:r>
        <w:rPr>
          <w:rFonts w:ascii="宋体" w:hAnsi="宋体" w:cs="宋体"/>
          <w:b/>
          <w:bCs/>
          <w:sz w:val="22"/>
          <w:szCs w:val="22"/>
        </w:rPr>
        <w:t xml:space="preserve"> </w:t>
      </w:r>
    </w:p>
    <w:p w14:paraId="46745A69">
      <w:pPr>
        <w:numPr>
          <w:ilvl w:val="1"/>
          <w:numId w:val="3"/>
        </w:numPr>
        <w:spacing w:line="360" w:lineRule="auto"/>
        <w:rPr>
          <w:rFonts w:ascii="宋体"/>
          <w:sz w:val="22"/>
          <w:szCs w:val="22"/>
        </w:rPr>
      </w:pPr>
      <w:r>
        <w:rPr>
          <w:rFonts w:hint="eastAsia" w:ascii="宋体" w:hAnsi="宋体" w:cs="宋体"/>
          <w:sz w:val="22"/>
          <w:szCs w:val="22"/>
        </w:rPr>
        <w:t>接到评委会澄清要求的投标人应派人按评委会通知的时间和地点做出书面澄清，书面澄清的内容须由投标法定代表人或授权代表签署，并作为投标文件的补充部分，但投标的价格和实质性的内容不得做任何更改。</w:t>
      </w:r>
    </w:p>
    <w:p w14:paraId="1A2C4E7F">
      <w:pPr>
        <w:numPr>
          <w:ilvl w:val="1"/>
          <w:numId w:val="3"/>
        </w:numPr>
        <w:spacing w:line="360" w:lineRule="auto"/>
        <w:rPr>
          <w:rFonts w:ascii="宋体"/>
          <w:sz w:val="22"/>
          <w:szCs w:val="22"/>
        </w:rPr>
      </w:pPr>
      <w:r>
        <w:rPr>
          <w:rFonts w:hint="eastAsia" w:ascii="宋体" w:hAnsi="宋体" w:cs="宋体"/>
          <w:sz w:val="22"/>
          <w:szCs w:val="22"/>
        </w:rPr>
        <w:t>接到评委会澄清要求的投标人如未按规定做出澄清，视为自动放弃，由投标人自行承担相关责任。</w:t>
      </w:r>
    </w:p>
    <w:p w14:paraId="459D9B24">
      <w:pPr>
        <w:numPr>
          <w:ilvl w:val="0"/>
          <w:numId w:val="3"/>
        </w:numPr>
        <w:tabs>
          <w:tab w:val="left" w:pos="567"/>
          <w:tab w:val="clear" w:pos="425"/>
        </w:tabs>
        <w:spacing w:line="360" w:lineRule="auto"/>
        <w:rPr>
          <w:rFonts w:ascii="宋体"/>
          <w:sz w:val="22"/>
          <w:szCs w:val="22"/>
        </w:rPr>
      </w:pPr>
      <w:r>
        <w:rPr>
          <w:rFonts w:hint="eastAsia" w:ascii="宋体" w:hAnsi="宋体" w:cs="宋体"/>
          <w:b/>
          <w:bCs/>
          <w:sz w:val="24"/>
          <w:szCs w:val="24"/>
        </w:rPr>
        <w:t>对投标文件的初审</w:t>
      </w:r>
    </w:p>
    <w:p w14:paraId="7F629379">
      <w:pPr>
        <w:numPr>
          <w:ilvl w:val="1"/>
          <w:numId w:val="3"/>
        </w:numPr>
        <w:spacing w:line="360" w:lineRule="auto"/>
        <w:rPr>
          <w:rFonts w:ascii="宋体"/>
          <w:sz w:val="22"/>
          <w:szCs w:val="22"/>
        </w:rPr>
      </w:pPr>
      <w:r>
        <w:rPr>
          <w:rFonts w:hint="eastAsia" w:ascii="宋体" w:hAnsi="宋体" w:cs="宋体"/>
          <w:sz w:val="22"/>
          <w:szCs w:val="22"/>
        </w:rPr>
        <w:t>投标文件初审分为资格性检查和符合性检查。</w:t>
      </w:r>
    </w:p>
    <w:p w14:paraId="7F3F81D6">
      <w:pPr>
        <w:numPr>
          <w:ilvl w:val="1"/>
          <w:numId w:val="3"/>
        </w:numPr>
        <w:spacing w:line="360" w:lineRule="auto"/>
        <w:rPr>
          <w:rFonts w:ascii="宋体"/>
          <w:sz w:val="22"/>
          <w:szCs w:val="22"/>
        </w:rPr>
      </w:pPr>
      <w:r>
        <w:rPr>
          <w:rFonts w:hint="eastAsia" w:ascii="宋体" w:hAnsi="宋体" w:cs="宋体"/>
          <w:sz w:val="22"/>
          <w:szCs w:val="22"/>
        </w:rPr>
        <w:t>资格性检查：依据法律法规和招标文件的规定，</w:t>
      </w:r>
      <w:r>
        <w:rPr>
          <w:rFonts w:hint="eastAsia" w:ascii="宋体" w:hAnsi="宋体" w:cs="宋体"/>
          <w:sz w:val="22"/>
          <w:szCs w:val="22"/>
          <w:lang w:val="zh-CN"/>
        </w:rPr>
        <w:t>在开标结束后，受采购人委托由评标委员会对投标人的</w:t>
      </w:r>
      <w:r>
        <w:rPr>
          <w:rFonts w:hint="eastAsia" w:ascii="宋体" w:hAnsi="宋体" w:cs="宋体"/>
          <w:sz w:val="22"/>
          <w:szCs w:val="22"/>
        </w:rPr>
        <w:t>资格条件</w:t>
      </w:r>
      <w:r>
        <w:rPr>
          <w:rFonts w:hint="eastAsia" w:ascii="宋体" w:hAnsi="宋体" w:cs="宋体"/>
          <w:sz w:val="22"/>
          <w:szCs w:val="22"/>
          <w:lang w:val="zh-CN"/>
        </w:rPr>
        <w:t>进行审查。供应商按招标文件的规定和要求提供所有的资格证明文件，并在必要时提供原件备查</w:t>
      </w:r>
      <w:r>
        <w:rPr>
          <w:rFonts w:hint="eastAsia" w:ascii="宋体" w:hAnsi="宋体" w:cs="宋体"/>
          <w:sz w:val="22"/>
          <w:szCs w:val="22"/>
        </w:rPr>
        <w:t>，以确定投标供应商是否具备投标资格。</w:t>
      </w:r>
      <w:r>
        <w:rPr>
          <w:rFonts w:hint="eastAsia" w:ascii="宋体" w:hAnsi="宋体" w:cs="宋体"/>
          <w:sz w:val="22"/>
          <w:szCs w:val="22"/>
          <w:lang w:val="zh-CN"/>
        </w:rPr>
        <w:t>若提供的资格证明文件不全或不实，将导致其投标或中标资格被取消。</w:t>
      </w:r>
    </w:p>
    <w:p w14:paraId="351130FC">
      <w:pPr>
        <w:numPr>
          <w:ilvl w:val="1"/>
          <w:numId w:val="3"/>
        </w:numPr>
        <w:spacing w:line="360" w:lineRule="auto"/>
        <w:rPr>
          <w:rFonts w:ascii="宋体"/>
          <w:sz w:val="22"/>
          <w:szCs w:val="22"/>
        </w:rPr>
      </w:pPr>
      <w:r>
        <w:rPr>
          <w:rFonts w:hint="eastAsia" w:ascii="宋体" w:hAnsi="宋体" w:cs="宋体"/>
          <w:sz w:val="22"/>
          <w:szCs w:val="22"/>
        </w:rPr>
        <w:t>符合性检查：依据招标文件的规定，从投标文件的有效性、完整性和对招标文件的响应程度进行审查。</w:t>
      </w:r>
    </w:p>
    <w:p w14:paraId="65C76BFE">
      <w:pPr>
        <w:numPr>
          <w:ilvl w:val="1"/>
          <w:numId w:val="3"/>
        </w:numPr>
        <w:spacing w:line="360" w:lineRule="auto"/>
        <w:rPr>
          <w:rFonts w:ascii="宋体"/>
          <w:sz w:val="22"/>
          <w:szCs w:val="22"/>
        </w:rPr>
      </w:pPr>
      <w:r>
        <w:rPr>
          <w:rFonts w:hint="eastAsia" w:ascii="宋体" w:hAnsi="宋体" w:cs="宋体"/>
          <w:sz w:val="22"/>
          <w:szCs w:val="22"/>
        </w:rPr>
        <w:t>所谓重大偏离或保留是指与招标文件规定的实质性要求存在负偏离，这些偏离或保留将会对其他实质性响应要求的投标人的竞争地位产生不公正的影响。重大偏离的认定需经过评委会三分之二及以上成员的认定。评委决定投标文件的响应性只根据投标文件本身的内容，而不寻求外部的证据。</w:t>
      </w:r>
    </w:p>
    <w:p w14:paraId="35031276">
      <w:pPr>
        <w:numPr>
          <w:ilvl w:val="1"/>
          <w:numId w:val="3"/>
        </w:numPr>
        <w:spacing w:line="360" w:lineRule="auto"/>
        <w:rPr>
          <w:rFonts w:ascii="宋体"/>
          <w:sz w:val="22"/>
          <w:szCs w:val="22"/>
        </w:rPr>
      </w:pPr>
      <w:r>
        <w:rPr>
          <w:rFonts w:hint="eastAsia" w:ascii="宋体" w:hAnsi="宋体" w:cs="宋体"/>
          <w:sz w:val="22"/>
          <w:szCs w:val="22"/>
        </w:rPr>
        <w:t>如果投标文件实质上没有响应招标文件的要求，评委会将予以拒绝，投标人不得通过修改或撤销不合要求的偏离或保留而使其投标成为实质性响应的投标。</w:t>
      </w:r>
    </w:p>
    <w:p w14:paraId="70A09F2C">
      <w:pPr>
        <w:numPr>
          <w:ilvl w:val="1"/>
          <w:numId w:val="3"/>
        </w:numPr>
        <w:spacing w:line="360" w:lineRule="auto"/>
        <w:rPr>
          <w:rFonts w:ascii="宋体"/>
          <w:sz w:val="22"/>
          <w:szCs w:val="22"/>
        </w:rPr>
      </w:pPr>
      <w:r>
        <w:rPr>
          <w:rFonts w:hint="eastAsia" w:ascii="宋体" w:hAnsi="宋体" w:cs="宋体"/>
          <w:sz w:val="22"/>
          <w:szCs w:val="22"/>
        </w:rPr>
        <w:t>评标时，当投标文件中开标一览表内容与分项明细报价表内容不一致时，以开标一览表为准。评委会有权要求投标人对分项报价作出修正，调整后的价格应对投标人具有约束力。如果投标人不接受修正后的价格，则其投标将被拒绝。</w:t>
      </w:r>
    </w:p>
    <w:p w14:paraId="56D62F51">
      <w:pPr>
        <w:numPr>
          <w:ilvl w:val="1"/>
          <w:numId w:val="3"/>
        </w:numPr>
        <w:spacing w:line="360" w:lineRule="auto"/>
        <w:rPr>
          <w:rFonts w:ascii="宋体"/>
          <w:b/>
          <w:bCs/>
          <w:sz w:val="22"/>
          <w:szCs w:val="22"/>
        </w:rPr>
      </w:pPr>
      <w:r>
        <w:rPr>
          <w:rFonts w:hint="eastAsia" w:ascii="宋体" w:hAnsi="宋体" w:cs="宋体"/>
          <w:sz w:val="22"/>
          <w:szCs w:val="22"/>
        </w:rPr>
        <w:t>评委会将允许修正投标文件中不构成重大偏离的、微小的、非正规的、不一致的或不规则的地方，但这些修改不能影响任何投标人相应的名次排列。</w:t>
      </w:r>
    </w:p>
    <w:p w14:paraId="3C78BE12">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定标</w:t>
      </w:r>
    </w:p>
    <w:p w14:paraId="1DCB1344">
      <w:pPr>
        <w:numPr>
          <w:ilvl w:val="1"/>
          <w:numId w:val="3"/>
        </w:numPr>
        <w:spacing w:line="360" w:lineRule="auto"/>
        <w:rPr>
          <w:rFonts w:hint="eastAsia" w:ascii="宋体" w:hAnsi="宋体" w:cs="宋体"/>
          <w:sz w:val="22"/>
          <w:szCs w:val="22"/>
        </w:rPr>
      </w:pPr>
      <w:r>
        <w:rPr>
          <w:rFonts w:hint="eastAsia" w:ascii="宋体" w:hAnsi="宋体" w:cs="宋体"/>
          <w:sz w:val="22"/>
          <w:szCs w:val="22"/>
        </w:rPr>
        <w:t>评标委员会根据本招标文件评审方法及评分标准，提出书面评标报告，向采购单位推荐中标候选人。</w:t>
      </w:r>
    </w:p>
    <w:p w14:paraId="4512814E">
      <w:pPr>
        <w:numPr>
          <w:ilvl w:val="1"/>
          <w:numId w:val="3"/>
        </w:numPr>
        <w:spacing w:line="360" w:lineRule="auto"/>
        <w:rPr>
          <w:rFonts w:hint="eastAsia" w:ascii="宋体" w:hAnsi="宋体" w:cs="宋体"/>
          <w:sz w:val="22"/>
          <w:szCs w:val="22"/>
        </w:rPr>
      </w:pPr>
      <w:r>
        <w:rPr>
          <w:rFonts w:hint="eastAsia" w:ascii="宋体" w:hAnsi="宋体" w:cs="宋体"/>
          <w:sz w:val="22"/>
          <w:szCs w:val="22"/>
        </w:rPr>
        <w:t>采购人确认中标单位。</w:t>
      </w:r>
    </w:p>
    <w:p w14:paraId="551AE4FE">
      <w:pPr>
        <w:numPr>
          <w:ilvl w:val="1"/>
          <w:numId w:val="3"/>
        </w:numPr>
        <w:spacing w:line="360" w:lineRule="auto"/>
        <w:rPr>
          <w:rFonts w:hint="eastAsia" w:ascii="宋体" w:hAnsi="宋体" w:cs="宋体"/>
          <w:sz w:val="22"/>
          <w:szCs w:val="22"/>
        </w:rPr>
      </w:pPr>
      <w:r>
        <w:rPr>
          <w:rFonts w:hint="eastAsia" w:ascii="宋体" w:hAnsi="宋体" w:cs="宋体"/>
          <w:sz w:val="22"/>
          <w:szCs w:val="22"/>
        </w:rPr>
        <w:t>采购人应当自收到评标报告之日起５个工作日内，在评标报告确定的中标候选人名单中按顺序确定中标人。</w:t>
      </w:r>
    </w:p>
    <w:p w14:paraId="10ED5C8A">
      <w:pPr>
        <w:numPr>
          <w:ilvl w:val="1"/>
          <w:numId w:val="3"/>
        </w:numPr>
        <w:spacing w:line="360" w:lineRule="auto"/>
        <w:rPr>
          <w:rFonts w:hint="eastAsia" w:ascii="宋体" w:hAnsi="宋体" w:cs="宋体"/>
          <w:sz w:val="22"/>
          <w:szCs w:val="22"/>
        </w:rPr>
      </w:pPr>
      <w:r>
        <w:rPr>
          <w:rFonts w:hint="eastAsia" w:ascii="宋体" w:hAnsi="宋体" w:cs="宋体"/>
          <w:sz w:val="22"/>
          <w:szCs w:val="22"/>
        </w:rPr>
        <w:t>采购人在收到评标报告5个工作日内未按评标报告推荐的中标候选人顺序确定中标人，又不能说明合法理由的，视同按评标报告推荐的顺序确定排名第一的中标候选人为中标人。</w:t>
      </w:r>
    </w:p>
    <w:p w14:paraId="23A6029B">
      <w:pPr>
        <w:numPr>
          <w:ilvl w:val="1"/>
          <w:numId w:val="3"/>
        </w:numPr>
        <w:spacing w:line="360" w:lineRule="auto"/>
        <w:rPr>
          <w:rFonts w:ascii="宋体"/>
          <w:sz w:val="22"/>
          <w:szCs w:val="22"/>
        </w:rPr>
      </w:pPr>
      <w:r>
        <w:rPr>
          <w:rFonts w:hint="eastAsia" w:ascii="宋体" w:hAnsi="宋体" w:cs="宋体"/>
          <w:sz w:val="22"/>
          <w:szCs w:val="22"/>
        </w:rPr>
        <w:t>由采购人和代理机构按要求将中标结果在公告发布媒体甘肃政府采购网、陇南市公共资源交易网上公告。</w:t>
      </w:r>
      <w:r>
        <w:rPr>
          <w:rFonts w:ascii="宋体" w:hAnsi="宋体" w:cs="宋体"/>
          <w:sz w:val="22"/>
          <w:szCs w:val="22"/>
        </w:rPr>
        <w:t xml:space="preserve"> </w:t>
      </w:r>
    </w:p>
    <w:p w14:paraId="395A20AF">
      <w:pPr>
        <w:pStyle w:val="5"/>
        <w:adjustRightInd/>
        <w:spacing w:before="0" w:after="0" w:line="360" w:lineRule="auto"/>
        <w:jc w:val="center"/>
        <w:textAlignment w:val="auto"/>
        <w:rPr>
          <w:rFonts w:ascii="宋体"/>
          <w:b w:val="0"/>
          <w:bCs w:val="0"/>
          <w:kern w:val="2"/>
          <w:sz w:val="32"/>
          <w:szCs w:val="32"/>
        </w:rPr>
      </w:pPr>
      <w:bookmarkStart w:id="41" w:name="_Toc24924"/>
      <w:r>
        <w:rPr>
          <w:rFonts w:hint="eastAsia" w:ascii="宋体" w:hAnsi="宋体" w:cs="宋体"/>
          <w:b w:val="0"/>
          <w:bCs w:val="0"/>
          <w:kern w:val="2"/>
          <w:sz w:val="32"/>
          <w:szCs w:val="32"/>
        </w:rPr>
        <w:t>六、澄清和质疑</w:t>
      </w:r>
      <w:bookmarkEnd w:id="41"/>
    </w:p>
    <w:p w14:paraId="4B2C9A24">
      <w:pPr>
        <w:numPr>
          <w:ilvl w:val="0"/>
          <w:numId w:val="3"/>
        </w:numPr>
        <w:adjustRightInd w:val="0"/>
        <w:snapToGrid w:val="0"/>
        <w:spacing w:beforeLines="50" w:line="360" w:lineRule="auto"/>
        <w:jc w:val="left"/>
        <w:rPr>
          <w:rFonts w:ascii="宋体"/>
          <w:sz w:val="22"/>
          <w:szCs w:val="22"/>
        </w:rPr>
      </w:pPr>
      <w:r>
        <w:rPr>
          <w:rFonts w:hint="eastAsia" w:ascii="宋体" w:hAnsi="宋体" w:cs="宋体"/>
          <w:b/>
          <w:bCs/>
          <w:sz w:val="22"/>
          <w:szCs w:val="22"/>
        </w:rPr>
        <w:t>综合说明</w:t>
      </w:r>
    </w:p>
    <w:p w14:paraId="0B0E1006">
      <w:pPr>
        <w:adjustRightInd w:val="0"/>
        <w:snapToGrid w:val="0"/>
        <w:spacing w:beforeLines="50" w:line="360" w:lineRule="auto"/>
        <w:jc w:val="left"/>
        <w:rPr>
          <w:rFonts w:ascii="宋体"/>
          <w:sz w:val="22"/>
          <w:szCs w:val="22"/>
        </w:rPr>
      </w:pPr>
      <w:r>
        <w:rPr>
          <w:rFonts w:ascii="宋体" w:hAnsi="宋体" w:cs="宋体"/>
          <w:b/>
          <w:bCs/>
          <w:sz w:val="22"/>
          <w:szCs w:val="22"/>
        </w:rPr>
        <w:t xml:space="preserve">   </w:t>
      </w:r>
      <w:r>
        <w:rPr>
          <w:rFonts w:ascii="宋体" w:hAnsi="宋体" w:cs="宋体"/>
          <w:sz w:val="22"/>
          <w:szCs w:val="22"/>
        </w:rPr>
        <w:t xml:space="preserve"> </w:t>
      </w:r>
      <w:r>
        <w:rPr>
          <w:rFonts w:hint="eastAsia" w:ascii="宋体" w:hAnsi="宋体" w:cs="宋体"/>
          <w:sz w:val="22"/>
          <w:szCs w:val="22"/>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质疑人提出质疑时，应当提交书面质疑书，质疑书的递交应当采取当面递交或邮寄的形式。</w:t>
      </w:r>
      <w:bookmarkStart w:id="42" w:name="_Toc2122"/>
      <w:bookmarkStart w:id="43" w:name="_Toc26337"/>
      <w:bookmarkStart w:id="44" w:name="_Toc239047320"/>
      <w:bookmarkStart w:id="45" w:name="_Toc21048"/>
      <w:r>
        <w:rPr>
          <w:rFonts w:hint="eastAsia" w:ascii="宋体" w:hAnsi="宋体" w:cs="宋体"/>
          <w:sz w:val="22"/>
          <w:szCs w:val="22"/>
        </w:rPr>
        <w:t>递交质疑的投标人和其他有关投标人在被告知、收到质疑答复或答疑书后，应立即向招标机构回函确认，未确认情况应当视为对质疑答复的知晓，也将视为对质疑答复内容接受的默认。若质疑事项影响投标人编制投标文件的，</w:t>
      </w:r>
      <w:r>
        <w:rPr>
          <w:rFonts w:hint="eastAsia" w:ascii="宋体" w:hAnsi="宋体" w:cs="宋体"/>
          <w:sz w:val="22"/>
          <w:szCs w:val="22"/>
          <w:lang w:eastAsia="zh-CN"/>
        </w:rPr>
        <w:t>采购代理机构</w:t>
      </w:r>
      <w:r>
        <w:rPr>
          <w:rFonts w:hint="eastAsia" w:ascii="宋体" w:hAnsi="宋体" w:cs="宋体"/>
          <w:sz w:val="22"/>
          <w:szCs w:val="22"/>
        </w:rPr>
        <w:t>将在甘肃政府采购网和陇南市公共资源交易网发布变更公告的形式告知参与本项目的投标供应商，根据相关规定可以酌情延长投标截止时间。</w:t>
      </w:r>
    </w:p>
    <w:bookmarkEnd w:id="42"/>
    <w:bookmarkEnd w:id="43"/>
    <w:bookmarkEnd w:id="44"/>
    <w:bookmarkEnd w:id="45"/>
    <w:p w14:paraId="265A1D85">
      <w:pPr>
        <w:numPr>
          <w:ilvl w:val="0"/>
          <w:numId w:val="3"/>
        </w:numPr>
        <w:adjustRightInd w:val="0"/>
        <w:snapToGrid w:val="0"/>
        <w:spacing w:beforeLines="50" w:line="360" w:lineRule="auto"/>
        <w:jc w:val="left"/>
        <w:rPr>
          <w:rFonts w:ascii="宋体"/>
          <w:sz w:val="22"/>
          <w:szCs w:val="22"/>
        </w:rPr>
      </w:pPr>
      <w:r>
        <w:rPr>
          <w:rFonts w:hint="eastAsia" w:ascii="宋体" w:hAnsi="宋体" w:cs="宋体"/>
          <w:b/>
          <w:bCs/>
          <w:spacing w:val="-3"/>
          <w:sz w:val="22"/>
          <w:szCs w:val="22"/>
        </w:rPr>
        <w:t>投标人质疑</w:t>
      </w:r>
    </w:p>
    <w:p w14:paraId="531159C4">
      <w:pPr>
        <w:spacing w:before="199" w:line="360" w:lineRule="auto"/>
        <w:ind w:right="11" w:firstLine="424" w:firstLineChars="200"/>
        <w:rPr>
          <w:rFonts w:ascii="宋体"/>
          <w:sz w:val="22"/>
          <w:szCs w:val="22"/>
        </w:rPr>
      </w:pPr>
      <w:r>
        <w:rPr>
          <w:rFonts w:ascii="宋体" w:hAnsi="宋体" w:cs="宋体"/>
          <w:spacing w:val="-4"/>
          <w:sz w:val="22"/>
          <w:szCs w:val="22"/>
        </w:rPr>
        <w:t>28</w:t>
      </w:r>
      <w:r>
        <w:rPr>
          <w:rFonts w:ascii="宋体" w:cs="宋体"/>
          <w:spacing w:val="-4"/>
          <w:sz w:val="22"/>
          <w:szCs w:val="22"/>
        </w:rPr>
        <w:t>.</w:t>
      </w:r>
      <w:r>
        <w:rPr>
          <w:rFonts w:ascii="宋体" w:hAnsi="宋体" w:cs="宋体"/>
          <w:spacing w:val="-4"/>
          <w:sz w:val="22"/>
          <w:szCs w:val="22"/>
        </w:rPr>
        <w:t>1</w:t>
      </w:r>
      <w:r>
        <w:rPr>
          <w:rFonts w:hint="eastAsia" w:ascii="宋体" w:hAnsi="宋体" w:cs="宋体"/>
          <w:sz w:val="22"/>
          <w:szCs w:val="22"/>
        </w:rPr>
        <w:t>投标人对政府采购活动事项有疑问的，可以向采购人或采购代理机构提出询问。采购人或采购代理机构将在</w:t>
      </w:r>
      <w:r>
        <w:rPr>
          <w:rFonts w:ascii="宋体" w:hAnsi="宋体" w:cs="宋体"/>
          <w:sz w:val="22"/>
          <w:szCs w:val="22"/>
        </w:rPr>
        <w:t>7</w:t>
      </w:r>
      <w:r>
        <w:rPr>
          <w:rFonts w:hint="eastAsia" w:ascii="宋体" w:hAnsi="宋体" w:cs="宋体"/>
          <w:sz w:val="22"/>
          <w:szCs w:val="22"/>
        </w:rPr>
        <w:t>个工作日内作出答复。</w:t>
      </w:r>
    </w:p>
    <w:p w14:paraId="02E0088D">
      <w:pPr>
        <w:spacing w:before="2" w:line="360" w:lineRule="auto"/>
        <w:ind w:right="11" w:firstLine="424" w:firstLineChars="200"/>
        <w:rPr>
          <w:rFonts w:ascii="宋体"/>
          <w:sz w:val="22"/>
          <w:szCs w:val="22"/>
        </w:rPr>
      </w:pPr>
      <w:r>
        <w:rPr>
          <w:rFonts w:ascii="宋体" w:hAnsi="宋体" w:cs="宋体"/>
          <w:spacing w:val="-4"/>
          <w:sz w:val="22"/>
          <w:szCs w:val="22"/>
        </w:rPr>
        <w:t>28.2</w:t>
      </w:r>
      <w:r>
        <w:rPr>
          <w:rFonts w:hint="eastAsia" w:ascii="宋体" w:hAnsi="宋体" w:cs="宋体"/>
          <w:spacing w:val="-4"/>
          <w:sz w:val="22"/>
          <w:szCs w:val="22"/>
        </w:rPr>
        <w:t>投标人若认为招标文件、采购过程和中标或成交结果使自己的权益受到损害，应当</w:t>
      </w:r>
      <w:r>
        <w:rPr>
          <w:rFonts w:hint="eastAsia" w:ascii="宋体" w:hAnsi="宋体" w:cs="宋体"/>
          <w:spacing w:val="-3"/>
          <w:sz w:val="22"/>
          <w:szCs w:val="22"/>
        </w:rPr>
        <w:t>在下列时间内以书面形式向采购人、采购代理机构提出。投标人在下列规定的质疑期内须一次性提出针对同一采购程序环节的质疑，采购人、采购代理机构不接收同一采购程序环节的</w:t>
      </w:r>
      <w:r>
        <w:rPr>
          <w:rFonts w:hint="eastAsia" w:ascii="宋体" w:hAnsi="宋体" w:cs="宋体"/>
          <w:spacing w:val="-2"/>
          <w:sz w:val="22"/>
          <w:szCs w:val="22"/>
        </w:rPr>
        <w:t>二次质疑：</w:t>
      </w:r>
    </w:p>
    <w:p w14:paraId="68490B4D">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关于招标文件的质疑，应从招标文件发出之日起七个工作日内提出。</w:t>
      </w:r>
    </w:p>
    <w:p w14:paraId="2D66C08E">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关于采购过程的质疑，应在采购程序环节结束之日起七个工作日内提出。</w:t>
      </w:r>
    </w:p>
    <w:p w14:paraId="71296216">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关于中标结果的质疑，应在中标结果信息发布后七个工作日内提出。</w:t>
      </w:r>
    </w:p>
    <w:p w14:paraId="3163125C">
      <w:pPr>
        <w:spacing w:before="199"/>
        <w:ind w:right="11" w:firstLine="440" w:firstLineChars="200"/>
        <w:rPr>
          <w:rFonts w:ascii="宋体"/>
          <w:sz w:val="22"/>
          <w:szCs w:val="22"/>
        </w:rPr>
      </w:pPr>
      <w:r>
        <w:rPr>
          <w:rFonts w:ascii="宋体" w:hAnsi="宋体" w:cs="宋体"/>
          <w:sz w:val="22"/>
          <w:szCs w:val="22"/>
        </w:rPr>
        <w:t>28.3</w:t>
      </w:r>
      <w:r>
        <w:rPr>
          <w:rFonts w:hint="eastAsia" w:ascii="宋体" w:hAnsi="宋体" w:cs="宋体"/>
          <w:sz w:val="22"/>
          <w:szCs w:val="22"/>
        </w:rPr>
        <w:t>投标人提出质疑的，应提供质疑书和必要的证明材料原件。</w:t>
      </w:r>
      <w:r>
        <w:rPr>
          <w:rFonts w:ascii="宋体" w:hAnsi="宋体" w:cs="宋体"/>
          <w:sz w:val="22"/>
          <w:szCs w:val="22"/>
        </w:rPr>
        <w:t xml:space="preserve">         </w:t>
      </w:r>
    </w:p>
    <w:p w14:paraId="612EB6B4">
      <w:pPr>
        <w:spacing w:before="199"/>
        <w:ind w:right="11" w:firstLine="440" w:firstLineChars="200"/>
        <w:rPr>
          <w:rFonts w:ascii="宋体"/>
          <w:sz w:val="22"/>
          <w:szCs w:val="22"/>
        </w:rPr>
      </w:pPr>
      <w:r>
        <w:rPr>
          <w:rFonts w:ascii="宋体" w:hAnsi="宋体" w:cs="宋体"/>
          <w:sz w:val="22"/>
          <w:szCs w:val="22"/>
        </w:rPr>
        <w:t>28.4</w:t>
      </w:r>
      <w:r>
        <w:rPr>
          <w:rFonts w:hint="eastAsia" w:ascii="宋体" w:hAnsi="宋体" w:cs="宋体"/>
          <w:sz w:val="22"/>
          <w:szCs w:val="22"/>
        </w:rPr>
        <w:t>质疑书应当包括下列内容：</w:t>
      </w:r>
    </w:p>
    <w:p w14:paraId="3625296E">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质疑供应商的姓名或名称、地址、邮编、联系人及有效联系电话；</w:t>
      </w:r>
    </w:p>
    <w:p w14:paraId="4A4A3199">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质疑项目的名称、编号；</w:t>
      </w:r>
    </w:p>
    <w:p w14:paraId="5BBEACE4">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具体、明确的质疑事项和与质疑事项相关的请求；</w:t>
      </w:r>
    </w:p>
    <w:p w14:paraId="64CCB5DF">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事实依据；</w:t>
      </w:r>
    </w:p>
    <w:p w14:paraId="62607B64">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5</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必要的法律依据；</w:t>
      </w:r>
    </w:p>
    <w:p w14:paraId="660B502D">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）提出质疑的日期。</w:t>
      </w:r>
      <w:r>
        <w:rPr>
          <w:rFonts w:ascii="宋体" w:hAnsi="宋体" w:cs="宋体"/>
          <w:sz w:val="22"/>
          <w:szCs w:val="22"/>
        </w:rPr>
        <w:t xml:space="preserve">                                                      </w:t>
      </w:r>
    </w:p>
    <w:p w14:paraId="56C723DE">
      <w:pPr>
        <w:spacing w:before="199" w:line="360" w:lineRule="auto"/>
        <w:ind w:right="24" w:firstLine="416" w:firstLineChars="200"/>
        <w:rPr>
          <w:rFonts w:ascii="宋体" w:hAnsi="宋体" w:cs="宋体"/>
          <w:spacing w:val="-1"/>
          <w:sz w:val="22"/>
          <w:szCs w:val="22"/>
        </w:rPr>
      </w:pPr>
      <w:r>
        <w:rPr>
          <w:rFonts w:ascii="宋体" w:hAnsi="宋体" w:cs="宋体"/>
          <w:spacing w:val="-1"/>
          <w:sz w:val="21"/>
          <w:szCs w:val="21"/>
        </w:rPr>
        <w:t>28.5</w:t>
      </w:r>
      <w:r>
        <w:rPr>
          <w:rFonts w:hint="eastAsia" w:ascii="宋体" w:hAnsi="宋体" w:eastAsia="宋体" w:cs="宋体"/>
          <w:b/>
          <w:bCs/>
          <w:color w:val="auto"/>
          <w:kern w:val="0"/>
          <w:sz w:val="24"/>
          <w:szCs w:val="24"/>
          <w:highlight w:val="none"/>
          <w:shd w:val="clear" w:color="auto" w:fill="auto"/>
          <w:lang w:val="en-US" w:eastAsia="zh-CN" w:bidi="ar-SA"/>
        </w:rPr>
        <w:t>对采购需求、评分标准的质疑，供应商直接向采购人提出，由采购人负责答复。</w:t>
      </w:r>
      <w:r>
        <w:rPr>
          <w:rFonts w:ascii="宋体" w:hAnsi="宋体" w:cs="宋体"/>
          <w:sz w:val="22"/>
          <w:szCs w:val="22"/>
        </w:rPr>
        <w:t xml:space="preserve">  </w:t>
      </w:r>
    </w:p>
    <w:p w14:paraId="00FE68C4">
      <w:pPr>
        <w:spacing w:before="199" w:line="360" w:lineRule="auto"/>
        <w:ind w:right="24" w:firstLine="436" w:firstLineChars="200"/>
        <w:rPr>
          <w:rFonts w:ascii="宋体"/>
          <w:sz w:val="22"/>
          <w:szCs w:val="22"/>
        </w:rPr>
      </w:pPr>
      <w:r>
        <w:rPr>
          <w:rFonts w:hint="eastAsia" w:ascii="宋体" w:hAnsi="宋体" w:cs="宋体"/>
          <w:spacing w:val="-1"/>
          <w:sz w:val="22"/>
          <w:szCs w:val="22"/>
          <w:lang w:val="en-US" w:eastAsia="zh-CN"/>
        </w:rPr>
        <w:t>28.6</w:t>
      </w:r>
      <w:r>
        <w:rPr>
          <w:rFonts w:hint="eastAsia" w:ascii="宋体" w:hAnsi="宋体" w:cs="宋体"/>
          <w:spacing w:val="-1"/>
          <w:sz w:val="22"/>
          <w:szCs w:val="22"/>
        </w:rPr>
        <w:t>质疑供应商可以委托进行质疑和投诉。其授权委托书应当载明代理人的姓名或名</w:t>
      </w:r>
      <w:r>
        <w:rPr>
          <w:rFonts w:hint="eastAsia" w:ascii="宋体" w:hAnsi="宋体" w:cs="宋体"/>
          <w:spacing w:val="-3"/>
          <w:sz w:val="22"/>
          <w:szCs w:val="22"/>
        </w:rPr>
        <w:t>称、代理事项、具体权限、期限和相关事项，并提交供应商签署的授权委托书。供应商为自</w:t>
      </w:r>
      <w:r>
        <w:rPr>
          <w:rFonts w:hint="eastAsia" w:ascii="宋体" w:hAnsi="宋体" w:cs="宋体"/>
          <w:spacing w:val="-6"/>
          <w:sz w:val="22"/>
          <w:szCs w:val="22"/>
        </w:rPr>
        <w:t>然人的，应当由本人签字；供应商为法人或其他组织的，应当由法定代表人、主要负责人签</w:t>
      </w:r>
      <w:r>
        <w:rPr>
          <w:rFonts w:ascii="宋体" w:hAnsi="宋体" w:cs="宋体"/>
          <w:sz w:val="22"/>
          <w:szCs w:val="22"/>
        </w:rPr>
        <w:t xml:space="preserve"> </w:t>
      </w:r>
      <w:r>
        <w:rPr>
          <w:rFonts w:hint="eastAsia" w:ascii="宋体" w:hAnsi="宋体" w:cs="宋体"/>
          <w:spacing w:val="-1"/>
          <w:sz w:val="22"/>
          <w:szCs w:val="22"/>
        </w:rPr>
        <w:t>字或盖章，并加盖公章。</w:t>
      </w:r>
    </w:p>
    <w:p w14:paraId="2B404948">
      <w:pPr>
        <w:spacing w:before="199" w:line="360" w:lineRule="auto"/>
        <w:ind w:firstLine="436" w:firstLineChars="200"/>
        <w:rPr>
          <w:rFonts w:ascii="宋体"/>
          <w:sz w:val="22"/>
          <w:szCs w:val="22"/>
        </w:rPr>
      </w:pPr>
      <w:r>
        <w:rPr>
          <w:rFonts w:ascii="宋体" w:hAnsi="宋体" w:cs="宋体"/>
          <w:spacing w:val="-1"/>
          <w:sz w:val="22"/>
          <w:szCs w:val="22"/>
        </w:rPr>
        <w:t>28.</w:t>
      </w:r>
      <w:r>
        <w:rPr>
          <w:rFonts w:hint="eastAsia" w:ascii="宋体" w:hAnsi="宋体" w:cs="宋体"/>
          <w:spacing w:val="-1"/>
          <w:sz w:val="22"/>
          <w:szCs w:val="22"/>
          <w:lang w:val="en-US" w:eastAsia="zh-CN"/>
        </w:rPr>
        <w:t>7</w:t>
      </w:r>
      <w:r>
        <w:rPr>
          <w:rFonts w:hint="eastAsia" w:ascii="宋体" w:hAnsi="宋体" w:cs="宋体"/>
          <w:spacing w:val="-1"/>
          <w:sz w:val="22"/>
          <w:szCs w:val="22"/>
        </w:rPr>
        <w:t>采购人或采购代理机构将在收到质疑函后七个工作日内作出答复，并以书面形式通知质疑供应商和其他有关的供应商。</w:t>
      </w:r>
    </w:p>
    <w:p w14:paraId="7A7C8CB0">
      <w:pPr>
        <w:spacing w:before="198" w:line="360" w:lineRule="auto"/>
        <w:ind w:firstLine="424" w:firstLineChars="200"/>
        <w:rPr>
          <w:rFonts w:ascii="宋体"/>
          <w:sz w:val="22"/>
          <w:szCs w:val="22"/>
        </w:rPr>
      </w:pPr>
      <w:r>
        <w:rPr>
          <w:rFonts w:ascii="宋体" w:hAnsi="宋体" w:cs="宋体"/>
          <w:spacing w:val="-4"/>
          <w:sz w:val="22"/>
          <w:szCs w:val="22"/>
        </w:rPr>
        <w:t>28.</w:t>
      </w:r>
      <w:r>
        <w:rPr>
          <w:rFonts w:hint="eastAsia" w:ascii="宋体" w:hAnsi="宋体" w:cs="宋体"/>
          <w:spacing w:val="-4"/>
          <w:sz w:val="22"/>
          <w:szCs w:val="22"/>
          <w:lang w:val="en-US" w:eastAsia="zh-CN"/>
        </w:rPr>
        <w:t>8</w:t>
      </w:r>
      <w:r>
        <w:rPr>
          <w:rFonts w:hint="eastAsia" w:ascii="宋体" w:hAnsi="宋体" w:cs="宋体"/>
          <w:spacing w:val="-4"/>
          <w:sz w:val="22"/>
          <w:szCs w:val="22"/>
        </w:rPr>
        <w:t>采购人、采购代理机构接收质疑函的联系人、联系电话及地址等信息同招标公告信</w:t>
      </w:r>
      <w:r>
        <w:rPr>
          <w:rFonts w:hint="eastAsia" w:ascii="宋体" w:hAnsi="宋体" w:cs="宋体"/>
          <w:spacing w:val="-5"/>
          <w:sz w:val="22"/>
          <w:szCs w:val="22"/>
        </w:rPr>
        <w:t>息一致。</w:t>
      </w:r>
    </w:p>
    <w:p w14:paraId="42291C79">
      <w:pPr>
        <w:spacing w:line="360" w:lineRule="auto"/>
        <w:rPr>
          <w:rFonts w:ascii="宋体"/>
          <w:b/>
          <w:bCs/>
          <w:sz w:val="22"/>
          <w:szCs w:val="22"/>
        </w:rPr>
      </w:pPr>
      <w:bookmarkStart w:id="46" w:name="_Toc2504"/>
      <w:bookmarkStart w:id="47" w:name="_Toc10940"/>
      <w:bookmarkStart w:id="48" w:name="_Toc17975"/>
      <w:bookmarkStart w:id="49" w:name="_Toc239047321"/>
      <w:r>
        <w:rPr>
          <w:rFonts w:ascii="宋体" w:hAnsi="宋体" w:cs="宋体"/>
          <w:b/>
          <w:bCs/>
          <w:sz w:val="22"/>
          <w:szCs w:val="22"/>
        </w:rPr>
        <w:t>31.</w:t>
      </w:r>
      <w:r>
        <w:rPr>
          <w:rFonts w:hint="eastAsia" w:ascii="宋体" w:hAnsi="宋体" w:cs="宋体"/>
          <w:b/>
          <w:bCs/>
          <w:sz w:val="22"/>
          <w:szCs w:val="22"/>
        </w:rPr>
        <w:t>澄清或质疑不予受理的情况</w:t>
      </w:r>
      <w:bookmarkEnd w:id="46"/>
      <w:bookmarkEnd w:id="47"/>
      <w:bookmarkEnd w:id="48"/>
      <w:bookmarkEnd w:id="49"/>
    </w:p>
    <w:p w14:paraId="48CF8A4D">
      <w:pPr>
        <w:spacing w:line="360" w:lineRule="auto"/>
        <w:rPr>
          <w:rFonts w:ascii="宋体"/>
          <w:sz w:val="22"/>
          <w:szCs w:val="22"/>
        </w:rPr>
      </w:pPr>
      <w:r>
        <w:rPr>
          <w:rFonts w:hint="eastAsia" w:ascii="宋体" w:hAnsi="宋体" w:cs="宋体"/>
          <w:sz w:val="22"/>
          <w:szCs w:val="22"/>
        </w:rPr>
        <w:t>有下列情形之一的，属于无效质疑，被质疑人不予受理，由此产生的影响由投标人自行承担：</w:t>
      </w:r>
    </w:p>
    <w:p w14:paraId="62B583E6">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一</w:t>
      </w:r>
      <w:r>
        <w:rPr>
          <w:rFonts w:ascii="宋体" w:hAnsi="宋体" w:cs="宋体"/>
          <w:sz w:val="22"/>
          <w:szCs w:val="22"/>
        </w:rPr>
        <w:t>)</w:t>
      </w:r>
      <w:r>
        <w:rPr>
          <w:rFonts w:hint="eastAsia" w:ascii="宋体" w:hAnsi="宋体" w:cs="宋体"/>
          <w:sz w:val="22"/>
          <w:szCs w:val="22"/>
        </w:rPr>
        <w:t>不是参与该政府采购项目活动供应商的；</w:t>
      </w:r>
    </w:p>
    <w:p w14:paraId="6A592B18">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二</w:t>
      </w:r>
      <w:r>
        <w:rPr>
          <w:rFonts w:ascii="宋体" w:hAnsi="宋体" w:cs="宋体"/>
          <w:sz w:val="22"/>
          <w:szCs w:val="22"/>
        </w:rPr>
        <w:t>)</w:t>
      </w:r>
      <w:r>
        <w:rPr>
          <w:rFonts w:hint="eastAsia" w:ascii="宋体" w:hAnsi="宋体" w:cs="宋体"/>
          <w:sz w:val="22"/>
          <w:szCs w:val="22"/>
        </w:rPr>
        <w:t>被质疑人为采购人或政府采购代理机构之外的；</w:t>
      </w:r>
    </w:p>
    <w:p w14:paraId="1CEEBE5A">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三</w:t>
      </w:r>
      <w:r>
        <w:rPr>
          <w:rFonts w:ascii="宋体" w:hAnsi="宋体" w:cs="宋体"/>
          <w:sz w:val="22"/>
          <w:szCs w:val="22"/>
        </w:rPr>
        <w:t>)</w:t>
      </w:r>
      <w:r>
        <w:rPr>
          <w:rFonts w:hint="eastAsia" w:ascii="宋体" w:hAnsi="宋体" w:cs="宋体"/>
          <w:sz w:val="22"/>
          <w:szCs w:val="22"/>
        </w:rPr>
        <w:t>所有质疑事项超过质疑有效期的；</w:t>
      </w:r>
    </w:p>
    <w:p w14:paraId="7298DC14">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四</w:t>
      </w:r>
      <w:r>
        <w:rPr>
          <w:rFonts w:ascii="宋体" w:hAnsi="宋体" w:cs="宋体"/>
          <w:sz w:val="22"/>
          <w:szCs w:val="22"/>
        </w:rPr>
        <w:t>)</w:t>
      </w:r>
      <w:r>
        <w:rPr>
          <w:rFonts w:hint="eastAsia" w:ascii="宋体" w:hAnsi="宋体" w:cs="宋体"/>
          <w:sz w:val="22"/>
          <w:szCs w:val="22"/>
        </w:rPr>
        <w:t>以具有法律效力的文书送达之外方式提出的；</w:t>
      </w:r>
    </w:p>
    <w:p w14:paraId="1BF63123">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五</w:t>
      </w:r>
      <w:r>
        <w:rPr>
          <w:rFonts w:ascii="宋体" w:hAnsi="宋体" w:cs="宋体"/>
          <w:sz w:val="22"/>
          <w:szCs w:val="22"/>
        </w:rPr>
        <w:t>)</w:t>
      </w:r>
      <w:r>
        <w:rPr>
          <w:rFonts w:hint="eastAsia" w:ascii="宋体" w:hAnsi="宋体" w:cs="宋体"/>
          <w:sz w:val="22"/>
          <w:szCs w:val="22"/>
        </w:rPr>
        <w:t>未按上述规定递交澄清或质疑函的；</w:t>
      </w:r>
    </w:p>
    <w:p w14:paraId="12FCB1CC">
      <w:pPr>
        <w:spacing w:line="360" w:lineRule="auto"/>
        <w:rPr>
          <w:rFonts w:hint="eastAsia" w:ascii="宋体" w:hAnsi="宋体" w:cs="宋体"/>
          <w:b/>
          <w:bCs/>
          <w:sz w:val="22"/>
          <w:szCs w:val="22"/>
        </w:rPr>
      </w:pPr>
      <w:r>
        <w:rPr>
          <w:rFonts w:ascii="宋体" w:hAnsi="宋体" w:cs="宋体"/>
          <w:b/>
          <w:bCs/>
          <w:sz w:val="22"/>
          <w:szCs w:val="22"/>
        </w:rPr>
        <w:t>32.</w:t>
      </w:r>
      <w:r>
        <w:rPr>
          <w:rFonts w:hint="eastAsia" w:ascii="宋体" w:hAnsi="宋体" w:cs="宋体"/>
          <w:b/>
          <w:bCs/>
          <w:sz w:val="22"/>
          <w:szCs w:val="22"/>
        </w:rPr>
        <w:t>澄清递交地点：</w:t>
      </w:r>
    </w:p>
    <w:p w14:paraId="12E23679">
      <w:pPr>
        <w:spacing w:line="360" w:lineRule="auto"/>
        <w:rPr>
          <w:rFonts w:hint="default" w:ascii="宋体" w:eastAsia="宋体"/>
          <w:sz w:val="22"/>
          <w:szCs w:val="22"/>
          <w:lang w:val="en-US" w:eastAsia="zh-CN"/>
        </w:rPr>
      </w:pPr>
      <w:r>
        <w:rPr>
          <w:rFonts w:hint="eastAsia" w:ascii="宋体" w:hAnsi="宋体" w:cs="宋体"/>
          <w:sz w:val="22"/>
          <w:szCs w:val="22"/>
          <w:lang w:val="en-US" w:eastAsia="zh-CN"/>
        </w:rPr>
        <w:t xml:space="preserve">    </w:t>
      </w:r>
      <w:r>
        <w:rPr>
          <w:rFonts w:ascii="宋体" w:hAnsi="宋体" w:eastAsia="宋体" w:cs="宋体"/>
          <w:b/>
          <w:bCs/>
          <w:color w:val="000000"/>
          <w:sz w:val="24"/>
          <w:szCs w:val="24"/>
        </w:rPr>
        <w:t>同</w:t>
      </w:r>
      <w:r>
        <w:rPr>
          <w:rFonts w:hint="eastAsia" w:ascii="宋体" w:hAnsi="宋体" w:eastAsia="宋体" w:cs="宋体"/>
          <w:b/>
          <w:bCs/>
          <w:color w:val="000000"/>
          <w:sz w:val="24"/>
          <w:szCs w:val="24"/>
          <w:lang w:val="en-US" w:eastAsia="zh-CN"/>
        </w:rPr>
        <w:t>前附表</w:t>
      </w:r>
      <w:r>
        <w:rPr>
          <w:rFonts w:ascii="宋体" w:hAnsi="宋体" w:eastAsia="宋体" w:cs="宋体"/>
          <w:b/>
          <w:bCs/>
          <w:color w:val="000000"/>
          <w:sz w:val="24"/>
          <w:szCs w:val="24"/>
        </w:rPr>
        <w:t>中的项目联系部门、联系人、联系电话、 通讯地址。</w:t>
      </w:r>
    </w:p>
    <w:p w14:paraId="608FECA9">
      <w:pPr>
        <w:numPr>
          <w:ilvl w:val="0"/>
          <w:numId w:val="6"/>
        </w:numPr>
        <w:spacing w:line="360" w:lineRule="auto"/>
        <w:rPr>
          <w:rFonts w:ascii="宋体"/>
          <w:sz w:val="22"/>
          <w:szCs w:val="22"/>
        </w:rPr>
      </w:pPr>
      <w:r>
        <w:rPr>
          <w:rFonts w:hint="eastAsia" w:ascii="宋体" w:hAnsi="宋体" w:cs="宋体"/>
          <w:sz w:val="22"/>
          <w:szCs w:val="22"/>
          <w:lang w:eastAsia="zh-CN"/>
        </w:rPr>
        <w:t>质疑函递交采购单位和代理机构受理，</w:t>
      </w:r>
      <w:r>
        <w:rPr>
          <w:rFonts w:hint="eastAsia" w:ascii="宋体" w:hAnsi="宋体" w:cs="宋体"/>
          <w:sz w:val="22"/>
          <w:szCs w:val="22"/>
        </w:rPr>
        <w:t>投标人对采购人或采购代理机构的答复不满意，或采购人或采购代理机构未在规定的期限作出答复的，可在答复期满后十五个工作日内，按政府采购相关法律法规规章的规定及程序，向同级财政部门提出投诉。</w:t>
      </w:r>
    </w:p>
    <w:p w14:paraId="19F67B53">
      <w:pPr>
        <w:numPr>
          <w:ilvl w:val="0"/>
          <w:numId w:val="6"/>
        </w:numPr>
        <w:spacing w:line="360" w:lineRule="auto"/>
        <w:rPr>
          <w:rFonts w:ascii="宋体"/>
          <w:sz w:val="22"/>
          <w:szCs w:val="22"/>
        </w:rPr>
      </w:pPr>
      <w:r>
        <w:rPr>
          <w:rFonts w:hint="eastAsia" w:ascii="宋体" w:hAnsi="宋体" w:cs="宋体"/>
          <w:sz w:val="22"/>
          <w:szCs w:val="22"/>
        </w:rPr>
        <w:t>中标通知书</w:t>
      </w:r>
    </w:p>
    <w:p w14:paraId="03E3011D">
      <w:pPr>
        <w:numPr>
          <w:ilvl w:val="1"/>
          <w:numId w:val="6"/>
        </w:numPr>
        <w:spacing w:line="360" w:lineRule="auto"/>
        <w:rPr>
          <w:rFonts w:hint="eastAsia" w:ascii="宋体" w:hAnsi="宋体" w:cs="宋体"/>
          <w:sz w:val="22"/>
          <w:szCs w:val="22"/>
        </w:rPr>
      </w:pPr>
      <w:r>
        <w:rPr>
          <w:rFonts w:hint="eastAsia" w:ascii="宋体" w:hAnsi="宋体" w:cs="宋体"/>
          <w:sz w:val="22"/>
          <w:szCs w:val="22"/>
        </w:rPr>
        <w:t>根据财库[2015]135号文件精神中标、成交结果应当自中标、成交供应商确定之日起２个工作日内公告，公告期限为１个工作日。公告期限届满后向中标人发出中标通知书。</w:t>
      </w:r>
    </w:p>
    <w:p w14:paraId="2FDDA7DF">
      <w:pPr>
        <w:numPr>
          <w:ilvl w:val="1"/>
          <w:numId w:val="6"/>
        </w:numPr>
        <w:spacing w:line="360" w:lineRule="auto"/>
        <w:rPr>
          <w:rFonts w:ascii="宋体"/>
          <w:sz w:val="22"/>
          <w:szCs w:val="22"/>
        </w:rPr>
      </w:pPr>
      <w:r>
        <w:rPr>
          <w:rFonts w:hint="eastAsia" w:ascii="宋体" w:hAnsi="宋体" w:cs="宋体"/>
          <w:sz w:val="22"/>
          <w:szCs w:val="22"/>
        </w:rPr>
        <w:t>中</w:t>
      </w:r>
      <w:r>
        <w:rPr>
          <w:rFonts w:hint="eastAsia" w:ascii="宋体" w:hAnsi="宋体" w:cs="宋体"/>
          <w:color w:val="000000"/>
          <w:sz w:val="22"/>
          <w:szCs w:val="22"/>
        </w:rPr>
        <w:t>标通知书将是合同的一个组成部分。对业主和中标人均具有法律效力。</w:t>
      </w:r>
      <w:r>
        <w:rPr>
          <w:rFonts w:hint="eastAsia" w:ascii="宋体" w:hAnsi="宋体" w:cs="宋体"/>
          <w:sz w:val="22"/>
          <w:szCs w:val="22"/>
        </w:rPr>
        <w:t>中标通知书发出后，采购单位私自改变中标结果的，或者中标人放弃中标项目的，应当依法承担法律责任。</w:t>
      </w:r>
    </w:p>
    <w:p w14:paraId="67C7FF26">
      <w:pPr>
        <w:widowControl w:val="0"/>
        <w:numPr>
          <w:ilvl w:val="0"/>
          <w:numId w:val="6"/>
        </w:numPr>
        <w:ind w:left="425" w:leftChars="0" w:hanging="425" w:firstLineChars="0"/>
        <w:jc w:val="left"/>
        <w:rPr>
          <w:rFonts w:hint="eastAsia" w:asciiTheme="minorEastAsia" w:hAnsiTheme="minorEastAsia" w:eastAsiaTheme="minorEastAsia" w:cstheme="minorEastAsia"/>
          <w:b/>
          <w:bCs/>
          <w:spacing w:val="0"/>
          <w:kern w:val="2"/>
          <w:sz w:val="24"/>
          <w:szCs w:val="24"/>
          <w:lang w:val="en-US" w:eastAsia="zh-CN" w:bidi="ar-SA"/>
        </w:rPr>
      </w:pPr>
      <w:r>
        <w:rPr>
          <w:rFonts w:hint="eastAsia" w:asciiTheme="minorEastAsia" w:hAnsiTheme="minorEastAsia" w:eastAsiaTheme="minorEastAsia" w:cstheme="minorEastAsia"/>
          <w:b/>
          <w:bCs/>
          <w:spacing w:val="0"/>
          <w:kern w:val="2"/>
          <w:sz w:val="24"/>
          <w:szCs w:val="24"/>
          <w:lang w:val="en-US" w:eastAsia="zh-CN" w:bidi="ar-SA"/>
        </w:rPr>
        <w:t>投标人向集采机构 咨询的有关项目事项，一切以法律法规规定和集机构书答复为准，其他一切形式均为个人意见，不代表本单位的意见。</w:t>
      </w:r>
    </w:p>
    <w:p w14:paraId="51896DFC">
      <w:pPr>
        <w:numPr>
          <w:ilvl w:val="0"/>
          <w:numId w:val="0"/>
        </w:numPr>
        <w:spacing w:line="360" w:lineRule="auto"/>
        <w:ind w:leftChars="0"/>
        <w:rPr>
          <w:rFonts w:ascii="宋体"/>
          <w:sz w:val="22"/>
          <w:szCs w:val="22"/>
        </w:rPr>
      </w:pPr>
    </w:p>
    <w:p w14:paraId="26CA7723">
      <w:pPr>
        <w:pStyle w:val="5"/>
        <w:adjustRightInd/>
        <w:spacing w:before="0" w:after="0" w:line="360" w:lineRule="auto"/>
        <w:jc w:val="center"/>
        <w:textAlignment w:val="auto"/>
        <w:rPr>
          <w:rFonts w:ascii="宋体"/>
          <w:b w:val="0"/>
          <w:bCs w:val="0"/>
          <w:kern w:val="2"/>
          <w:sz w:val="32"/>
          <w:szCs w:val="32"/>
        </w:rPr>
      </w:pPr>
      <w:bookmarkStart w:id="50" w:name="_Toc24932"/>
      <w:r>
        <w:rPr>
          <w:rFonts w:hint="eastAsia" w:ascii="宋体" w:hAnsi="宋体" w:cs="宋体"/>
          <w:b w:val="0"/>
          <w:bCs w:val="0"/>
          <w:kern w:val="2"/>
          <w:sz w:val="32"/>
          <w:szCs w:val="32"/>
        </w:rPr>
        <w:t>七、签订合同</w:t>
      </w:r>
      <w:bookmarkEnd w:id="50"/>
    </w:p>
    <w:p w14:paraId="3D97132B">
      <w:pPr>
        <w:spacing w:line="360" w:lineRule="auto"/>
        <w:rPr>
          <w:rFonts w:ascii="宋体"/>
          <w:sz w:val="22"/>
          <w:szCs w:val="22"/>
        </w:rPr>
      </w:pPr>
    </w:p>
    <w:p w14:paraId="557C6789">
      <w:pPr>
        <w:numPr>
          <w:ilvl w:val="0"/>
          <w:numId w:val="7"/>
        </w:numPr>
        <w:spacing w:line="360" w:lineRule="auto"/>
        <w:rPr>
          <w:rFonts w:ascii="宋体"/>
          <w:color w:val="000000"/>
          <w:sz w:val="22"/>
          <w:szCs w:val="22"/>
        </w:rPr>
      </w:pPr>
      <w:r>
        <w:rPr>
          <w:rFonts w:hint="eastAsia" w:ascii="宋体" w:hAnsi="宋体" w:cs="宋体"/>
          <w:b/>
          <w:bCs/>
          <w:sz w:val="22"/>
          <w:szCs w:val="22"/>
        </w:rPr>
        <w:t>签订合同</w:t>
      </w:r>
    </w:p>
    <w:p w14:paraId="57674AFB">
      <w:pPr>
        <w:numPr>
          <w:ilvl w:val="1"/>
          <w:numId w:val="7"/>
        </w:numPr>
        <w:spacing w:line="360" w:lineRule="auto"/>
        <w:rPr>
          <w:rFonts w:ascii="宋体"/>
          <w:color w:val="FF0000"/>
          <w:sz w:val="22"/>
          <w:szCs w:val="22"/>
        </w:rPr>
      </w:pPr>
      <w:r>
        <w:rPr>
          <w:rFonts w:hint="eastAsia" w:ascii="宋体" w:hAnsi="宋体" w:cs="宋体"/>
          <w:color w:val="000000"/>
          <w:sz w:val="22"/>
          <w:szCs w:val="22"/>
        </w:rPr>
        <w:t>采购人应当自中标通知书发出之日起十日内，按照招标文件和中标供应商投标文件的约定，与中标供应商签订书面合同，逾期责任自负。所签订的合同不得对招标文件和中标供应商投标文件作实质性修改。</w:t>
      </w:r>
      <w:r>
        <w:rPr>
          <w:rFonts w:ascii="宋体" w:hAnsi="宋体" w:cs="宋体"/>
          <w:color w:val="FF0000"/>
          <w:sz w:val="22"/>
          <w:szCs w:val="22"/>
        </w:rPr>
        <w:t xml:space="preserve"> </w:t>
      </w:r>
    </w:p>
    <w:p w14:paraId="1400F3F4">
      <w:pPr>
        <w:numPr>
          <w:ilvl w:val="1"/>
          <w:numId w:val="7"/>
        </w:numPr>
        <w:spacing w:line="360" w:lineRule="auto"/>
        <w:rPr>
          <w:rFonts w:ascii="宋体"/>
          <w:color w:val="000000"/>
          <w:sz w:val="22"/>
          <w:szCs w:val="22"/>
        </w:rPr>
      </w:pPr>
      <w:r>
        <w:rPr>
          <w:rFonts w:hint="eastAsia" w:ascii="宋体" w:hAnsi="宋体" w:cs="宋体"/>
          <w:color w:val="000000"/>
          <w:sz w:val="22"/>
          <w:szCs w:val="22"/>
        </w:rPr>
        <w:t>招标文件、中标人的投标文件及招标过程中有关澄清、承诺文件均应作为合同附件。</w:t>
      </w:r>
    </w:p>
    <w:p w14:paraId="472C2192">
      <w:pPr>
        <w:numPr>
          <w:ilvl w:val="1"/>
          <w:numId w:val="7"/>
        </w:numPr>
        <w:spacing w:line="360" w:lineRule="auto"/>
        <w:rPr>
          <w:rFonts w:ascii="宋体"/>
          <w:b/>
          <w:bCs/>
          <w:color w:val="000000"/>
          <w:sz w:val="22"/>
          <w:szCs w:val="22"/>
        </w:rPr>
      </w:pPr>
      <w:r>
        <w:rPr>
          <w:rFonts w:hint="eastAsia" w:ascii="宋体" w:hAnsi="宋体" w:cs="宋体"/>
          <w:color w:val="000000"/>
          <w:sz w:val="22"/>
          <w:szCs w:val="22"/>
        </w:rPr>
        <w:t>签订合同后，中标人应根据合同条款及时进场实施项目建设，中标人不得将货物及其他相关服务随意进行转包或分包，否则采购人有权终止合同，中标人的履约保证金将不予退还，造成采购人损失的，中标人应承担相应赔偿责任。</w:t>
      </w:r>
    </w:p>
    <w:p w14:paraId="1A80435D">
      <w:pPr>
        <w:numPr>
          <w:ilvl w:val="1"/>
          <w:numId w:val="7"/>
        </w:numPr>
        <w:spacing w:line="360" w:lineRule="auto"/>
        <w:rPr>
          <w:rFonts w:ascii="宋体"/>
          <w:color w:val="000000"/>
          <w:sz w:val="22"/>
          <w:szCs w:val="22"/>
        </w:rPr>
      </w:pPr>
      <w:r>
        <w:rPr>
          <w:rFonts w:hint="eastAsia" w:ascii="宋体" w:hAnsi="宋体" w:cs="宋体"/>
          <w:color w:val="000000"/>
          <w:sz w:val="22"/>
          <w:szCs w:val="22"/>
        </w:rPr>
        <w:t>采购人不得向中标供应商提出任何不合理的要求，作为签订合同的条件，不得与中标供应商私下订立背离合同实质性内容的协议。要将中标通知书作为合同的关键组成部分一起装订入合同。</w:t>
      </w:r>
    </w:p>
    <w:p w14:paraId="65DC7957">
      <w:pPr>
        <w:numPr>
          <w:ilvl w:val="1"/>
          <w:numId w:val="7"/>
        </w:numPr>
        <w:spacing w:line="360" w:lineRule="auto"/>
        <w:rPr>
          <w:rFonts w:hint="eastAsia" w:ascii="宋体" w:hAnsi="宋体" w:cs="宋体"/>
          <w:b/>
          <w:bCs/>
          <w:color w:val="000000"/>
          <w:sz w:val="22"/>
          <w:szCs w:val="22"/>
        </w:rPr>
      </w:pPr>
      <w:r>
        <w:rPr>
          <w:rFonts w:hint="eastAsia" w:ascii="宋体" w:hAnsi="宋体" w:cs="宋体"/>
          <w:b/>
          <w:bCs/>
          <w:color w:val="000000"/>
          <w:sz w:val="22"/>
          <w:szCs w:val="22"/>
        </w:rPr>
        <w:t>采购人当自采购合同签订之日起</w:t>
      </w:r>
      <w:r>
        <w:rPr>
          <w:rFonts w:hint="eastAsia" w:ascii="宋体" w:hAnsi="宋体" w:cs="宋体"/>
          <w:b/>
          <w:bCs/>
          <w:color w:val="000000"/>
          <w:sz w:val="22"/>
          <w:szCs w:val="22"/>
          <w:lang w:eastAsia="zh-CN"/>
        </w:rPr>
        <w:t>二</w:t>
      </w:r>
      <w:r>
        <w:rPr>
          <w:rFonts w:hint="eastAsia" w:ascii="宋体" w:hAnsi="宋体" w:cs="宋体"/>
          <w:b/>
          <w:bCs/>
          <w:color w:val="000000"/>
          <w:sz w:val="22"/>
          <w:szCs w:val="22"/>
        </w:rPr>
        <w:t>个工作日内，按照有关规定将备案后的采购合同（含商业机密部分除外）扫描成PTF格式上传到甘肃政府采购网合同专区。</w:t>
      </w:r>
    </w:p>
    <w:p w14:paraId="3EF0FE4F">
      <w:pPr>
        <w:numPr>
          <w:ilvl w:val="0"/>
          <w:numId w:val="7"/>
        </w:numPr>
        <w:spacing w:line="360" w:lineRule="auto"/>
        <w:rPr>
          <w:rFonts w:ascii="宋体"/>
          <w:b/>
          <w:bCs/>
          <w:color w:val="000000"/>
          <w:sz w:val="22"/>
          <w:szCs w:val="22"/>
        </w:rPr>
      </w:pPr>
      <w:r>
        <w:rPr>
          <w:rFonts w:hint="eastAsia" w:ascii="宋体" w:hAnsi="宋体" w:cs="宋体"/>
          <w:b/>
          <w:bCs/>
          <w:color w:val="000000"/>
          <w:sz w:val="22"/>
          <w:szCs w:val="22"/>
        </w:rPr>
        <w:t>分包履行合同</w:t>
      </w:r>
    </w:p>
    <w:p w14:paraId="26A5AA53">
      <w:pPr>
        <w:numPr>
          <w:ilvl w:val="1"/>
          <w:numId w:val="7"/>
        </w:numPr>
        <w:spacing w:line="360" w:lineRule="auto"/>
        <w:rPr>
          <w:rFonts w:ascii="宋体"/>
          <w:b/>
          <w:bCs/>
          <w:sz w:val="22"/>
          <w:szCs w:val="22"/>
        </w:rPr>
      </w:pPr>
      <w:r>
        <w:rPr>
          <w:rFonts w:hint="eastAsia" w:ascii="宋体" w:hAnsi="宋体" w:cs="宋体"/>
          <w:sz w:val="22"/>
          <w:szCs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220D55B">
      <w:pPr>
        <w:numPr>
          <w:ilvl w:val="1"/>
          <w:numId w:val="7"/>
        </w:numPr>
        <w:spacing w:line="360" w:lineRule="auto"/>
        <w:rPr>
          <w:rFonts w:ascii="宋体"/>
          <w:b/>
          <w:bCs/>
          <w:color w:val="000000"/>
          <w:sz w:val="22"/>
          <w:szCs w:val="22"/>
        </w:rPr>
      </w:pPr>
      <w:r>
        <w:rPr>
          <w:rFonts w:hint="eastAsia" w:ascii="宋体" w:hAnsi="宋体" w:cs="宋体"/>
          <w:sz w:val="22"/>
          <w:szCs w:val="22"/>
        </w:rPr>
        <w:t>政府采购合同分包履行的，中标、成交供应商就采购项目和分包项目向采购人负责，分包供应商就分包项目承担责任。</w:t>
      </w:r>
    </w:p>
    <w:p w14:paraId="2822E7DD">
      <w:pPr>
        <w:numPr>
          <w:ilvl w:val="0"/>
          <w:numId w:val="7"/>
        </w:numPr>
        <w:spacing w:line="360" w:lineRule="auto"/>
        <w:rPr>
          <w:rFonts w:ascii="宋体"/>
          <w:sz w:val="22"/>
          <w:szCs w:val="22"/>
        </w:rPr>
      </w:pPr>
      <w:r>
        <w:rPr>
          <w:rFonts w:hint="eastAsia" w:ascii="宋体" w:hAnsi="宋体" w:cs="宋体"/>
          <w:b/>
          <w:bCs/>
          <w:color w:val="000000"/>
          <w:sz w:val="22"/>
          <w:szCs w:val="22"/>
        </w:rPr>
        <w:t>政府采购合同履行中合同标的的追加</w:t>
      </w:r>
    </w:p>
    <w:p w14:paraId="7BB10B34">
      <w:pPr>
        <w:numPr>
          <w:ilvl w:val="1"/>
          <w:numId w:val="7"/>
        </w:numPr>
        <w:spacing w:line="360" w:lineRule="auto"/>
        <w:rPr>
          <w:rFonts w:ascii="宋体"/>
          <w:sz w:val="36"/>
          <w:szCs w:val="36"/>
        </w:rPr>
      </w:pPr>
      <w:r>
        <w:rPr>
          <w:rFonts w:hint="eastAsia" w:ascii="宋体" w:hAnsi="宋体" w:cs="宋体"/>
          <w:sz w:val="22"/>
          <w:szCs w:val="22"/>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bookmarkEnd w:id="35"/>
    <w:bookmarkEnd w:id="36"/>
    <w:p w14:paraId="39183758">
      <w:pPr>
        <w:pageBreakBefore/>
        <w:numPr>
          <w:ilvl w:val="0"/>
          <w:numId w:val="8"/>
        </w:numPr>
        <w:spacing w:line="360" w:lineRule="auto"/>
        <w:jc w:val="center"/>
        <w:outlineLvl w:val="0"/>
        <w:rPr>
          <w:rFonts w:ascii="宋体"/>
          <w:b/>
          <w:bCs/>
          <w:kern w:val="0"/>
          <w:sz w:val="36"/>
          <w:szCs w:val="36"/>
        </w:rPr>
      </w:pPr>
      <w:bookmarkStart w:id="51" w:name="_Toc28982"/>
      <w:bookmarkStart w:id="52" w:name="_Toc274816735"/>
      <w:r>
        <w:rPr>
          <w:rFonts w:ascii="宋体" w:hAnsi="宋体" w:cs="宋体"/>
          <w:b/>
          <w:bCs/>
          <w:kern w:val="0"/>
          <w:sz w:val="36"/>
          <w:szCs w:val="36"/>
        </w:rPr>
        <w:t xml:space="preserve"> </w:t>
      </w:r>
      <w:bookmarkStart w:id="53" w:name="_Toc4756"/>
      <w:bookmarkStart w:id="54" w:name="_Toc6186"/>
      <w:bookmarkStart w:id="55" w:name="_Toc12216"/>
      <w:bookmarkStart w:id="56" w:name="_Toc3611"/>
      <w:bookmarkStart w:id="57" w:name="_Toc29974"/>
      <w:r>
        <w:rPr>
          <w:rFonts w:hint="eastAsia" w:ascii="宋体" w:hAnsi="宋体" w:cs="宋体"/>
          <w:b/>
          <w:bCs/>
          <w:kern w:val="0"/>
          <w:sz w:val="36"/>
          <w:szCs w:val="36"/>
        </w:rPr>
        <w:t>采购</w:t>
      </w:r>
      <w:r>
        <w:rPr>
          <w:rFonts w:hint="eastAsia" w:ascii="宋体" w:hAnsi="宋体" w:cs="宋体"/>
          <w:b/>
          <w:bCs/>
          <w:kern w:val="0"/>
          <w:sz w:val="36"/>
          <w:szCs w:val="36"/>
          <w:lang w:val="en-US" w:eastAsia="zh-CN"/>
        </w:rPr>
        <w:t>项目</w:t>
      </w:r>
      <w:r>
        <w:rPr>
          <w:rFonts w:hint="eastAsia" w:ascii="宋体" w:hAnsi="宋体" w:cs="宋体"/>
          <w:b/>
          <w:bCs/>
          <w:kern w:val="0"/>
          <w:sz w:val="36"/>
          <w:szCs w:val="36"/>
        </w:rPr>
        <w:t>需求及要求</w:t>
      </w:r>
      <w:bookmarkEnd w:id="51"/>
      <w:bookmarkEnd w:id="53"/>
      <w:bookmarkEnd w:id="54"/>
      <w:bookmarkEnd w:id="55"/>
      <w:bookmarkEnd w:id="56"/>
      <w:bookmarkEnd w:id="57"/>
    </w:p>
    <w:bookmarkEnd w:id="52"/>
    <w:p w14:paraId="7AED2DAA">
      <w:pPr>
        <w:spacing w:line="360" w:lineRule="auto"/>
        <w:jc w:val="center"/>
        <w:outlineLvl w:val="1"/>
        <w:rPr>
          <w:rFonts w:ascii="Times New Roman"/>
          <w:color w:val="auto"/>
          <w:sz w:val="32"/>
          <w:szCs w:val="32"/>
          <w:highlight w:val="none"/>
        </w:rPr>
      </w:pPr>
      <w:bookmarkStart w:id="58" w:name="_Toc32293"/>
      <w:bookmarkStart w:id="59" w:name="_Toc9692"/>
      <w:bookmarkStart w:id="60" w:name="_Toc16655"/>
      <w:bookmarkStart w:id="61" w:name="_Toc24881"/>
      <w:bookmarkStart w:id="62" w:name="_Toc22989"/>
      <w:bookmarkStart w:id="63" w:name="_Toc423078602"/>
      <w:bookmarkStart w:id="64" w:name="_Toc373314705"/>
      <w:r>
        <w:rPr>
          <w:rFonts w:ascii="Times New Roman"/>
          <w:color w:val="auto"/>
          <w:sz w:val="32"/>
          <w:szCs w:val="32"/>
          <w:highlight w:val="none"/>
        </w:rPr>
        <w:t>第</w:t>
      </w:r>
      <w:r>
        <w:rPr>
          <w:rFonts w:hint="eastAsia" w:ascii="Times New Roman"/>
          <w:color w:val="auto"/>
          <w:sz w:val="32"/>
          <w:szCs w:val="32"/>
          <w:highlight w:val="none"/>
        </w:rPr>
        <w:t>一</w:t>
      </w:r>
      <w:r>
        <w:rPr>
          <w:rFonts w:ascii="Times New Roman"/>
          <w:color w:val="auto"/>
          <w:sz w:val="32"/>
          <w:szCs w:val="32"/>
          <w:highlight w:val="none"/>
        </w:rPr>
        <w:t xml:space="preserve">部分 </w:t>
      </w:r>
      <w:r>
        <w:rPr>
          <w:rFonts w:hint="eastAsia" w:ascii="Times New Roman"/>
          <w:color w:val="auto"/>
          <w:sz w:val="32"/>
          <w:szCs w:val="32"/>
          <w:highlight w:val="none"/>
        </w:rPr>
        <w:t>商务要求</w:t>
      </w:r>
      <w:bookmarkEnd w:id="58"/>
    </w:p>
    <w:p w14:paraId="1FC2472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szCs w:val="24"/>
          <w:highlight w:val="none"/>
        </w:rPr>
        <w:t>一</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sz w:val="24"/>
          <w:highlight w:val="none"/>
        </w:rPr>
        <w:t>报价要求</w:t>
      </w:r>
    </w:p>
    <w:p w14:paraId="3752348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1. 投标报价以人民币填列。</w:t>
      </w:r>
    </w:p>
    <w:p w14:paraId="72A831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2. 投标人的报价应包括：设备主机及附件货款、运输费、运输保险费、装卸费、安装调试费及其他应有的费用。投标人所报价格为货到现场安装调试完成的最终优惠价格。</w:t>
      </w:r>
    </w:p>
    <w:p w14:paraId="715D02C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3. 验收及相关费用由投标人负责。</w:t>
      </w:r>
    </w:p>
    <w:p w14:paraId="0DA45A8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auto"/>
          <w:sz w:val="24"/>
          <w:highlight w:val="none"/>
        </w:rPr>
      </w:pPr>
      <w:r>
        <w:rPr>
          <w:rFonts w:hint="eastAsia"/>
          <w:b/>
          <w:bCs/>
          <w:color w:val="auto"/>
          <w:sz w:val="24"/>
          <w:highlight w:val="none"/>
        </w:rPr>
        <w:t>二</w:t>
      </w:r>
      <w:r>
        <w:rPr>
          <w:rFonts w:hint="eastAsia"/>
          <w:b/>
          <w:bCs/>
          <w:color w:val="auto"/>
          <w:sz w:val="24"/>
          <w:highlight w:val="none"/>
          <w:lang w:eastAsia="zh-CN"/>
        </w:rPr>
        <w:t>、</w:t>
      </w:r>
      <w:r>
        <w:rPr>
          <w:rFonts w:hint="eastAsia"/>
          <w:b/>
          <w:bCs/>
          <w:color w:val="auto"/>
          <w:sz w:val="24"/>
          <w:highlight w:val="none"/>
        </w:rPr>
        <w:t>服务要求</w:t>
      </w:r>
    </w:p>
    <w:p w14:paraId="0AE972E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提供所投产品1年的免费上门保修。保修期内免费更换零配件，在接到正式通知后2小时内响应，48小时内到达现场进行检修，解决问题时间不超过72小时。保修期自验收合格之日起计算。</w:t>
      </w:r>
    </w:p>
    <w:p w14:paraId="30F9CD9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auto"/>
          <w:sz w:val="24"/>
          <w:highlight w:val="none"/>
        </w:rPr>
      </w:pPr>
      <w:r>
        <w:rPr>
          <w:rFonts w:hint="eastAsia"/>
          <w:b/>
          <w:bCs/>
          <w:color w:val="auto"/>
          <w:sz w:val="24"/>
          <w:highlight w:val="none"/>
        </w:rPr>
        <w:t>三</w:t>
      </w:r>
      <w:r>
        <w:rPr>
          <w:rFonts w:hint="eastAsia"/>
          <w:b/>
          <w:bCs/>
          <w:color w:val="auto"/>
          <w:sz w:val="24"/>
          <w:highlight w:val="none"/>
          <w:lang w:eastAsia="zh-CN"/>
        </w:rPr>
        <w:t>、</w:t>
      </w:r>
      <w:r>
        <w:rPr>
          <w:rFonts w:hint="eastAsia"/>
          <w:b/>
          <w:bCs/>
          <w:color w:val="auto"/>
          <w:sz w:val="24"/>
          <w:highlight w:val="none"/>
        </w:rPr>
        <w:t>交货要求</w:t>
      </w:r>
    </w:p>
    <w:p w14:paraId="3ECFDCE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宋体"/>
          <w:strike w:val="0"/>
          <w:dstrike/>
          <w:color w:val="auto"/>
          <w:sz w:val="24"/>
          <w:highlight w:val="none"/>
          <w:u w:val="none"/>
          <w:lang w:val="en-US" w:eastAsia="zh-CN"/>
        </w:rPr>
      </w:pPr>
      <w:r>
        <w:rPr>
          <w:rFonts w:hint="eastAsia"/>
          <w:color w:val="auto"/>
          <w:sz w:val="24"/>
          <w:highlight w:val="none"/>
        </w:rPr>
        <w:t>1. 货到时间：</w:t>
      </w:r>
      <w:r>
        <w:rPr>
          <w:rFonts w:hint="eastAsia"/>
          <w:color w:val="auto"/>
          <w:sz w:val="24"/>
          <w:highlight w:val="none"/>
          <w:lang w:val="en-US" w:eastAsia="zh-CN"/>
        </w:rPr>
        <w:t>合同签订后</w:t>
      </w:r>
      <w:r>
        <w:rPr>
          <w:rFonts w:hint="eastAsia"/>
          <w:color w:val="auto"/>
          <w:sz w:val="24"/>
          <w:highlight w:val="none"/>
          <w:u w:val="single"/>
          <w:lang w:val="en-US" w:eastAsia="zh-CN"/>
        </w:rPr>
        <w:t>15</w:t>
      </w:r>
      <w:r>
        <w:rPr>
          <w:rFonts w:hint="eastAsia"/>
          <w:color w:val="auto"/>
          <w:sz w:val="24"/>
          <w:highlight w:val="none"/>
          <w:u w:val="none"/>
          <w:lang w:val="en-US" w:eastAsia="zh-CN"/>
        </w:rPr>
        <w:t>天。</w:t>
      </w:r>
    </w:p>
    <w:p w14:paraId="22E6E72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color w:val="auto"/>
          <w:sz w:val="24"/>
          <w:highlight w:val="none"/>
          <w:lang w:val="en-US" w:eastAsia="zh-CN"/>
        </w:rPr>
      </w:pPr>
      <w:r>
        <w:rPr>
          <w:rFonts w:hint="eastAsia"/>
          <w:color w:val="auto"/>
          <w:sz w:val="24"/>
          <w:highlight w:val="none"/>
        </w:rPr>
        <w:t>2. 交货地点：</w:t>
      </w:r>
      <w:r>
        <w:rPr>
          <w:rFonts w:hint="eastAsia"/>
          <w:color w:val="auto"/>
          <w:sz w:val="24"/>
          <w:highlight w:val="none"/>
          <w:lang w:val="en-US" w:eastAsia="zh-CN"/>
        </w:rPr>
        <w:t>采购单位指定地点。</w:t>
      </w:r>
    </w:p>
    <w:p w14:paraId="0DCB470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3.</w:t>
      </w:r>
      <w:r>
        <w:rPr>
          <w:rFonts w:hint="eastAsia"/>
          <w:color w:val="auto"/>
          <w:sz w:val="24"/>
          <w:highlight w:val="none"/>
        </w:rPr>
        <w:t>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609D0A1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auto"/>
          <w:sz w:val="24"/>
          <w:highlight w:val="none"/>
        </w:rPr>
      </w:pPr>
      <w:r>
        <w:rPr>
          <w:rFonts w:hint="eastAsia"/>
          <w:b/>
          <w:bCs/>
          <w:color w:val="auto"/>
          <w:sz w:val="24"/>
          <w:highlight w:val="none"/>
          <w:lang w:val="en-US" w:eastAsia="zh-CN"/>
        </w:rPr>
        <w:t>四</w:t>
      </w:r>
      <w:r>
        <w:rPr>
          <w:rFonts w:hint="eastAsia"/>
          <w:b/>
          <w:bCs/>
          <w:color w:val="auto"/>
          <w:sz w:val="24"/>
          <w:highlight w:val="none"/>
          <w:lang w:eastAsia="zh-CN"/>
        </w:rPr>
        <w:t>、</w:t>
      </w:r>
      <w:r>
        <w:rPr>
          <w:rFonts w:hint="eastAsia"/>
          <w:b/>
          <w:bCs/>
          <w:color w:val="auto"/>
          <w:sz w:val="24"/>
          <w:highlight w:val="none"/>
        </w:rPr>
        <w:t>验收方法及标准</w:t>
      </w:r>
    </w:p>
    <w:p w14:paraId="615D720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4FD1485D">
      <w:pPr>
        <w:pStyle w:val="170"/>
      </w:pPr>
    </w:p>
    <w:p w14:paraId="5FB9C553">
      <w:pPr>
        <w:numPr>
          <w:ilvl w:val="0"/>
          <w:numId w:val="9"/>
        </w:numPr>
        <w:spacing w:line="240" w:lineRule="auto"/>
        <w:jc w:val="center"/>
        <w:outlineLvl w:val="1"/>
        <w:rPr>
          <w:rFonts w:hint="eastAsia" w:ascii="Times New Roman"/>
          <w:color w:val="auto"/>
          <w:sz w:val="32"/>
          <w:szCs w:val="32"/>
          <w:highlight w:val="none"/>
        </w:rPr>
      </w:pPr>
      <w:bookmarkStart w:id="65" w:name="_Toc26753"/>
      <w:r>
        <w:rPr>
          <w:rFonts w:hint="eastAsia" w:ascii="Times New Roman"/>
          <w:color w:val="auto"/>
          <w:sz w:val="32"/>
          <w:szCs w:val="32"/>
          <w:highlight w:val="none"/>
        </w:rPr>
        <w:t>项目需求书</w:t>
      </w:r>
      <w:bookmarkEnd w:id="65"/>
    </w:p>
    <w:p w14:paraId="4210D871">
      <w:pPr>
        <w:bidi w:val="0"/>
        <w:rPr>
          <w:rFonts w:hint="eastAsia" w:ascii="Times New Roman" w:hAnsi="Times New Roman" w:eastAsia="宋体" w:cs="Times New Roman"/>
          <w:kern w:val="2"/>
          <w:sz w:val="21"/>
          <w:szCs w:val="21"/>
          <w:lang w:val="en-US" w:eastAsia="zh-CN" w:bidi="ar-SA"/>
        </w:rPr>
      </w:pPr>
    </w:p>
    <w:p w14:paraId="602566B8">
      <w:pPr>
        <w:numPr>
          <w:ilvl w:val="0"/>
          <w:numId w:val="10"/>
        </w:numPr>
        <w:spacing w:line="360" w:lineRule="auto"/>
        <w:outlineLvl w:val="9"/>
        <w:rPr>
          <w:rFonts w:hint="default" w:ascii="仿宋_GB2312" w:hAnsi="仿宋_GB2312" w:eastAsia="仿宋_GB2312" w:cs="仿宋_GB2312"/>
          <w:color w:val="auto"/>
          <w:kern w:val="2"/>
          <w:sz w:val="28"/>
          <w:szCs w:val="28"/>
          <w:highlight w:val="none"/>
          <w:shd w:val="clear" w:color="auto" w:fill="auto"/>
          <w:lang w:val="en-US" w:eastAsia="zh-CN" w:bidi="ar-SA"/>
        </w:rPr>
      </w:pPr>
      <w:bookmarkStart w:id="66" w:name="_Toc23568"/>
      <w:bookmarkStart w:id="67" w:name="_Toc1602"/>
      <w:r>
        <w:rPr>
          <w:rFonts w:hint="eastAsia" w:ascii="宋体" w:hAnsi="宋体" w:eastAsia="宋体" w:cs="宋体"/>
          <w:b/>
          <w:sz w:val="28"/>
          <w:szCs w:val="28"/>
        </w:rPr>
        <w:t>分包情况</w:t>
      </w:r>
      <w:bookmarkEnd w:id="66"/>
      <w:bookmarkEnd w:id="67"/>
    </w:p>
    <w:p w14:paraId="70B96454">
      <w:pPr>
        <w:numPr>
          <w:ilvl w:val="0"/>
          <w:numId w:val="0"/>
        </w:numPr>
        <w:spacing w:line="360" w:lineRule="auto"/>
        <w:ind w:firstLine="480" w:firstLineChars="200"/>
        <w:outlineLvl w:val="9"/>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sz w:val="24"/>
          <w:szCs w:val="24"/>
          <w:highlight w:val="none"/>
          <w:shd w:val="clear" w:color="auto" w:fill="auto"/>
          <w:lang w:val="en-US" w:eastAsia="en-US" w:bidi="ar-SA"/>
        </w:rPr>
        <w:t>本项目采购预算</w:t>
      </w:r>
      <w:r>
        <w:rPr>
          <w:rFonts w:hint="eastAsia" w:ascii="仿宋_GB2312" w:hAnsi="仿宋_GB2312" w:eastAsia="仿宋_GB2312" w:cs="仿宋_GB2312"/>
          <w:color w:val="auto"/>
          <w:sz w:val="24"/>
          <w:szCs w:val="24"/>
          <w:highlight w:val="none"/>
          <w:u w:val="none"/>
          <w:shd w:val="clear" w:color="auto" w:fill="auto"/>
          <w:lang w:val="en-US" w:eastAsia="zh-CN" w:bidi="ar-SA"/>
        </w:rPr>
        <w:t>90</w:t>
      </w:r>
      <w:r>
        <w:rPr>
          <w:rFonts w:hint="eastAsia" w:ascii="仿宋_GB2312" w:hAnsi="仿宋_GB2312" w:eastAsia="仿宋_GB2312" w:cs="仿宋_GB2312"/>
          <w:color w:val="auto"/>
          <w:sz w:val="24"/>
          <w:szCs w:val="24"/>
          <w:highlight w:val="none"/>
          <w:u w:val="none"/>
          <w:shd w:val="clear" w:color="auto" w:fill="auto"/>
          <w:lang w:val="en-US" w:eastAsia="en-US" w:bidi="ar-SA"/>
        </w:rPr>
        <w:t>万元，</w:t>
      </w:r>
      <w:r>
        <w:rPr>
          <w:rFonts w:hint="eastAsia" w:ascii="仿宋_GB2312" w:hAnsi="仿宋_GB2312" w:eastAsia="仿宋_GB2312" w:cs="仿宋_GB2312"/>
          <w:color w:val="auto"/>
          <w:sz w:val="24"/>
          <w:szCs w:val="24"/>
          <w:highlight w:val="none"/>
          <w:u w:val="none"/>
          <w:shd w:val="clear" w:color="auto" w:fill="auto"/>
          <w:lang w:val="en-US" w:eastAsia="zh-CN" w:bidi="ar-SA"/>
        </w:rPr>
        <w:t>最高限价90万元，</w:t>
      </w:r>
      <w:r>
        <w:rPr>
          <w:rFonts w:hint="eastAsia" w:ascii="仿宋_GB2312" w:hAnsi="仿宋_GB2312" w:eastAsia="仿宋_GB2312" w:cs="仿宋_GB2312"/>
          <w:color w:val="auto"/>
          <w:sz w:val="24"/>
          <w:szCs w:val="24"/>
          <w:highlight w:val="none"/>
          <w:u w:val="none"/>
          <w:shd w:val="clear" w:color="auto" w:fill="auto"/>
          <w:lang w:val="en-US" w:eastAsia="en-US" w:bidi="ar-SA"/>
        </w:rPr>
        <w:t>本项目共分为</w:t>
      </w:r>
      <w:r>
        <w:rPr>
          <w:rFonts w:hint="eastAsia" w:ascii="仿宋_GB2312" w:hAnsi="仿宋_GB2312" w:eastAsia="仿宋_GB2312" w:cs="仿宋_GB2312"/>
          <w:color w:val="auto"/>
          <w:sz w:val="24"/>
          <w:szCs w:val="24"/>
          <w:highlight w:val="none"/>
          <w:u w:val="none"/>
          <w:shd w:val="clear" w:color="auto" w:fill="auto"/>
          <w:lang w:val="en-US" w:eastAsia="zh-CN" w:bidi="ar-SA"/>
        </w:rPr>
        <w:t>1</w:t>
      </w:r>
      <w:r>
        <w:rPr>
          <w:rFonts w:hint="eastAsia" w:ascii="仿宋_GB2312" w:hAnsi="仿宋_GB2312" w:eastAsia="仿宋_GB2312" w:cs="仿宋_GB2312"/>
          <w:color w:val="auto"/>
          <w:sz w:val="24"/>
          <w:szCs w:val="24"/>
          <w:highlight w:val="none"/>
          <w:u w:val="none"/>
          <w:shd w:val="clear" w:color="auto" w:fill="auto"/>
          <w:lang w:val="en-US" w:eastAsia="en-US" w:bidi="ar-SA"/>
        </w:rPr>
        <w:t>个包</w:t>
      </w:r>
      <w:r>
        <w:rPr>
          <w:rFonts w:hint="eastAsia" w:ascii="仿宋_GB2312" w:hAnsi="仿宋_GB2312" w:eastAsia="仿宋_GB2312" w:cs="仿宋_GB2312"/>
          <w:color w:val="auto"/>
          <w:sz w:val="24"/>
          <w:szCs w:val="24"/>
          <w:highlight w:val="none"/>
          <w:u w:val="none"/>
          <w:shd w:val="clear" w:color="auto" w:fill="auto"/>
          <w:lang w:val="en-US" w:eastAsia="zh-CN" w:bidi="ar-SA"/>
        </w:rPr>
        <w:t>。</w:t>
      </w:r>
      <w:bookmarkStart w:id="68" w:name="_Toc17259"/>
      <w:r>
        <w:rPr>
          <w:rFonts w:hint="eastAsia" w:ascii="仿宋_GB2312" w:hAnsi="仿宋_GB2312" w:eastAsia="仿宋_GB2312" w:cs="仿宋_GB2312"/>
          <w:color w:val="auto"/>
          <w:sz w:val="24"/>
          <w:szCs w:val="24"/>
          <w:highlight w:val="none"/>
          <w:u w:val="none"/>
          <w:shd w:val="clear" w:color="auto" w:fill="auto"/>
          <w:lang w:val="en-US" w:eastAsia="zh-CN" w:bidi="ar-SA"/>
        </w:rPr>
        <w:t>采购行政复议信息化设备。</w:t>
      </w:r>
    </w:p>
    <w:p w14:paraId="6CFB24F1">
      <w:pPr>
        <w:numPr>
          <w:ilvl w:val="0"/>
          <w:numId w:val="10"/>
        </w:numPr>
        <w:spacing w:line="360" w:lineRule="auto"/>
        <w:outlineLvl w:val="9"/>
        <w:rPr>
          <w:rFonts w:hint="default" w:ascii="仿宋_GB2312" w:hAnsi="仿宋_GB2312" w:eastAsia="仿宋_GB2312" w:cs="仿宋_GB2312"/>
          <w:color w:val="auto"/>
          <w:kern w:val="2"/>
          <w:sz w:val="28"/>
          <w:szCs w:val="28"/>
          <w:highlight w:val="none"/>
          <w:shd w:val="clear" w:color="auto" w:fill="auto"/>
          <w:lang w:val="en-US" w:eastAsia="zh-CN" w:bidi="ar-SA"/>
        </w:rPr>
      </w:pPr>
      <w:r>
        <w:rPr>
          <w:rFonts w:hint="eastAsia" w:ascii="宋体" w:hAnsi="宋体" w:eastAsia="宋体" w:cs="宋体"/>
          <w:b/>
          <w:sz w:val="28"/>
          <w:szCs w:val="28"/>
        </w:rPr>
        <w:t>采购</w:t>
      </w:r>
      <w:r>
        <w:rPr>
          <w:rFonts w:hint="eastAsia" w:ascii="宋体" w:hAnsi="宋体" w:eastAsia="宋体" w:cs="宋体"/>
          <w:b/>
          <w:sz w:val="28"/>
          <w:szCs w:val="28"/>
          <w:lang w:val="en-US" w:eastAsia="zh-CN"/>
        </w:rPr>
        <w:t>需求</w:t>
      </w:r>
      <w:bookmarkEnd w:id="68"/>
      <w:r>
        <w:rPr>
          <w:rFonts w:hint="eastAsia" w:ascii="宋体" w:hAnsi="宋体" w:eastAsia="宋体" w:cs="宋体"/>
          <w:b/>
          <w:sz w:val="28"/>
          <w:szCs w:val="28"/>
          <w:lang w:val="en-US" w:eastAsia="zh-CN"/>
        </w:rPr>
        <w:t>及要求</w:t>
      </w:r>
    </w:p>
    <w:p w14:paraId="78470055">
      <w:pPr>
        <w:jc w:val="center"/>
        <w:outlineLvl w:val="9"/>
        <w:rPr>
          <w:rFonts w:ascii="宋体" w:hAnsi="Times New Roman" w:eastAsia="宋体" w:cs="Times New Roman"/>
          <w:b/>
          <w:sz w:val="32"/>
          <w:szCs w:val="32"/>
        </w:rPr>
      </w:pPr>
      <w:bookmarkStart w:id="69" w:name="_Toc16895"/>
      <w:r>
        <w:rPr>
          <w:rFonts w:ascii="Times New Roman" w:hAnsi="Times New Roman" w:eastAsia="宋体" w:cs="Times New Roman"/>
          <w:szCs w:val="24"/>
        </w:rPr>
        <w:t xml:space="preserve"> </w:t>
      </w:r>
      <w:r>
        <w:rPr>
          <w:rFonts w:hint="eastAsia" w:ascii="宋体" w:hAnsi="宋体" w:eastAsia="宋体" w:cs="Times New Roman"/>
          <w:b/>
          <w:sz w:val="32"/>
          <w:szCs w:val="32"/>
        </w:rPr>
        <w:t>陇南市司法局行政复议办案信息化项目</w:t>
      </w:r>
      <w:bookmarkEnd w:id="69"/>
      <w:r>
        <w:rPr>
          <w:rFonts w:hint="eastAsia" w:ascii="宋体" w:hAnsi="宋体" w:eastAsia="宋体" w:cs="Times New Roman"/>
          <w:b/>
          <w:sz w:val="32"/>
          <w:szCs w:val="32"/>
        </w:rPr>
        <w:t>产品数量及参数</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810"/>
        <w:gridCol w:w="5577"/>
        <w:gridCol w:w="550"/>
        <w:gridCol w:w="550"/>
        <w:gridCol w:w="476"/>
      </w:tblGrid>
      <w:tr w14:paraId="65EB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0" w:type="auto"/>
            <w:vAlign w:val="center"/>
          </w:tcPr>
          <w:p w14:paraId="1CABFED1">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序号</w:t>
            </w:r>
          </w:p>
        </w:tc>
        <w:tc>
          <w:tcPr>
            <w:tcW w:w="0" w:type="auto"/>
            <w:vAlign w:val="center"/>
          </w:tcPr>
          <w:p w14:paraId="190FFB4F">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产品名称</w:t>
            </w:r>
          </w:p>
        </w:tc>
        <w:tc>
          <w:tcPr>
            <w:tcW w:w="0" w:type="auto"/>
            <w:vAlign w:val="center"/>
          </w:tcPr>
          <w:p w14:paraId="194FF69B">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技术参数</w:t>
            </w:r>
          </w:p>
        </w:tc>
        <w:tc>
          <w:tcPr>
            <w:tcW w:w="0" w:type="auto"/>
            <w:vAlign w:val="center"/>
          </w:tcPr>
          <w:p w14:paraId="585BFFD7">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单位</w:t>
            </w:r>
          </w:p>
        </w:tc>
        <w:tc>
          <w:tcPr>
            <w:tcW w:w="0" w:type="auto"/>
            <w:vAlign w:val="center"/>
          </w:tcPr>
          <w:p w14:paraId="0B0F8C97">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数量</w:t>
            </w:r>
          </w:p>
        </w:tc>
        <w:tc>
          <w:tcPr>
            <w:tcW w:w="0" w:type="auto"/>
            <w:vAlign w:val="center"/>
          </w:tcPr>
          <w:p w14:paraId="2CD010E0">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备注</w:t>
            </w:r>
          </w:p>
        </w:tc>
      </w:tr>
      <w:tr w14:paraId="0619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0" w:type="auto"/>
            <w:vAlign w:val="center"/>
          </w:tcPr>
          <w:p w14:paraId="713178FD">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w:t>
            </w:r>
          </w:p>
        </w:tc>
        <w:tc>
          <w:tcPr>
            <w:tcW w:w="0" w:type="auto"/>
            <w:vAlign w:val="center"/>
          </w:tcPr>
          <w:p w14:paraId="3D3260CE">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管理服务器</w:t>
            </w:r>
          </w:p>
        </w:tc>
        <w:tc>
          <w:tcPr>
            <w:tcW w:w="0" w:type="auto"/>
            <w:vAlign w:val="center"/>
          </w:tcPr>
          <w:p w14:paraId="4D9C4A9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1、2U双路标准机架式服务器；</w:t>
            </w:r>
          </w:p>
          <w:p w14:paraId="7B9F7B2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2、CPU：配置2颗intel至强4314处理器，核数≥16核，主频≥2.4GHz；</w:t>
            </w:r>
          </w:p>
          <w:p w14:paraId="5624C07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3、内存：配置128G DDR4，16根内存插槽，最大支持扩展至2TB内存；</w:t>
            </w:r>
          </w:p>
          <w:p w14:paraId="6730A12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4、硬盘：配置2块480G SSD硬盘，2块4T SATA硬盘；最高支持12块3.5寸(兼容2.5寸)热插拔SAS/SATA硬盘，支持可选2块后置热插拔2.5寸硬盘；</w:t>
            </w:r>
          </w:p>
          <w:p w14:paraId="1E54A55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5、阵列卡：配置SAS_HBA卡，支持RAID 0/1/10；</w:t>
            </w:r>
          </w:p>
          <w:p w14:paraId="0901FA5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6、PCIE扩展：支持6个PCIE扩展插槽；</w:t>
            </w:r>
          </w:p>
          <w:p w14:paraId="1A1D840C">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7、网口：板载2个千兆电口，配置2个万兆光口；支持选配10GbE、25GbE SFP+等多种网络接口；</w:t>
            </w:r>
          </w:p>
          <w:p w14:paraId="7FC7A68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8、其他接口：1个RJ45管理接口，后置2个USB 3.0接口，1个VGA接口。前置1个USB2.0接口，1个USB 3.0接口，1个VGA接口；</w:t>
            </w:r>
          </w:p>
          <w:p w14:paraId="5E6228AC">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9、电源：标配550W（1+1）高效铂金CRPS冗余电源；</w:t>
            </w:r>
          </w:p>
        </w:tc>
        <w:tc>
          <w:tcPr>
            <w:tcW w:w="0" w:type="auto"/>
            <w:vAlign w:val="center"/>
          </w:tcPr>
          <w:p w14:paraId="0445298E">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1953FB2F">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7B16B1C4">
            <w:pPr>
              <w:jc w:val="center"/>
              <w:rPr>
                <w:rFonts w:hint="eastAsia" w:ascii="仿宋_GB2312" w:hAnsi="仿宋_GB2312" w:eastAsia="仿宋_GB2312" w:cs="仿宋_GB2312"/>
                <w:bCs/>
                <w:color w:val="000000"/>
                <w:sz w:val="32"/>
                <w:szCs w:val="32"/>
              </w:rPr>
            </w:pPr>
          </w:p>
        </w:tc>
      </w:tr>
      <w:tr w14:paraId="3FC7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0" w:type="auto"/>
            <w:vAlign w:val="center"/>
          </w:tcPr>
          <w:p w14:paraId="6E6E98DD">
            <w:pPr>
              <w:jc w:val="center"/>
              <w:rPr>
                <w:rFonts w:hint="eastAsia" w:ascii="仿宋_GB2312" w:hAnsi="仿宋_GB2312" w:eastAsia="仿宋_GB2312" w:cs="仿宋_GB2312"/>
                <w:bCs/>
                <w:color w:val="000000"/>
                <w:sz w:val="28"/>
                <w:szCs w:val="28"/>
              </w:rPr>
            </w:pPr>
          </w:p>
          <w:p w14:paraId="561FCA4B">
            <w:pPr>
              <w:ind w:firstLine="211"/>
              <w:jc w:val="left"/>
              <w:rPr>
                <w:rFonts w:hint="eastAsia" w:ascii="仿宋_GB2312" w:hAnsi="仿宋_GB2312" w:eastAsia="仿宋_GB2312" w:cs="仿宋_GB2312"/>
                <w:sz w:val="22"/>
                <w:szCs w:val="28"/>
              </w:rPr>
            </w:pPr>
            <w:r>
              <w:rPr>
                <w:rFonts w:hint="eastAsia" w:ascii="仿宋_GB2312" w:hAnsi="仿宋_GB2312" w:eastAsia="仿宋_GB2312" w:cs="仿宋_GB2312"/>
                <w:sz w:val="24"/>
                <w:szCs w:val="32"/>
              </w:rPr>
              <w:t>2</w:t>
            </w:r>
          </w:p>
        </w:tc>
        <w:tc>
          <w:tcPr>
            <w:tcW w:w="0" w:type="auto"/>
            <w:vAlign w:val="center"/>
          </w:tcPr>
          <w:p w14:paraId="77816BF5">
            <w:pPr>
              <w:tabs>
                <w:tab w:val="left" w:pos="354"/>
              </w:tabs>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行政复议数字听证管理平台</w:t>
            </w:r>
          </w:p>
        </w:tc>
        <w:tc>
          <w:tcPr>
            <w:tcW w:w="0" w:type="auto"/>
            <w:vAlign w:val="center"/>
          </w:tcPr>
          <w:p w14:paraId="543A197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系统基础信息管理：</w:t>
            </w:r>
          </w:p>
          <w:p w14:paraId="6021DB0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系统基础信息管理提供了系统业务应用依赖的基础资源，包括用户管理、权限管理、组织机构管理、目录管理、物联设备管理、办案场所管理、门户管理，统一管理了组织、权限、用户、物联设备等资源，并提供门户、录像计划等配置能力。</w:t>
            </w:r>
          </w:p>
          <w:p w14:paraId="6EE46A2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一、目录资源管理</w:t>
            </w:r>
          </w:p>
          <w:p w14:paraId="1A32998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1、支持目录基础信息的增删改查、导入、导出等功能；</w:t>
            </w:r>
          </w:p>
          <w:p w14:paraId="339CF1A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2、支持配置多个业务目录。</w:t>
            </w:r>
          </w:p>
          <w:p w14:paraId="2195A74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3、办案场所、房间管理</w:t>
            </w:r>
          </w:p>
          <w:p w14:paraId="5C83443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二、设备信息管理</w:t>
            </w:r>
          </w:p>
          <w:p w14:paraId="54D291C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1、提供设备统一接入管理，包括：视频设备、报警设备、人证设备、审讯主机等</w:t>
            </w:r>
          </w:p>
          <w:p w14:paraId="5C942FA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三、组织机构管理</w:t>
            </w:r>
          </w:p>
          <w:p w14:paraId="1D33FA3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1、支持单位信息管理，管理单位编码、单位通称、单位全称、单位简称等信息。</w:t>
            </w:r>
          </w:p>
          <w:p w14:paraId="1EEFEE4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2、支持部门信息管理，管理部门编码、部门名称、部门简称、部门类型等信息。</w:t>
            </w:r>
          </w:p>
          <w:p w14:paraId="50A8A35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四、用户信息管理</w:t>
            </w:r>
          </w:p>
          <w:p w14:paraId="1474E4CC">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1、支持用户信息的增删改查、导入、导出；</w:t>
            </w:r>
          </w:p>
          <w:p w14:paraId="7E33AB4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2、支持用户安全管理，可绑定用户mac地址及IP，可自行修改用户密码或者管理员重置密码；</w:t>
            </w:r>
          </w:p>
          <w:p w14:paraId="53AD438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3、提供账户安全设置，支持账户密码有效期设置。</w:t>
            </w:r>
          </w:p>
          <w:p w14:paraId="438B00A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五、人员管理</w:t>
            </w:r>
          </w:p>
          <w:p w14:paraId="3FCC322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1、人员基础信息采集，人员的批量导入</w:t>
            </w:r>
          </w:p>
          <w:p w14:paraId="427494F0">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2、用户账号自动创建</w:t>
            </w:r>
          </w:p>
          <w:p w14:paraId="0A21056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六、平台门户</w:t>
            </w:r>
          </w:p>
          <w:p w14:paraId="606EC6A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1、支持用户自定义快捷入口；支持支持自定义菜单内容；</w:t>
            </w:r>
          </w:p>
          <w:p w14:paraId="0886D5F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2、支持页面元素设置，支持上传页面logo图标、修改网站标题、设置并添加网站外部链接；</w:t>
            </w:r>
          </w:p>
          <w:p w14:paraId="51EE294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视频监控应用提供视频管理服务，支持编码设备通过设备网络SDK协议、Ehome协议、ISUP5.0协议、GB28181协议、ONVIF协议、实现视频预览、录像回放、视频上墙、视频事件监控服务能力。</w:t>
            </w:r>
          </w:p>
          <w:p w14:paraId="51CD33CC">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一、视频预览</w:t>
            </w:r>
          </w:p>
          <w:p w14:paraId="4BC7942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1、支持视频实时预览能力，实现预览窗口布局切换、预览画面自适应及全屏切换；</w:t>
            </w:r>
          </w:p>
          <w:p w14:paraId="1BBC5AF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2、支持云台控制、实时抓图、紧急录像、即时回放、主子码流切换、声音开启\关闭</w:t>
            </w:r>
          </w:p>
          <w:p w14:paraId="7722B7C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3、支持智能规则展示的能力（如：针对热成像设备温度信息实时展示）；</w:t>
            </w:r>
          </w:p>
          <w:p w14:paraId="5242CD50">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4、支持资源视图管理能力，以视图形式管理监控点、视频预览轮巡等自定义资源组，其中视图类型包含公有视图和私有视图；</w:t>
            </w:r>
          </w:p>
          <w:p w14:paraId="6B65C02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5、支持全景视频监控预览能力，支持球型鹰眼、全景摄像机的全景模式；</w:t>
            </w:r>
          </w:p>
          <w:p w14:paraId="00F218D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二、录像回放</w:t>
            </w:r>
          </w:p>
          <w:p w14:paraId="4BD5240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1、支持录像计划管理能力，支持实时录像计划、录像回传计划；</w:t>
            </w:r>
          </w:p>
          <w:p w14:paraId="0C85C7C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2、支持录像回放能力，支持多画面同步回放和异步回放切换、超高倍速回放、分段回放、录像下载、录像剪辑、录像标签、录像锁定、录像抓图；</w:t>
            </w:r>
          </w:p>
          <w:p w14:paraId="69554AD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三、视频上墙</w:t>
            </w:r>
          </w:p>
          <w:p w14:paraId="2E64BF8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1、支持电视墙场景管理能力，实现场景窗口配置、场景切换计划配置以及轮巡计划的管理；</w:t>
            </w:r>
          </w:p>
          <w:p w14:paraId="04F22D1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2、支持上墙控制能力，实现场景一键上墙、场景切换、电视墙切换、监控点上下墙、轮巡控制操作；</w:t>
            </w:r>
          </w:p>
          <w:p w14:paraId="3F89782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设备运行状态采集：</w:t>
            </w:r>
          </w:p>
          <w:p w14:paraId="729A4F9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1，支持对设备在线情况进行检测；</w:t>
            </w:r>
          </w:p>
          <w:p w14:paraId="1CBB7D4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视频质量检测：</w:t>
            </w:r>
          </w:p>
          <w:p w14:paraId="5EEE826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1，支持对视频的图像质量进行检测;</w:t>
            </w:r>
          </w:p>
          <w:p w14:paraId="2F9CB6D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录像质量检测：</w:t>
            </w:r>
          </w:p>
          <w:p w14:paraId="7F7DABB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1，支持对录像的完整性进行检测；</w:t>
            </w:r>
          </w:p>
          <w:p w14:paraId="0F544D0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运维告警查询、处理：</w:t>
            </w:r>
          </w:p>
          <w:p w14:paraId="457BA9A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1，支持运维告警的查询和处理；</w:t>
            </w:r>
          </w:p>
          <w:p w14:paraId="353CF7A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运维结果报表展示 </w:t>
            </w:r>
          </w:p>
          <w:p w14:paraId="1EB6984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1，支持按月、时间 区间对各区域监控点在线率、图像正常率、录像完整率进行统计考核(区域运维、视频质量、录像完整性、取流情况、监控点、录像保存情况、监控点离线时长、云分析)</w:t>
            </w:r>
          </w:p>
          <w:p w14:paraId="2667D170">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1、听证预约</w:t>
            </w:r>
          </w:p>
          <w:p w14:paraId="153804F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支持本地听证、远程听证预约</w:t>
            </w:r>
          </w:p>
          <w:p w14:paraId="6B2C487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2、本地听证</w:t>
            </w:r>
          </w:p>
          <w:p w14:paraId="2BEC90B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支持本地听证一键开启/停止同步录音录像</w:t>
            </w:r>
          </w:p>
          <w:p w14:paraId="0E63DCF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3、远程听证</w:t>
            </w:r>
          </w:p>
          <w:p w14:paraId="563E343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支持一键建立双向音视频通信实现远程听证，听证过程中同步录音录像</w:t>
            </w:r>
          </w:p>
          <w:p w14:paraId="04B7AFA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4、听证记录</w:t>
            </w:r>
          </w:p>
          <w:p w14:paraId="22F4AA48">
            <w:pPr>
              <w:tabs>
                <w:tab w:val="left" w:pos="2259"/>
              </w:tabs>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21"/>
                <w:szCs w:val="21"/>
              </w:rPr>
              <w:t>支持以列表形式查看听证记录相关信息，包括听证过程中录像</w:t>
            </w:r>
          </w:p>
        </w:tc>
        <w:tc>
          <w:tcPr>
            <w:tcW w:w="0" w:type="auto"/>
            <w:vAlign w:val="center"/>
          </w:tcPr>
          <w:p w14:paraId="568F9D9C">
            <w:pPr>
              <w:jc w:val="center"/>
              <w:rPr>
                <w:rFonts w:hint="eastAsia" w:ascii="仿宋_GB2312" w:hAnsi="仿宋_GB2312" w:eastAsia="仿宋_GB2312" w:cs="仿宋_GB2312"/>
                <w:bCs/>
                <w:color w:val="000000"/>
                <w:sz w:val="32"/>
                <w:szCs w:val="32"/>
              </w:rPr>
            </w:pPr>
          </w:p>
          <w:p w14:paraId="3600BB96">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套</w:t>
            </w:r>
          </w:p>
          <w:p w14:paraId="63F7A9DD">
            <w:pPr>
              <w:jc w:val="center"/>
              <w:rPr>
                <w:rFonts w:hint="eastAsia" w:ascii="仿宋_GB2312" w:hAnsi="仿宋_GB2312" w:eastAsia="仿宋_GB2312" w:cs="仿宋_GB2312"/>
                <w:bCs/>
                <w:color w:val="000000"/>
                <w:sz w:val="32"/>
                <w:szCs w:val="32"/>
              </w:rPr>
            </w:pPr>
          </w:p>
        </w:tc>
        <w:tc>
          <w:tcPr>
            <w:tcW w:w="0" w:type="auto"/>
            <w:vAlign w:val="center"/>
          </w:tcPr>
          <w:p w14:paraId="4D369D51">
            <w:pPr>
              <w:jc w:val="center"/>
              <w:rPr>
                <w:rFonts w:hint="eastAsia" w:ascii="仿宋_GB2312" w:hAnsi="仿宋_GB2312" w:eastAsia="仿宋_GB2312" w:cs="仿宋_GB2312"/>
                <w:bCs/>
                <w:color w:val="000000"/>
                <w:sz w:val="32"/>
                <w:szCs w:val="32"/>
              </w:rPr>
            </w:pPr>
          </w:p>
          <w:p w14:paraId="3BFBF040">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p w14:paraId="3E841666">
            <w:pPr>
              <w:jc w:val="center"/>
              <w:rPr>
                <w:rFonts w:hint="eastAsia" w:ascii="仿宋_GB2312" w:hAnsi="仿宋_GB2312" w:eastAsia="仿宋_GB2312" w:cs="仿宋_GB2312"/>
                <w:bCs/>
                <w:color w:val="000000"/>
                <w:sz w:val="32"/>
                <w:szCs w:val="32"/>
              </w:rPr>
            </w:pPr>
          </w:p>
        </w:tc>
        <w:tc>
          <w:tcPr>
            <w:tcW w:w="0" w:type="auto"/>
            <w:vAlign w:val="center"/>
          </w:tcPr>
          <w:p w14:paraId="05D8A454">
            <w:pPr>
              <w:jc w:val="center"/>
              <w:rPr>
                <w:rFonts w:hint="eastAsia" w:ascii="仿宋_GB2312" w:hAnsi="仿宋_GB2312" w:eastAsia="仿宋_GB2312" w:cs="仿宋_GB2312"/>
                <w:bCs/>
                <w:color w:val="000000"/>
                <w:sz w:val="32"/>
                <w:szCs w:val="32"/>
              </w:rPr>
            </w:pPr>
          </w:p>
        </w:tc>
      </w:tr>
      <w:tr w14:paraId="0F53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0B7EE2E6">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w:t>
            </w:r>
          </w:p>
        </w:tc>
        <w:tc>
          <w:tcPr>
            <w:tcW w:w="0" w:type="auto"/>
            <w:vAlign w:val="center"/>
          </w:tcPr>
          <w:p w14:paraId="15BF796D">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公开听证专用主机</w:t>
            </w:r>
          </w:p>
        </w:tc>
        <w:tc>
          <w:tcPr>
            <w:tcW w:w="0" w:type="auto"/>
            <w:vAlign w:val="center"/>
          </w:tcPr>
          <w:p w14:paraId="3D13DEB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1、支持6路400W IPC接入或8路1080p IPC输入；</w:t>
            </w:r>
          </w:p>
          <w:p w14:paraId="3B47DA2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2、自带7寸触摸屏；</w:t>
            </w:r>
          </w:p>
          <w:p w14:paraId="59D3EB2C">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3、支持画中画配置（画面合成）；</w:t>
            </w:r>
          </w:p>
          <w:p w14:paraId="3E6A035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4、支持一键刻录、一键回放、一键打点；</w:t>
            </w:r>
          </w:p>
          <w:p w14:paraId="124D782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5、2路VGA输入和2路HDMI输入；</w:t>
            </w:r>
          </w:p>
          <w:p w14:paraId="7F9330B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6、2路HDMI输出，1路VGA输出；</w:t>
            </w:r>
          </w:p>
          <w:p w14:paraId="625E29C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7、支持全路数H.265编解码；</w:t>
            </w:r>
          </w:p>
          <w:p w14:paraId="6CDDC4A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8、支持视频信息上叠加温湿度信息；</w:t>
            </w:r>
          </w:p>
          <w:p w14:paraId="482345A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9、智能分析路数：4路智能行为分析；</w:t>
            </w:r>
          </w:p>
          <w:p w14:paraId="51B0FBF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10、智能分析功能：人数异常检测、站立起身检测、攀高检测、离岗/睡岗检测、剧烈运动检测、离床检测、声强突变等8种异常行为分析和实时报警；</w:t>
            </w:r>
          </w:p>
          <w:p w14:paraId="3BEC8C3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11、标配2个DVD光驱，支持双光驱同步刻录；</w:t>
            </w:r>
          </w:p>
          <w:p w14:paraId="75F3559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12、支持智能行为分析，包含人数异常、站立起身、离床检测、离岗、睡岗、剧烈运动、声音突变等9种类型；</w:t>
            </w:r>
          </w:p>
          <w:p w14:paraId="4551625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13、启用无声通道，可对无声音权限的人员传输屏蔽声音的视频；</w:t>
            </w:r>
          </w:p>
          <w:p w14:paraId="5EC0974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14、★证据展示功能，支持2路本地展示（HDMI或VGA输入）和1路远程证据展示；</w:t>
            </w:r>
          </w:p>
          <w:p w14:paraId="2BB1542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15、★支持运行状态显示与自动维护功能；</w:t>
            </w:r>
          </w:p>
          <w:p w14:paraId="3C433EC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16、★设备最大接入带宽256Mbps，IPC主码流支持接入3840×2160、3072×2048、2560×1920、2560×1440、1920×1080、1280×720分辨率；</w:t>
            </w:r>
          </w:p>
          <w:p w14:paraId="270C1E7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17、★音频输入和输出音频可调，支持声音波形显示，具备最大10路音频混音；</w:t>
            </w:r>
          </w:p>
          <w:p w14:paraId="1B5ED10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18、★对视频质量实时检测分析，包含图像模糊、亮度异常、图像偏色。可设置阈值，超过阈值可联动报警弹窗、声音警告；</w:t>
            </w:r>
          </w:p>
        </w:tc>
        <w:tc>
          <w:tcPr>
            <w:tcW w:w="0" w:type="auto"/>
            <w:vAlign w:val="center"/>
          </w:tcPr>
          <w:p w14:paraId="103E7C51">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120D6454">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04080B29">
            <w:pPr>
              <w:jc w:val="center"/>
              <w:rPr>
                <w:rFonts w:hint="eastAsia" w:ascii="仿宋_GB2312" w:hAnsi="仿宋_GB2312" w:eastAsia="仿宋_GB2312" w:cs="仿宋_GB2312"/>
                <w:bCs/>
                <w:color w:val="000000"/>
                <w:sz w:val="32"/>
                <w:szCs w:val="32"/>
              </w:rPr>
            </w:pPr>
          </w:p>
        </w:tc>
      </w:tr>
      <w:tr w14:paraId="2253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574C3621">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4</w:t>
            </w:r>
          </w:p>
        </w:tc>
        <w:tc>
          <w:tcPr>
            <w:tcW w:w="0" w:type="auto"/>
            <w:vAlign w:val="center"/>
          </w:tcPr>
          <w:p w14:paraId="204104BD">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全景摄像机</w:t>
            </w:r>
          </w:p>
        </w:tc>
        <w:tc>
          <w:tcPr>
            <w:tcW w:w="0" w:type="auto"/>
            <w:vAlign w:val="center"/>
          </w:tcPr>
          <w:p w14:paraId="57CF328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1、不低于400W像素</w:t>
            </w:r>
          </w:p>
          <w:p w14:paraId="5EAEA7C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2、内置1个麦克风；</w:t>
            </w:r>
          </w:p>
          <w:p w14:paraId="6787C74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3、具有1个RJ45网络接口；</w:t>
            </w:r>
          </w:p>
          <w:p w14:paraId="2D7EF62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4、支持IP67防尘防水；</w:t>
            </w:r>
          </w:p>
          <w:p w14:paraId="5C8A1A2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5、支持poe供电；</w:t>
            </w:r>
          </w:p>
          <w:p w14:paraId="656243EC">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6、能在额定电源电压±30%范围内正常工作，支持防反接保护；</w:t>
            </w:r>
          </w:p>
          <w:p w14:paraId="6D9A28F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7、支持SD卡热插拔，SD卡最大支持256GB；</w:t>
            </w:r>
          </w:p>
          <w:p w14:paraId="60FE443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8、在2688x1520下分辨力可达到1500TVL；</w:t>
            </w:r>
          </w:p>
          <w:p w14:paraId="4C7D49F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9、支持红外补光，可识别距离60m处人体轮廓；</w:t>
            </w:r>
          </w:p>
          <w:p w14:paraId="5603658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10、需支持IK10防暴等级；</w:t>
            </w:r>
          </w:p>
          <w:p w14:paraId="467C9FC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11、低照度彩色：0.002 lx，黑白:0.0002 lx，最大亮度鉴别等级（灰度等级）不小于11级；</w:t>
            </w:r>
          </w:p>
        </w:tc>
        <w:tc>
          <w:tcPr>
            <w:tcW w:w="0" w:type="auto"/>
            <w:vAlign w:val="center"/>
          </w:tcPr>
          <w:p w14:paraId="14FBFDC6">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7FFCDF6B">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w:t>
            </w:r>
          </w:p>
        </w:tc>
        <w:tc>
          <w:tcPr>
            <w:tcW w:w="0" w:type="auto"/>
            <w:vAlign w:val="center"/>
          </w:tcPr>
          <w:p w14:paraId="7B2D756B">
            <w:pPr>
              <w:jc w:val="center"/>
              <w:rPr>
                <w:rFonts w:hint="eastAsia" w:ascii="仿宋_GB2312" w:hAnsi="仿宋_GB2312" w:eastAsia="仿宋_GB2312" w:cs="仿宋_GB2312"/>
                <w:bCs/>
                <w:color w:val="000000"/>
                <w:sz w:val="32"/>
                <w:szCs w:val="32"/>
              </w:rPr>
            </w:pPr>
          </w:p>
        </w:tc>
      </w:tr>
      <w:tr w14:paraId="7209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2290B728">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5</w:t>
            </w:r>
          </w:p>
        </w:tc>
        <w:tc>
          <w:tcPr>
            <w:tcW w:w="0" w:type="auto"/>
            <w:vAlign w:val="center"/>
          </w:tcPr>
          <w:p w14:paraId="07DD5D7C">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听证终端</w:t>
            </w:r>
          </w:p>
        </w:tc>
        <w:tc>
          <w:tcPr>
            <w:tcW w:w="0" w:type="auto"/>
            <w:vAlign w:val="center"/>
          </w:tcPr>
          <w:p w14:paraId="45A02E2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1、智能分体式6进5出终端 (输出1个同源)，多路分体式视频会议终端，采用分体式设计， 支持6路视频输入和5路视频输出， 支持6路音频输入和5路音频输出， 支持4K高清和H.265编解码， 支持召开6方1080P MCU多点会议。</w:t>
            </w:r>
          </w:p>
          <w:p w14:paraId="5C74E1C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2、智能身份识别，无需人工签到</w:t>
            </w:r>
          </w:p>
          <w:p w14:paraId="60A8D56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3、外接摄像头支持参会人数采集和识别，并在本地画面中 OSD 叠加显示参会人数。</w:t>
            </w:r>
          </w:p>
          <w:p w14:paraId="075D116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4、支持人员识别数据上传至上级平台。</w:t>
            </w:r>
          </w:p>
          <w:p w14:paraId="59D2D4B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5、支持根据人脸比对结果， 识别该人员是否存在预约会议，如存在则自动为其发起会议</w:t>
            </w:r>
          </w:p>
          <w:p w14:paraId="179709F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6、网络接口 ：2 个 RJ45 10M/100M/1000Mbps 自适应以太网口</w:t>
            </w:r>
          </w:p>
          <w:p w14:paraId="28521A0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7、视频输入 ：2 个 HDMI 输入口、2 个 DVI 输入口（支持转换为 HDMI， VGA， YPbPr， CVBS）、2 个 3G-SDI 输入口</w:t>
            </w:r>
          </w:p>
          <w:p w14:paraId="52E268D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8、视频输出 ：2 个 HDMI 输出口：2 个 DVI 输出口：1 个 3G-SDI 输出口</w:t>
            </w:r>
          </w:p>
          <w:p w14:paraId="34CF2B9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9、串行接口 ：2 个 RS-232/485 串口</w:t>
            </w:r>
          </w:p>
          <w:p w14:paraId="0ED71C0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10、USB 接口 ：2 个 USB 2.0</w:t>
            </w:r>
          </w:p>
          <w:p w14:paraId="711DE50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11、支持在会议中，自动识别辅码流视频并 显示在会议画面中； 支持在空闲时，自动识别辅码流视频并 显示在本地显示器上，无需切换显示器视频源。（提供封面具有CNAS和CMA标志的权威检测机构的报告复印件加盖公章）</w:t>
            </w:r>
          </w:p>
          <w:p w14:paraId="070E2B9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12、在开会时，终端从另一终端接收到视频 图像的延时应≤200毫秒（提供封面具有CNAS和CMA标志的权威检测机构的报告复印件加盖公章）</w:t>
            </w:r>
          </w:p>
          <w:p w14:paraId="7224B9D0">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13、★支持将会议画面作为RTSP监控码流发 送给其他监控系统，会议和监控系统同时使 用该画面； 支持同网段的高清监控摄像机通过IP 网络将监控图像发送给设备，支持在会议过 程中调看实时监控画面。 （提供封面具有CNAS和CMA标志的权威检测机构的报告复印件加盖公章）</w:t>
            </w:r>
          </w:p>
          <w:p w14:paraId="2060922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14、★支持将会议画面作为RTSP监控码流发 送给其他监控系统，会议和监控系统同时使 用该画面； 支持同网段的高清监控摄像机通过IP 网络将监控图像发送给设备，支持在会议过 程中调看实时监控画面。 （提供封面具有CNAS和CMA标志的权威检测机构的报告复印件加盖公章）</w:t>
            </w:r>
          </w:p>
          <w:p w14:paraId="4C314B4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15、★能够保存10000张人脸信息，人脸识别 准确率≥99%,识别时间≤200ms（提供封面具有CNAS和CMA标志的权威检测机构的报告复印件加盖公章）</w:t>
            </w:r>
          </w:p>
          <w:p w14:paraId="7A6190D0">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16、★支持人脸信息单个导入； 支持按照模板批量人脸导入； 支持已导入人员信息快速查询筛选。（提供封面具有CNAS和CMA标志的权威检测机构的报告复印件加盖公章）</w:t>
            </w:r>
          </w:p>
          <w:p w14:paraId="7E46A1C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17、★终端支持自定义开启和关闭人脸识别功能； 终端支持自定义开启和关闭电子铭牌功 能； 终端支持自定义开启和关闭自动签到功 能（提供封面具有CNAS和CMA标志的权威检测机构的报告复印件加盖公章）</w:t>
            </w:r>
          </w:p>
        </w:tc>
        <w:tc>
          <w:tcPr>
            <w:tcW w:w="0" w:type="auto"/>
            <w:vAlign w:val="center"/>
          </w:tcPr>
          <w:p w14:paraId="48FFB403">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5FEE1B71">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33D480E4">
            <w:pPr>
              <w:jc w:val="center"/>
              <w:rPr>
                <w:rFonts w:hint="eastAsia" w:ascii="仿宋_GB2312" w:hAnsi="仿宋_GB2312" w:eastAsia="仿宋_GB2312" w:cs="仿宋_GB2312"/>
                <w:bCs/>
                <w:color w:val="000000"/>
                <w:sz w:val="32"/>
                <w:szCs w:val="32"/>
              </w:rPr>
            </w:pPr>
          </w:p>
        </w:tc>
      </w:tr>
      <w:tr w14:paraId="6BEF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vAlign w:val="center"/>
          </w:tcPr>
          <w:p w14:paraId="5C9FA548">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6</w:t>
            </w:r>
          </w:p>
        </w:tc>
        <w:tc>
          <w:tcPr>
            <w:tcW w:w="0" w:type="auto"/>
            <w:vAlign w:val="center"/>
          </w:tcPr>
          <w:p w14:paraId="59F798F5">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听证特写摄像机</w:t>
            </w:r>
          </w:p>
        </w:tc>
        <w:tc>
          <w:tcPr>
            <w:tcW w:w="0" w:type="auto"/>
            <w:vAlign w:val="center"/>
          </w:tcPr>
          <w:p w14:paraId="04A6946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1、会议摄像机具有 PTZ控制功能；</w:t>
            </w:r>
          </w:p>
          <w:p w14:paraId="260A4DF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2、会议摄像机具有 変焦功能，支持12倍光学变焦；</w:t>
            </w:r>
          </w:p>
          <w:p w14:paraId="65D402C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3、会议摄像机视频分辨率为：4096× 2160/30fps、1920× 1080/60fps；</w:t>
            </w:r>
          </w:p>
          <w:p w14:paraId="1A4F308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4、会议摄像机支持HDMI 接口、3G-SDI接口、USB接口、LAN接口；</w:t>
            </w:r>
          </w:p>
          <w:p w14:paraId="6ECE56F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5、会议摄像机水平中心分辨率不小于 2000TVL(4096×2160/30fps)，提供具备CNAS标识的第三方检测报告证明文件；</w:t>
            </w:r>
          </w:p>
          <w:p w14:paraId="10A9CA7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6、图像信噪比≥62dB；</w:t>
            </w:r>
          </w:p>
          <w:p w14:paraId="755C915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7、前后左右 1m处噪声小于20dB；</w:t>
            </w:r>
          </w:p>
          <w:p w14:paraId="3B941C8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8、会议摄像机支持倒装方式安装，提供具备CNAS标识的第三方检测报告证明文件；</w:t>
            </w:r>
          </w:p>
          <w:p w14:paraId="305E50B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9、最大亮度鉴别等级不低于11级；</w:t>
            </w:r>
          </w:p>
        </w:tc>
        <w:tc>
          <w:tcPr>
            <w:tcW w:w="0" w:type="auto"/>
            <w:vAlign w:val="center"/>
          </w:tcPr>
          <w:p w14:paraId="3CEED3E7">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43232CAE">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w:t>
            </w:r>
          </w:p>
        </w:tc>
        <w:tc>
          <w:tcPr>
            <w:tcW w:w="0" w:type="auto"/>
            <w:vAlign w:val="center"/>
          </w:tcPr>
          <w:p w14:paraId="1C150FC6">
            <w:pPr>
              <w:jc w:val="center"/>
              <w:rPr>
                <w:rFonts w:hint="eastAsia" w:ascii="仿宋_GB2312" w:hAnsi="仿宋_GB2312" w:eastAsia="仿宋_GB2312" w:cs="仿宋_GB2312"/>
                <w:bCs/>
                <w:color w:val="000000"/>
                <w:sz w:val="32"/>
                <w:szCs w:val="32"/>
              </w:rPr>
            </w:pPr>
          </w:p>
        </w:tc>
      </w:tr>
      <w:tr w14:paraId="001C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60759782">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7</w:t>
            </w:r>
          </w:p>
        </w:tc>
        <w:tc>
          <w:tcPr>
            <w:tcW w:w="0" w:type="auto"/>
            <w:vAlign w:val="center"/>
          </w:tcPr>
          <w:p w14:paraId="02E9E6FA">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听证复议MCU</w:t>
            </w:r>
          </w:p>
        </w:tc>
        <w:tc>
          <w:tcPr>
            <w:tcW w:w="0" w:type="auto"/>
            <w:vAlign w:val="center"/>
          </w:tcPr>
          <w:p w14:paraId="1882A87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1、国产化MCU；</w:t>
            </w:r>
          </w:p>
          <w:p w14:paraId="00AA45F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2、AVC编解码技术，支持各类硬件终端、桌面终端、会议平板多类终端混合会议，实现视频、音频、数据无缝融合、会议协作；</w:t>
            </w:r>
          </w:p>
          <w:p w14:paraId="217D2CE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3、支持自定义画面布局模式，调整终端画面在画面布局的具体位置，最大25窗口；</w:t>
            </w:r>
          </w:p>
          <w:p w14:paraId="27110FC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4、支持画面布局语音激励模式，自动激励会议中声音最大会场，布局“C”位呈现会场画面；</w:t>
            </w:r>
          </w:p>
          <w:p w14:paraId="21DE22D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5、支持自动画面合成模式，根据会议在线终端数目自动调整画面布局；</w:t>
            </w:r>
          </w:p>
          <w:p w14:paraId="2BFA632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6、支持画面布局轮询模式，可实现对会议中所有会场遍历，有效提升会议体验；</w:t>
            </w:r>
          </w:p>
          <w:p w14:paraId="670EC85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7、丰富会议管理控制，便捷控制；</w:t>
            </w:r>
          </w:p>
          <w:p w14:paraId="12CE01A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8、支持预约会议、即时会议、查看在线会议、查询历史会议 、会议模板管理、会议延长、会议免打扰(终端无法主动入会)、会议倒计时提醒；</w:t>
            </w:r>
          </w:p>
          <w:p w14:paraId="3DB181B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9、支持会场选看，全场静音、全场禁言/取消禁言、会议轮询、点名轮训等会议控制功能；</w:t>
            </w:r>
          </w:p>
          <w:p w14:paraId="7AB121F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10、支持开启/关闭终端演示、打开/屏蔽终端画面、开启/关闭麦克风、开启/关闭扬声器等终端控制功能；</w:t>
            </w:r>
          </w:p>
          <w:p w14:paraId="3CBC8D0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11、纯国产自主可控，高安全性；</w:t>
            </w:r>
          </w:p>
          <w:p w14:paraId="1CCD59D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12、支持视频35%丢包情况下，会议视频画面流畅进行；音频80%丢包情况下，会议声音能正常识别；</w:t>
            </w:r>
          </w:p>
          <w:p w14:paraId="24DE0C5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13、支持根据网络带宽变化的情况，自动调试会议视频分辨率和码率，确保会议画面流畅；</w:t>
            </w:r>
          </w:p>
          <w:p w14:paraId="0E3F0C90">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14、支持远程获取和配置参数，导出和导入参数 ，远程升级、远程重启、恢复出厂配置、调试抓包、导出设备日志等运维功能；</w:t>
            </w:r>
          </w:p>
          <w:p w14:paraId="08EDEC6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15、支持配置GK/SIP服务器信息，可灵活应对公私网穿越场景 ；</w:t>
            </w:r>
          </w:p>
          <w:p w14:paraId="410B736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16、支持通过 H.323/SIP/RTSP 协议呼叫终端，支持最大 64kbps-16Mbps 速率；需提供带有 CNAS标识的第三方检测报告证明；</w:t>
            </w:r>
          </w:p>
          <w:p w14:paraId="5ADF4D8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17、★支持多画面功能，多画面中的每个分屏支持叠加会场名称，支持 30 分屏 4K 多画面，支持2/3/4/5/6/8/9/13/16/25/28/30等多画面类型，支持 VIP 格式的多画面（一个大画面带几个小画面）；需提供带有 CNAS标识的第三方检测报告证明；</w:t>
            </w:r>
          </w:p>
          <w:p w14:paraId="17B91E6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18、★支持会议预览功能，对任意会场、多画面进行实时图像监控预览功能，支持同时预览不少于 32 路图像；需提供带有 CNAS标识的第三方检测报告证明；</w:t>
            </w:r>
          </w:p>
          <w:p w14:paraId="4FACB4E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19、★支持设置会议倒计时，终端会场会提醒结束通知；需提供带有 CNAS标识的第三方检测报告证明；</w:t>
            </w:r>
          </w:p>
          <w:p w14:paraId="4AA3580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20、★支持监控复用在不增加第三方设备或网关情况下，把会议画面作为 RTSP监控码流发送给监控系统，会议和监控功能同时使用，实现一机两用；在不增加第三方设备或网关情况下，支持同网段的高清监控摄像头通过 IP 网络将监控 RTSP 码流发送给 MCU，支持在会议过程中调看实时监控画面；需提供带有 CNAS标识的第三方检测报告证明；</w:t>
            </w:r>
          </w:p>
          <w:p w14:paraId="14DCC61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21、★支持智能考勤，支持设置考勤模板，设置模板名称，支持查看持续时长，考勤状态，支持添加考勤人员；支持设备人脸库管理，支持对设备下发人脸照片；需提供带有 CNAS标识的第三方检测报告证明；</w:t>
            </w:r>
          </w:p>
          <w:p w14:paraId="32A1078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22、★支持设备扫描软件发现、激活设备， 查看设备型号、版本、网络信息，修改设备网络信息；需提供带有 CNAS标识的第三方检测报告证明；</w:t>
            </w:r>
          </w:p>
        </w:tc>
        <w:tc>
          <w:tcPr>
            <w:tcW w:w="0" w:type="auto"/>
            <w:vAlign w:val="center"/>
          </w:tcPr>
          <w:p w14:paraId="5206CB26">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19A2F933">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0845ABE8">
            <w:pPr>
              <w:jc w:val="center"/>
              <w:rPr>
                <w:rFonts w:hint="eastAsia" w:ascii="仿宋_GB2312" w:hAnsi="仿宋_GB2312" w:eastAsia="仿宋_GB2312" w:cs="仿宋_GB2312"/>
                <w:bCs/>
                <w:color w:val="000000"/>
                <w:sz w:val="32"/>
                <w:szCs w:val="32"/>
              </w:rPr>
            </w:pPr>
          </w:p>
        </w:tc>
      </w:tr>
      <w:tr w14:paraId="30D5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63529457">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w:t>
            </w:r>
          </w:p>
        </w:tc>
        <w:tc>
          <w:tcPr>
            <w:tcW w:w="0" w:type="auto"/>
            <w:vAlign w:val="center"/>
          </w:tcPr>
          <w:p w14:paraId="31CB37A7">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高清编码器</w:t>
            </w:r>
          </w:p>
        </w:tc>
        <w:tc>
          <w:tcPr>
            <w:tcW w:w="0" w:type="auto"/>
            <w:vAlign w:val="center"/>
          </w:tcPr>
          <w:p w14:paraId="29FB4220">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1、HDMI最大支持4K（3840×2160)/30Hz）；VGA信号最大支持1080P（1920×1080/60HZ）信号输入；</w:t>
            </w:r>
          </w:p>
          <w:p w14:paraId="20F525E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2、视频输入源默认自适应识别；并可支持固定输入源为HDMI或VGA信号；</w:t>
            </w:r>
          </w:p>
          <w:p w14:paraId="58725BC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3、支持1路HDMI信号输出，信号最大支持4K（3840×2160)/30Hz；</w:t>
            </w:r>
          </w:p>
          <w:p w14:paraId="501AB62C">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4、支持PoE供电、支持DC 12V供电；</w:t>
            </w:r>
          </w:p>
          <w:p w14:paraId="40401D4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5、支持TCP、UDP、GB28181、RTMP、NTP、RTSP、PPPoE、HTTP、HTTPS、DHCP、DDNS、ONVIF等网络协议；</w:t>
            </w:r>
          </w:p>
          <w:p w14:paraId="79560CD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6、支持区域剪裁功能、绘制剪裁区域后、预览画面将显示剪裁预期的视频画面；</w:t>
            </w:r>
          </w:p>
          <w:p w14:paraId="5F2C511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7、支持最大接入2路网络摄像机，与HDMI/VGA通道做视频画面合成，画面合成分辨率不低于1080P，画面分割模式可选2分割、1大2小；</w:t>
            </w:r>
          </w:p>
          <w:p w14:paraId="2D85EE0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8、支持一键reset恢复默认出厂配置；</w:t>
            </w:r>
          </w:p>
          <w:p w14:paraId="75C00AF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9、支持OSD字符叠加功能，除时间、通道名称外，支持6行自定义字符叠加，OSD字体大小可设置大小（16*16、32*32、64*64可选）；</w:t>
            </w:r>
          </w:p>
          <w:p w14:paraId="60444AB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10、支持移动侦测、区域遮挡、视频丢失、IO报警输入报警功能设置与联动；</w:t>
            </w:r>
          </w:p>
          <w:p w14:paraId="35B6E28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11、支持视频遮盖功能，支持自定义视频遮盖区域；</w:t>
            </w:r>
          </w:p>
          <w:p w14:paraId="6279584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12、音频信号源可选HDMI输入或AUDIO IN输入；</w:t>
            </w:r>
          </w:p>
        </w:tc>
        <w:tc>
          <w:tcPr>
            <w:tcW w:w="0" w:type="auto"/>
            <w:vAlign w:val="center"/>
          </w:tcPr>
          <w:p w14:paraId="2BD02A50">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4385EDBF">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w:t>
            </w:r>
          </w:p>
        </w:tc>
        <w:tc>
          <w:tcPr>
            <w:tcW w:w="0" w:type="auto"/>
            <w:vAlign w:val="center"/>
          </w:tcPr>
          <w:p w14:paraId="3699671E">
            <w:pPr>
              <w:jc w:val="center"/>
              <w:rPr>
                <w:rFonts w:hint="eastAsia" w:ascii="仿宋_GB2312" w:hAnsi="仿宋_GB2312" w:eastAsia="仿宋_GB2312" w:cs="仿宋_GB2312"/>
                <w:bCs/>
                <w:color w:val="000000"/>
                <w:sz w:val="32"/>
                <w:szCs w:val="32"/>
              </w:rPr>
            </w:pPr>
          </w:p>
        </w:tc>
      </w:tr>
      <w:tr w14:paraId="01FA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024ABAEF">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9</w:t>
            </w:r>
          </w:p>
        </w:tc>
        <w:tc>
          <w:tcPr>
            <w:tcW w:w="0" w:type="auto"/>
            <w:vAlign w:val="center"/>
          </w:tcPr>
          <w:p w14:paraId="5F6DB6D7">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高清解码器</w:t>
            </w:r>
          </w:p>
        </w:tc>
        <w:tc>
          <w:tcPr>
            <w:tcW w:w="0" w:type="auto"/>
            <w:vAlign w:val="center"/>
          </w:tcPr>
          <w:p w14:paraId="3C7266D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1、采用嵌入式架构，专用Linux系统，使用DSP解码。为了设备稳定可靠运行，不得采用工控机或者PC机的X86架构；</w:t>
            </w:r>
          </w:p>
          <w:p w14:paraId="0F42D44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2、为保证产品兼容性，需提供设备支持GB/T 28181-2022的证明；</w:t>
            </w:r>
          </w:p>
          <w:p w14:paraId="04C6372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3、支持对输入的视频画面进行90°、180°、270°旋转显示；</w:t>
            </w:r>
          </w:p>
          <w:p w14:paraId="5DB9F4C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4、设备接入具有智能分析功能的摄像机，可解码显示智能分析信息，包括移动侦测、越界入侵、区域入侵、起身离开等，并上传报警信息；</w:t>
            </w:r>
          </w:p>
          <w:p w14:paraId="5E689C0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5、支持前端接入智能摄像机，直连前端人脸检测设备，可实时展示人脸检测结果，包括年龄、性别、是否戴眼镜等人脸属性信息；属性直接叠加画面显示；</w:t>
            </w:r>
          </w:p>
          <w:p w14:paraId="1F6FE20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6、支持黑白名单功能，可设置256个黑白名单；当设置白名单时，只允许白名单IP访问设备；</w:t>
            </w:r>
          </w:p>
          <w:p w14:paraId="516E1E2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7、支持PC 软件客户端、WEB 浏览器客户端、平台客户端、IPAD、可视化触控平台方式访问管理；</w:t>
            </w:r>
          </w:p>
          <w:p w14:paraId="7126FA7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8、支持通过IE浏览器进行网络模式设置，包括设置为流畅性优先/实时性优先；</w:t>
            </w:r>
          </w:p>
          <w:p w14:paraId="3CF3C4E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9、可通过设备抓屏软件，将远程电脑桌面实时解码上墙显示，画面帧率可达30fps；</w:t>
            </w:r>
          </w:p>
          <w:p w14:paraId="638FAF4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10、可通过客户端软件导入和导出设备配置参数；</w:t>
            </w:r>
          </w:p>
          <w:p w14:paraId="741B7E9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11、★为保证产品兼容性，需提供设备支持GB/T 28181-2022的证明。（提供具有CNAS资质认证标识的检测机构出具的公安部报告证明。）</w:t>
            </w:r>
          </w:p>
          <w:p w14:paraId="67F5834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12、★支持对输入的视频画面进行90°、180°、270°旋转显示。（提供封面具有CNAS认证标识的公安部报告证明。）</w:t>
            </w:r>
          </w:p>
          <w:p w14:paraId="2F29677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13、★设备接入具有智能行为分析功能的摄像机，可解码显示智能行为分析信息，包括移动侦测、越界入侵、区域入侵、起身离开等，并上传报警信息。（提供封面具有CNAS认证标识的公安部报告证明。）</w:t>
            </w:r>
          </w:p>
          <w:p w14:paraId="47E9197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14、★支持前端接入智能摄像机，直连前端人脸检测设备，可实时展示人脸检测结果，包括年龄、性别、是否戴眼镜等人脸属性信息；属性直接叠加画面显示。（提供封面具有CNAS认证标识的公安部报告证明。）</w:t>
            </w:r>
          </w:p>
          <w:p w14:paraId="1C40DD1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15、★可通过客户端软件设置输出分辨率为3840*2160(30Hz、1920*1080(50Hz)、1920*1080(60Hz))、1680*1050(60Hz)、1600*1200(60Hz)、1280*1024(60Hz)、1280*720(60Hz)、1280*720(50Hz)、1024*768(60Hz)。（提供封面具有CNAS认证标识的公安部报告证明）</w:t>
            </w:r>
          </w:p>
          <w:p w14:paraId="0E118B4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16、★可将样机当前的解码输出模式设置为一个场景，样机可保存多个场景，并可通过客户端软件切换样机场景提供封面具有CNAS认证标识的公安部报告证明。（提供封面具有CNAS认证标识的公安部报告证明。）</w:t>
            </w:r>
          </w:p>
        </w:tc>
        <w:tc>
          <w:tcPr>
            <w:tcW w:w="0" w:type="auto"/>
            <w:vAlign w:val="center"/>
          </w:tcPr>
          <w:p w14:paraId="1BB906BF">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2A63FA26">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796297D6">
            <w:pPr>
              <w:jc w:val="center"/>
              <w:rPr>
                <w:rFonts w:hint="eastAsia" w:ascii="仿宋_GB2312" w:hAnsi="仿宋_GB2312" w:eastAsia="仿宋_GB2312" w:cs="仿宋_GB2312"/>
                <w:bCs/>
                <w:color w:val="000000"/>
                <w:sz w:val="32"/>
                <w:szCs w:val="32"/>
              </w:rPr>
            </w:pPr>
          </w:p>
        </w:tc>
      </w:tr>
      <w:tr w14:paraId="6474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7D8D8239">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10</w:t>
            </w:r>
          </w:p>
        </w:tc>
        <w:tc>
          <w:tcPr>
            <w:tcW w:w="0" w:type="auto"/>
            <w:vAlign w:val="center"/>
          </w:tcPr>
          <w:p w14:paraId="2945A023">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校时服务器</w:t>
            </w:r>
          </w:p>
        </w:tc>
        <w:tc>
          <w:tcPr>
            <w:tcW w:w="0" w:type="auto"/>
            <w:vAlign w:val="center"/>
          </w:tcPr>
          <w:p w14:paraId="67F06F1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1、支持多网域校时；</w:t>
            </w:r>
          </w:p>
          <w:p w14:paraId="247C837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2、支持双机热备方案；</w:t>
            </w:r>
          </w:p>
          <w:p w14:paraId="5B82314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3、处理器：ARM处理器；</w:t>
            </w:r>
          </w:p>
          <w:p w14:paraId="7111A77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4、同步精度：卫星同步精度纳秒级；NTP同步精度毫秒级；</w:t>
            </w:r>
          </w:p>
          <w:p w14:paraId="2ECD8C7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5、授时容量：500次/每秒（默认NTP1~2端口绑定，实现网口高可用）；</w:t>
            </w:r>
          </w:p>
          <w:p w14:paraId="02E1B23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6、授时精度：≤1ms；</w:t>
            </w:r>
          </w:p>
          <w:p w14:paraId="111256E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7、授时频段：GPS: 1575.42±1.023MHz ，北斗: 1561.098±2.046MHz ；</w:t>
            </w:r>
          </w:p>
          <w:p w14:paraId="400291A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8、支持双机心跳监测互备功能；</w:t>
            </w:r>
          </w:p>
          <w:p w14:paraId="041387E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9、支持上级NTP设备输入级联；</w:t>
            </w:r>
          </w:p>
          <w:p w14:paraId="25CB3C5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10、可通过WEB管理对NTP时钟进行配置管理；</w:t>
            </w:r>
          </w:p>
          <w:p w14:paraId="045E011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11、支持NTP告警记录和日志信息查询导出；</w:t>
            </w:r>
          </w:p>
        </w:tc>
        <w:tc>
          <w:tcPr>
            <w:tcW w:w="0" w:type="auto"/>
            <w:vAlign w:val="center"/>
          </w:tcPr>
          <w:p w14:paraId="49650ED7">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121E73FC">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65EEA168">
            <w:pPr>
              <w:jc w:val="center"/>
              <w:rPr>
                <w:rFonts w:hint="eastAsia" w:ascii="仿宋_GB2312" w:hAnsi="仿宋_GB2312" w:eastAsia="仿宋_GB2312" w:cs="仿宋_GB2312"/>
                <w:bCs/>
                <w:color w:val="000000"/>
                <w:sz w:val="32"/>
                <w:szCs w:val="32"/>
              </w:rPr>
            </w:pPr>
          </w:p>
        </w:tc>
      </w:tr>
      <w:tr w14:paraId="72F4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01A2D5FA">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11</w:t>
            </w:r>
          </w:p>
        </w:tc>
        <w:tc>
          <w:tcPr>
            <w:tcW w:w="0" w:type="auto"/>
            <w:vAlign w:val="center"/>
          </w:tcPr>
          <w:p w14:paraId="789E3376">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NTP天线</w:t>
            </w:r>
          </w:p>
        </w:tc>
        <w:tc>
          <w:tcPr>
            <w:tcW w:w="0" w:type="auto"/>
            <w:vAlign w:val="center"/>
          </w:tcPr>
          <w:p w14:paraId="40E3D78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1、天线材质：介质陶瓷；</w:t>
            </w:r>
          </w:p>
          <w:p w14:paraId="5E6F450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2、天线罩材质：ABS；</w:t>
            </w:r>
          </w:p>
          <w:p w14:paraId="308D1CA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3、工作温度：-40℃~+80℃；</w:t>
            </w:r>
          </w:p>
          <w:p w14:paraId="57BCF7E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4、相对湿度：Up to 90%；</w:t>
            </w:r>
          </w:p>
          <w:p w14:paraId="360010EC">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5、防护等级：IP67；</w:t>
            </w:r>
          </w:p>
          <w:p w14:paraId="322EC3D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6、接口方式：入室侧BNC公头；</w:t>
            </w:r>
          </w:p>
          <w:p w14:paraId="0E813CF4">
            <w:pPr>
              <w:tabs>
                <w:tab w:val="left" w:pos="2259"/>
              </w:tabs>
              <w:jc w:val="left"/>
              <w:rPr>
                <w:rFonts w:hint="eastAsia" w:ascii="仿宋_GB2312" w:hAnsi="仿宋_GB2312" w:eastAsia="仿宋_GB2312" w:cs="仿宋_GB2312"/>
                <w:bCs/>
                <w:color w:val="000000"/>
                <w:sz w:val="21"/>
                <w:szCs w:val="21"/>
              </w:rPr>
            </w:pPr>
          </w:p>
        </w:tc>
        <w:tc>
          <w:tcPr>
            <w:tcW w:w="0" w:type="auto"/>
            <w:vAlign w:val="center"/>
          </w:tcPr>
          <w:p w14:paraId="6F1F08C1">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29F3B146">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300C1796">
            <w:pPr>
              <w:jc w:val="center"/>
              <w:rPr>
                <w:rFonts w:hint="eastAsia" w:ascii="仿宋_GB2312" w:hAnsi="仿宋_GB2312" w:eastAsia="仿宋_GB2312" w:cs="仿宋_GB2312"/>
                <w:bCs/>
                <w:color w:val="000000"/>
                <w:sz w:val="32"/>
                <w:szCs w:val="32"/>
              </w:rPr>
            </w:pPr>
          </w:p>
        </w:tc>
      </w:tr>
      <w:tr w14:paraId="5E08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5BAF14F6">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12</w:t>
            </w:r>
          </w:p>
        </w:tc>
        <w:tc>
          <w:tcPr>
            <w:tcW w:w="0" w:type="auto"/>
            <w:vAlign w:val="center"/>
          </w:tcPr>
          <w:p w14:paraId="7D150DDC">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磁盘存储矩阵</w:t>
            </w:r>
          </w:p>
        </w:tc>
        <w:tc>
          <w:tcPr>
            <w:tcW w:w="0" w:type="auto"/>
            <w:vAlign w:val="center"/>
          </w:tcPr>
          <w:p w14:paraId="445D34B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1、双控制器；</w:t>
            </w:r>
          </w:p>
          <w:p w14:paraId="18305AD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2、24盘位/640Mbps接入带宽/支持24块6T企业级SAS硬盘；（本次配置16块6T硬盘，支持后续扩容）；</w:t>
            </w:r>
          </w:p>
          <w:p w14:paraId="2FE4A16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3、两颗64位多核处理器/16GB缓存（可扩展至256GB）；</w:t>
            </w:r>
          </w:p>
          <w:p w14:paraId="2B648E6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4、8个千兆数据网口/2个千兆管理网口/冗余电源/VRAID2.0；</w:t>
            </w:r>
          </w:p>
          <w:p w14:paraId="7E4DD69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5、网络协议：RTSP/ONVIF/PSIA/（GB/T28181）（本次配置16块6T硬盘，支持后续扩容）；</w:t>
            </w:r>
          </w:p>
          <w:p w14:paraId="6CFF586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6、★双控制器结构，控制器可支持热插拔；支持单控制器独立运行，每个制器配置：≥1颗64位多核处理器，≥8GB内存，内存支持扩展到≥256GB，内置240GB SSD固态硬盘（可以扩展到2个SSD作为缓存盘）；配置≥12个风扇，支持风扇热插拔冗余温控调速风扇。（以公安部检测报告为准）</w:t>
            </w:r>
          </w:p>
          <w:p w14:paraId="0D6D437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7、支持红灯/蓝灯报警，可根据故障紧急程度分级报警，不同级别闪烁不同颜色保养灯，保养灯闪烁时长、频率可设；（以公安部检测报告为准）</w:t>
            </w:r>
          </w:p>
          <w:p w14:paraId="50A9E97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8、★支持在麒麟/UOS操作系统上，使用奇安信浏览器/UOS浏览器对样机进行操作；（以公安部检测报告为准）</w:t>
            </w:r>
          </w:p>
          <w:p w14:paraId="60462CD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9、★样机支持延时摄影功能，可将长时间录制的视频图像合成为短视频，并支持延时摄影视频预览及下载；（以公安部检测报告为准）</w:t>
            </w:r>
          </w:p>
          <w:p w14:paraId="23994C0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10、★设备采用全模块架构冗余设计，无单一故障点。支持配置2个控制器,可分别配置为Active- Standby模式，1个控制器工作，1个控制器热备，当工作控制器发生故障时，热备控制器可自动接管，录像业务不中断，数据不丢失；（以公安部检测报告为准）</w:t>
            </w:r>
          </w:p>
          <w:p w14:paraId="38AEB68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11、★设备支持版本回退功能，在当前版本出现故障或操作失误后，可进行回退到历史版本，回退后录像正常回放，且历史录像完整；（以公安部检测报告为准）</w:t>
            </w:r>
          </w:p>
          <w:p w14:paraId="13D1980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12、★设备支持一块额外的控制器，控制器可选配不同种类的CPU；支持智能CPU调频等功能，实现节能降噪；（以公安部检测报告为准）</w:t>
            </w:r>
          </w:p>
          <w:p w14:paraId="4D2D6E3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13、★可在KVM虚拟化环境下进行U盘等硬件热插拔；可对虚机镜像进行异常监控；可在无独立显卡情况下，使用主板CPU集成显卡为虚拟机提供视频图像显示能力；（以公安部检测报告为准）</w:t>
            </w:r>
          </w:p>
        </w:tc>
        <w:tc>
          <w:tcPr>
            <w:tcW w:w="0" w:type="auto"/>
            <w:vAlign w:val="center"/>
          </w:tcPr>
          <w:p w14:paraId="23C2E2A7">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1923B449">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4836A3E2">
            <w:pPr>
              <w:jc w:val="center"/>
              <w:rPr>
                <w:rFonts w:hint="eastAsia" w:ascii="仿宋_GB2312" w:hAnsi="仿宋_GB2312" w:eastAsia="仿宋_GB2312" w:cs="仿宋_GB2312"/>
                <w:bCs/>
                <w:color w:val="000000"/>
                <w:sz w:val="32"/>
                <w:szCs w:val="32"/>
              </w:rPr>
            </w:pPr>
          </w:p>
        </w:tc>
      </w:tr>
      <w:tr w14:paraId="1F86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1A155215">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13</w:t>
            </w:r>
          </w:p>
        </w:tc>
        <w:tc>
          <w:tcPr>
            <w:tcW w:w="0" w:type="auto"/>
            <w:vAlign w:val="center"/>
          </w:tcPr>
          <w:p w14:paraId="2802E346">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交换机</w:t>
            </w:r>
          </w:p>
        </w:tc>
        <w:tc>
          <w:tcPr>
            <w:tcW w:w="0" w:type="auto"/>
            <w:vAlign w:val="center"/>
          </w:tcPr>
          <w:p w14:paraId="2D76100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1、24口千兆非网管二层光电混合交换机；</w:t>
            </w:r>
          </w:p>
          <w:p w14:paraId="2B3A94C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2、机架式；</w:t>
            </w:r>
          </w:p>
          <w:p w14:paraId="5DD80FDC">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3、12个千兆电口；</w:t>
            </w:r>
          </w:p>
          <w:p w14:paraId="54CD2A6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4、12个千兆光口；</w:t>
            </w:r>
          </w:p>
          <w:p w14:paraId="3F1E46F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5、非网管。交换容量48Gbps；</w:t>
            </w:r>
          </w:p>
          <w:p w14:paraId="18648E4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6、包转发率35.7Mpps；</w:t>
            </w:r>
          </w:p>
          <w:p w14:paraId="544CD0D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7、射频电磁场辐射抗扰度符合GB/T17626.3；</w:t>
            </w:r>
          </w:p>
          <w:p w14:paraId="29ED13B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8、★浪涌（冲击）抗扰度符合GB/T17626.5；</w:t>
            </w:r>
          </w:p>
        </w:tc>
        <w:tc>
          <w:tcPr>
            <w:tcW w:w="0" w:type="auto"/>
            <w:vAlign w:val="center"/>
          </w:tcPr>
          <w:p w14:paraId="5B08745F">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65B6114D">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w:t>
            </w:r>
          </w:p>
        </w:tc>
        <w:tc>
          <w:tcPr>
            <w:tcW w:w="0" w:type="auto"/>
            <w:vAlign w:val="center"/>
          </w:tcPr>
          <w:p w14:paraId="6F039A23">
            <w:pPr>
              <w:jc w:val="center"/>
              <w:rPr>
                <w:rFonts w:hint="eastAsia" w:ascii="仿宋_GB2312" w:hAnsi="仿宋_GB2312" w:eastAsia="仿宋_GB2312" w:cs="仿宋_GB2312"/>
                <w:bCs/>
                <w:color w:val="000000"/>
                <w:sz w:val="32"/>
                <w:szCs w:val="32"/>
              </w:rPr>
            </w:pPr>
          </w:p>
        </w:tc>
      </w:tr>
      <w:tr w14:paraId="1AE3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54325CB0">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14</w:t>
            </w:r>
          </w:p>
        </w:tc>
        <w:tc>
          <w:tcPr>
            <w:tcW w:w="0" w:type="auto"/>
            <w:vAlign w:val="center"/>
          </w:tcPr>
          <w:p w14:paraId="7424833C">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电源时序器</w:t>
            </w:r>
          </w:p>
        </w:tc>
        <w:tc>
          <w:tcPr>
            <w:tcW w:w="0" w:type="auto"/>
            <w:vAlign w:val="center"/>
          </w:tcPr>
          <w:p w14:paraId="315BBEB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1、6000 W/15000 W最大承受无功功率；</w:t>
            </w:r>
          </w:p>
          <w:p w14:paraId="2673F3A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2、16路独立控制的时序通道；</w:t>
            </w:r>
          </w:p>
          <w:p w14:paraId="04DED13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3、断路器零，火线控制，漏电电流保护In 30 MA/T≤ 0.1 s，过流保护,（63 A短路保护)；</w:t>
            </w:r>
          </w:p>
          <w:p w14:paraId="5863B86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4、输出电源插座采用阻燃ABS材料，最大可承受13 A电流磷铜材质，标准美式插座 ；</w:t>
            </w:r>
          </w:p>
          <w:p w14:paraId="6DC5294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5、设备接口：16路万用插座继电器受控与2路万用插座直通 ；</w:t>
            </w:r>
          </w:p>
          <w:p w14:paraId="4972CBE0">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6、指示灯：红色数码管显示电压表；</w:t>
            </w:r>
          </w:p>
          <w:p w14:paraId="67323E9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7、支持面板锁定功能，防止误操作；</w:t>
            </w:r>
          </w:p>
          <w:p w14:paraId="32BC42D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8、保护功能超压报警功能,接入错相指示功能、空气开关过流自动断路功能；  </w:t>
            </w:r>
          </w:p>
        </w:tc>
        <w:tc>
          <w:tcPr>
            <w:tcW w:w="0" w:type="auto"/>
            <w:vAlign w:val="center"/>
          </w:tcPr>
          <w:p w14:paraId="78EE81E5">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099148BB">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35DE7384">
            <w:pPr>
              <w:jc w:val="center"/>
              <w:rPr>
                <w:rFonts w:hint="eastAsia" w:ascii="仿宋_GB2312" w:hAnsi="仿宋_GB2312" w:eastAsia="仿宋_GB2312" w:cs="仿宋_GB2312"/>
                <w:bCs/>
                <w:color w:val="000000"/>
                <w:sz w:val="32"/>
                <w:szCs w:val="32"/>
              </w:rPr>
            </w:pPr>
          </w:p>
        </w:tc>
      </w:tr>
      <w:tr w14:paraId="0A9D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42D93F85">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15</w:t>
            </w:r>
          </w:p>
        </w:tc>
        <w:tc>
          <w:tcPr>
            <w:tcW w:w="0" w:type="auto"/>
            <w:vAlign w:val="center"/>
          </w:tcPr>
          <w:p w14:paraId="6ABC87C2">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功放</w:t>
            </w:r>
          </w:p>
        </w:tc>
        <w:tc>
          <w:tcPr>
            <w:tcW w:w="0" w:type="auto"/>
            <w:vAlign w:val="center"/>
          </w:tcPr>
          <w:p w14:paraId="2F1A18E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1、具备“立体声/并接/桥接”三种工作模式可选择；</w:t>
            </w:r>
          </w:p>
          <w:p w14:paraId="1A01290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2、具备“1.4 V/1 V/0.775 V”三档输入灵敏度可选择；</w:t>
            </w:r>
          </w:p>
          <w:p w14:paraId="2BA9135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3、阻尼系数：≥200@ 8 ohms；</w:t>
            </w:r>
          </w:p>
          <w:p w14:paraId="268E302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4、总谐波失真：≤ 0.1 %（1 kHz@10 % PO）；</w:t>
            </w:r>
          </w:p>
          <w:p w14:paraId="0BDD0F6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5、信噪比：≥ 100 dB；</w:t>
            </w:r>
          </w:p>
          <w:p w14:paraId="04EFD3F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6、频率响应：20 Hz~20 kHz；</w:t>
            </w:r>
          </w:p>
          <w:p w14:paraId="5DB7693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7、2 × 400 W/8 Ω；2 × 600 W/4 Ω；桥接：1 × 1200W/8 Ω；</w:t>
            </w:r>
          </w:p>
        </w:tc>
        <w:tc>
          <w:tcPr>
            <w:tcW w:w="0" w:type="auto"/>
            <w:vAlign w:val="center"/>
          </w:tcPr>
          <w:p w14:paraId="10E21D28">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5181EE08">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700324C5">
            <w:pPr>
              <w:jc w:val="center"/>
              <w:rPr>
                <w:rFonts w:hint="eastAsia" w:ascii="仿宋_GB2312" w:hAnsi="仿宋_GB2312" w:eastAsia="仿宋_GB2312" w:cs="仿宋_GB2312"/>
                <w:bCs/>
                <w:color w:val="000000"/>
                <w:sz w:val="32"/>
                <w:szCs w:val="32"/>
              </w:rPr>
            </w:pPr>
          </w:p>
        </w:tc>
      </w:tr>
      <w:tr w14:paraId="03DB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6F207241">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16</w:t>
            </w:r>
          </w:p>
        </w:tc>
        <w:tc>
          <w:tcPr>
            <w:tcW w:w="0" w:type="auto"/>
            <w:vAlign w:val="center"/>
          </w:tcPr>
          <w:p w14:paraId="788A206B">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智能音频处理器</w:t>
            </w:r>
          </w:p>
        </w:tc>
        <w:tc>
          <w:tcPr>
            <w:tcW w:w="0" w:type="auto"/>
            <w:vAlign w:val="center"/>
          </w:tcPr>
          <w:p w14:paraId="6FC9AA1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1、支持≥16路平衡式话筒/线路输入；≥16路平衡式线路输出；</w:t>
            </w:r>
          </w:p>
          <w:p w14:paraId="54B25EA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2、支持1路USB2.0音频接口，支持接U盘录制和播放、升级；</w:t>
            </w:r>
          </w:p>
          <w:p w14:paraId="2A76187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3、支持1路RS-232双向串行控制接口，与中控平台结合，实现音频控制；</w:t>
            </w:r>
          </w:p>
          <w:p w14:paraId="0D1F003C">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4、支持24bit/48kHz的高采样率音质；频率响应：20Hz～20kHz;总谐波失(THD+N):≤0.005%@1kHz,+4dBu;</w:t>
            </w:r>
          </w:p>
          <w:p w14:paraId="669478E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5、支持灵活多样的控制方式：以太网口轻松连接电脑及其他网络设备；支持网络中控；</w:t>
            </w:r>
          </w:p>
          <w:p w14:paraId="456B23D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6、支持自带ios系统手机操作，中英文操作软件，直观、图形化软件控制界面；</w:t>
            </w:r>
          </w:p>
          <w:p w14:paraId="5D531DB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7、支持≥1.5寸显示屏；</w:t>
            </w:r>
          </w:p>
          <w:p w14:paraId="6F5CCE1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8、支持1个模式按键：支持调换会议场景；</w:t>
            </w:r>
          </w:p>
          <w:p w14:paraId="1FBDA70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9、支持直观的音频信号处理流程连接图(软件截图)；</w:t>
            </w:r>
          </w:p>
          <w:p w14:paraId="709CCD1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10、可配置多种参量均衡类型，包括PEQ、High-Shelf、Low-Shelf、LP、HP,可灵活应用于更多的场合；</w:t>
            </w:r>
          </w:p>
          <w:p w14:paraId="1FC4DAE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11、支持3A算法：自适应反馈消除AFC、自动增益控制AGC、自适应回声消除AEC；</w:t>
            </w:r>
          </w:p>
        </w:tc>
        <w:tc>
          <w:tcPr>
            <w:tcW w:w="0" w:type="auto"/>
            <w:vAlign w:val="center"/>
          </w:tcPr>
          <w:p w14:paraId="3B622E8E">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53D8CFDE">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7D2498DD">
            <w:pPr>
              <w:rPr>
                <w:rFonts w:hint="eastAsia" w:ascii="仿宋_GB2312" w:hAnsi="仿宋_GB2312" w:eastAsia="仿宋_GB2312" w:cs="仿宋_GB2312"/>
                <w:bCs/>
                <w:color w:val="000000"/>
                <w:sz w:val="32"/>
                <w:szCs w:val="32"/>
              </w:rPr>
            </w:pPr>
          </w:p>
        </w:tc>
      </w:tr>
      <w:tr w14:paraId="7ECB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747F2842">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17</w:t>
            </w:r>
          </w:p>
        </w:tc>
        <w:tc>
          <w:tcPr>
            <w:tcW w:w="0" w:type="auto"/>
            <w:vAlign w:val="center"/>
          </w:tcPr>
          <w:p w14:paraId="068F586A">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调音台</w:t>
            </w:r>
          </w:p>
        </w:tc>
        <w:tc>
          <w:tcPr>
            <w:tcW w:w="0" w:type="auto"/>
            <w:vAlign w:val="center"/>
          </w:tcPr>
          <w:p w14:paraId="72BC51E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1、HDMI最大支持4K（3840×2160)/30Hz）；VGA信号最大支持1080P（1920×1080/60HZ）信号输入；</w:t>
            </w:r>
          </w:p>
          <w:p w14:paraId="6045F9B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2、视频输入源默认自适应识别；并可支持固定输入源为HDMI或VGA信号；</w:t>
            </w:r>
          </w:p>
          <w:p w14:paraId="59B8E57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3、支持1路HDMI信号输出，信号最大支持4K（3840×2160)/30Hz）；</w:t>
            </w:r>
          </w:p>
          <w:p w14:paraId="60A666B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4、支持3840×2160、2560×1440、1920×1080、1280×720等分辨率编码，编码格式支持H.264、H.265；</w:t>
            </w:r>
          </w:p>
          <w:p w14:paraId="0FA0C3E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5、音频支持AAC、G711u、G711a音频格式；</w:t>
            </w:r>
          </w:p>
          <w:p w14:paraId="6D7BA883">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6、支持PoE供电、支持DC 12V供电；</w:t>
            </w:r>
          </w:p>
          <w:p w14:paraId="6F95CDA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7、支持TCP、UDP、GB28181、RTMP、NTP、RTSP、PPPoE、HTTP、HTTPS、DHCP、DDNS、ONVIF等网络协议；</w:t>
            </w:r>
          </w:p>
          <w:p w14:paraId="72957B8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8、支持区域剪裁功能、绘制剪裁区域后、预览画面将显示剪裁预期的视频画面；</w:t>
            </w:r>
          </w:p>
          <w:p w14:paraId="0D8F056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9、支持最大接入2路网络摄像机，与HDMI/VGA通道做视频画面合成，画面合成分辨率不低于1080P，画面分割模式可选2分割、1大2小；</w:t>
            </w:r>
          </w:p>
          <w:p w14:paraId="0003E67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10、支持一键reset恢复默认出厂配置；</w:t>
            </w:r>
          </w:p>
          <w:p w14:paraId="43AFD31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11、支持OSD字符叠加功能，除时间、通道名称外，支持6行自定义字符叠加，OSD字体大小可设置大小（16*16、32*32、64*64可选）；</w:t>
            </w:r>
          </w:p>
          <w:p w14:paraId="588C6AE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12、支持移动侦测、区域遮挡、视频丢失、IO报警输入报警功能设置与联动；</w:t>
            </w:r>
          </w:p>
          <w:p w14:paraId="697E596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13、支持视频遮盖功能，支持自定义视频遮盖区域；</w:t>
            </w:r>
          </w:p>
          <w:p w14:paraId="1821381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14、音频信号源可选HDMI输入或AUDIO IN输入；</w:t>
            </w:r>
          </w:p>
        </w:tc>
        <w:tc>
          <w:tcPr>
            <w:tcW w:w="0" w:type="auto"/>
            <w:vAlign w:val="center"/>
          </w:tcPr>
          <w:p w14:paraId="30220D20">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753C8A72">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0B5E1174">
            <w:pPr>
              <w:jc w:val="center"/>
              <w:rPr>
                <w:rFonts w:hint="eastAsia" w:ascii="仿宋_GB2312" w:hAnsi="仿宋_GB2312" w:eastAsia="仿宋_GB2312" w:cs="仿宋_GB2312"/>
                <w:bCs/>
                <w:color w:val="000000"/>
                <w:sz w:val="32"/>
                <w:szCs w:val="32"/>
              </w:rPr>
            </w:pPr>
          </w:p>
        </w:tc>
      </w:tr>
      <w:tr w14:paraId="5167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248123BB">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18</w:t>
            </w:r>
          </w:p>
        </w:tc>
        <w:tc>
          <w:tcPr>
            <w:tcW w:w="0" w:type="auto"/>
            <w:vAlign w:val="center"/>
          </w:tcPr>
          <w:p w14:paraId="7919C9D7">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反馈抑制器</w:t>
            </w:r>
          </w:p>
        </w:tc>
        <w:tc>
          <w:tcPr>
            <w:tcW w:w="0" w:type="auto"/>
            <w:vAlign w:val="center"/>
          </w:tcPr>
          <w:p w14:paraId="1F51BC5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1、采用双DSP设计，内置18段A、B双通道高精度数字陷波器，可精准找到啸叫的频率点而将其消除，同时兼具自动移相移频功能；</w:t>
            </w:r>
          </w:p>
          <w:p w14:paraId="0E05CC9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2、支持双12段参量均衡，高低通分频；</w:t>
            </w:r>
          </w:p>
          <w:p w14:paraId="78B34A4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3、支持密码锁定功能，防止参数被误触修改；</w:t>
            </w:r>
          </w:p>
          <w:p w14:paraId="39F5A7D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4、输入输出支持双XLR接口和双6.35mm接口；</w:t>
            </w:r>
          </w:p>
          <w:p w14:paraId="7D2B5D0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5、具备一个TYPE B接口，可进行软件升级和设备控制；</w:t>
            </w:r>
          </w:p>
          <w:p w14:paraId="275982BC">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6、具备1块液晶显示屏，直观显示调试参数；</w:t>
            </w:r>
          </w:p>
          <w:p w14:paraId="2E2CE94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7、频率响应80 Hz~15 kHz，± 2 dB；</w:t>
            </w:r>
          </w:p>
          <w:p w14:paraId="013A100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8、谐波失真≤ 0.5 %；</w:t>
            </w:r>
          </w:p>
          <w:p w14:paraId="61D981B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9、信噪比≥ 105 dB；</w:t>
            </w:r>
          </w:p>
        </w:tc>
        <w:tc>
          <w:tcPr>
            <w:tcW w:w="0" w:type="auto"/>
            <w:vAlign w:val="center"/>
          </w:tcPr>
          <w:p w14:paraId="5324F2CB">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4F307D31">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263C4531">
            <w:pPr>
              <w:jc w:val="center"/>
              <w:rPr>
                <w:rFonts w:hint="eastAsia" w:ascii="仿宋_GB2312" w:hAnsi="仿宋_GB2312" w:eastAsia="仿宋_GB2312" w:cs="仿宋_GB2312"/>
                <w:bCs/>
                <w:color w:val="000000"/>
                <w:sz w:val="32"/>
                <w:szCs w:val="32"/>
              </w:rPr>
            </w:pPr>
          </w:p>
        </w:tc>
      </w:tr>
      <w:tr w14:paraId="49A6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7" w:hRule="atLeast"/>
          <w:jc w:val="center"/>
        </w:trPr>
        <w:tc>
          <w:tcPr>
            <w:tcW w:w="0" w:type="auto"/>
            <w:vAlign w:val="center"/>
          </w:tcPr>
          <w:p w14:paraId="74475DB0">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19</w:t>
            </w:r>
          </w:p>
        </w:tc>
        <w:tc>
          <w:tcPr>
            <w:tcW w:w="0" w:type="auto"/>
            <w:vAlign w:val="center"/>
          </w:tcPr>
          <w:p w14:paraId="493152F8">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鹅颈话筒</w:t>
            </w:r>
          </w:p>
        </w:tc>
        <w:tc>
          <w:tcPr>
            <w:tcW w:w="0" w:type="auto"/>
            <w:vAlign w:val="center"/>
          </w:tcPr>
          <w:p w14:paraId="2EFA861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1、支持5种模式：全指向性、心型指向性、超心型指向性、锐心型指向性、8字型指向性等；</w:t>
            </w:r>
          </w:p>
          <w:p w14:paraId="145A39F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2、全数字音频技术，内置高性能CPU，处理速度更快，音质更佳；</w:t>
            </w:r>
          </w:p>
          <w:p w14:paraId="18E5F06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3、双色LED指示灯，发言为红色；</w:t>
            </w:r>
          </w:p>
          <w:p w14:paraId="495935E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4、独立调节话筒增益，可在话筒上调节，使不同发言者发言更顺畅；</w:t>
            </w:r>
          </w:p>
          <w:p w14:paraId="7B79694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5、1个Ø3.5 mm的立体声耳机插口可连接耳机；</w:t>
            </w:r>
          </w:p>
          <w:p w14:paraId="1177F1F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6、总谐波失真：&lt; 1%@1 kHz；</w:t>
            </w:r>
          </w:p>
          <w:p w14:paraId="5C5B6B5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7、频率响应：50 Hz~13 kHz；</w:t>
            </w:r>
          </w:p>
          <w:p w14:paraId="338AF759">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8、灵敏度：- 26 dB ± 3 dB (平衡，0 dB= 1 V/pa@1 kHz）；</w:t>
            </w:r>
          </w:p>
          <w:p w14:paraId="048022F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9、换能方式：电容式；</w:t>
            </w:r>
          </w:p>
          <w:p w14:paraId="7A1838B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10、输出接口：卡侬头；</w:t>
            </w:r>
          </w:p>
          <w:p w14:paraId="6F73165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11、输出阻抗：≤ 100 Ω；</w:t>
            </w:r>
          </w:p>
          <w:p w14:paraId="334444A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12、指向性：全向、心形、超心形、锐心形、8字形可切换；</w:t>
            </w:r>
          </w:p>
        </w:tc>
        <w:tc>
          <w:tcPr>
            <w:tcW w:w="0" w:type="auto"/>
            <w:vAlign w:val="center"/>
          </w:tcPr>
          <w:p w14:paraId="7F29F627">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65D493EF">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11</w:t>
            </w:r>
          </w:p>
        </w:tc>
        <w:tc>
          <w:tcPr>
            <w:tcW w:w="0" w:type="auto"/>
            <w:vAlign w:val="center"/>
          </w:tcPr>
          <w:p w14:paraId="24C50D1D">
            <w:pPr>
              <w:jc w:val="center"/>
              <w:rPr>
                <w:rFonts w:hint="eastAsia" w:ascii="仿宋_GB2312" w:hAnsi="仿宋_GB2312" w:eastAsia="仿宋_GB2312" w:cs="仿宋_GB2312"/>
                <w:bCs/>
                <w:color w:val="000000"/>
                <w:sz w:val="32"/>
                <w:szCs w:val="32"/>
              </w:rPr>
            </w:pPr>
          </w:p>
        </w:tc>
      </w:tr>
      <w:tr w14:paraId="3B92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203E5088">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20</w:t>
            </w:r>
          </w:p>
        </w:tc>
        <w:tc>
          <w:tcPr>
            <w:tcW w:w="0" w:type="auto"/>
            <w:vAlign w:val="center"/>
          </w:tcPr>
          <w:p w14:paraId="798B5F9D">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行政复议一体化显示终端</w:t>
            </w:r>
          </w:p>
        </w:tc>
        <w:tc>
          <w:tcPr>
            <w:tcW w:w="0" w:type="auto"/>
            <w:vAlign w:val="center"/>
          </w:tcPr>
          <w:p w14:paraId="56CAE57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屏幕尺寸：23.8寸； 屏幕分辨率：1920*1080；</w:t>
            </w:r>
          </w:p>
          <w:p w14:paraId="626DE54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内存容量：16GB；硬盘容量：1TB；硬盘类型：固态硬盘</w:t>
            </w:r>
          </w:p>
          <w:p w14:paraId="3BD2067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CPU：I7-13620H；显卡类型：集成显卡；</w:t>
            </w:r>
          </w:p>
          <w:p w14:paraId="2BCEF77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内置扬声器；内置麦克风；</w:t>
            </w:r>
          </w:p>
        </w:tc>
        <w:tc>
          <w:tcPr>
            <w:tcW w:w="0" w:type="auto"/>
            <w:vAlign w:val="center"/>
          </w:tcPr>
          <w:p w14:paraId="2B31422E">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36F59515">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w:t>
            </w:r>
          </w:p>
        </w:tc>
        <w:tc>
          <w:tcPr>
            <w:tcW w:w="0" w:type="auto"/>
            <w:vAlign w:val="center"/>
          </w:tcPr>
          <w:p w14:paraId="443811F9">
            <w:pPr>
              <w:jc w:val="center"/>
              <w:rPr>
                <w:rFonts w:hint="eastAsia" w:ascii="仿宋_GB2312" w:hAnsi="仿宋_GB2312" w:eastAsia="仿宋_GB2312" w:cs="仿宋_GB2312"/>
                <w:bCs/>
                <w:color w:val="000000"/>
                <w:sz w:val="32"/>
                <w:szCs w:val="32"/>
              </w:rPr>
            </w:pPr>
          </w:p>
        </w:tc>
      </w:tr>
      <w:tr w14:paraId="111D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11033BBA">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21</w:t>
            </w:r>
          </w:p>
        </w:tc>
        <w:tc>
          <w:tcPr>
            <w:tcW w:w="0" w:type="auto"/>
            <w:vAlign w:val="center"/>
          </w:tcPr>
          <w:p w14:paraId="05DB1D6C">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控制PAD</w:t>
            </w:r>
          </w:p>
        </w:tc>
        <w:tc>
          <w:tcPr>
            <w:tcW w:w="0" w:type="auto"/>
            <w:vAlign w:val="center"/>
          </w:tcPr>
          <w:p w14:paraId="6B60ECE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显示屏：10.1英寸</w:t>
            </w:r>
          </w:p>
          <w:p w14:paraId="0E69881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屏幕比例：16:10 分辨率：1280*800</w:t>
            </w:r>
          </w:p>
          <w:p w14:paraId="64B5B34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运行内存：8GB</w:t>
            </w:r>
          </w:p>
          <w:p w14:paraId="7EE9FD6B">
            <w:pPr>
              <w:widowControl/>
              <w:shd w:val="clear" w:color="auto" w:fill="FFFFFF"/>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屏幕类型：IPS</w:t>
            </w:r>
          </w:p>
        </w:tc>
        <w:tc>
          <w:tcPr>
            <w:tcW w:w="0" w:type="auto"/>
            <w:vAlign w:val="center"/>
          </w:tcPr>
          <w:p w14:paraId="7DA5292E">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346352AC">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628BF729">
            <w:pPr>
              <w:jc w:val="center"/>
              <w:rPr>
                <w:rFonts w:hint="eastAsia" w:ascii="仿宋_GB2312" w:hAnsi="仿宋_GB2312" w:eastAsia="仿宋_GB2312" w:cs="仿宋_GB2312"/>
                <w:bCs/>
                <w:color w:val="000000"/>
                <w:sz w:val="32"/>
                <w:szCs w:val="32"/>
              </w:rPr>
            </w:pPr>
          </w:p>
        </w:tc>
      </w:tr>
      <w:tr w14:paraId="6E3C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5E234697">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22</w:t>
            </w:r>
          </w:p>
        </w:tc>
        <w:tc>
          <w:tcPr>
            <w:tcW w:w="0" w:type="auto"/>
            <w:vAlign w:val="center"/>
          </w:tcPr>
          <w:p w14:paraId="6A5487BA">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打印机</w:t>
            </w:r>
          </w:p>
        </w:tc>
        <w:tc>
          <w:tcPr>
            <w:tcW w:w="0" w:type="auto"/>
            <w:vAlign w:val="center"/>
          </w:tcPr>
          <w:p w14:paraId="6D6B3E1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产品类型：黑白激光；</w:t>
            </w:r>
          </w:p>
          <w:p w14:paraId="4014FF7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打印速度：34ppm；复印速度：34cpm；</w:t>
            </w:r>
          </w:p>
          <w:p w14:paraId="133A1FC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双面功能：自动双面打印；</w:t>
            </w:r>
          </w:p>
          <w:p w14:paraId="27873B6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显示屏：触摸屏；</w:t>
            </w:r>
          </w:p>
          <w:p w14:paraId="4A8EC10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内存：128MB；</w:t>
            </w:r>
          </w:p>
        </w:tc>
        <w:tc>
          <w:tcPr>
            <w:tcW w:w="0" w:type="auto"/>
            <w:vAlign w:val="center"/>
          </w:tcPr>
          <w:p w14:paraId="5B1145BE">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77572F35">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0874B87B">
            <w:pPr>
              <w:jc w:val="center"/>
              <w:rPr>
                <w:rFonts w:hint="eastAsia" w:ascii="仿宋_GB2312" w:hAnsi="仿宋_GB2312" w:eastAsia="仿宋_GB2312" w:cs="仿宋_GB2312"/>
                <w:bCs/>
                <w:color w:val="000000"/>
                <w:sz w:val="32"/>
                <w:szCs w:val="32"/>
              </w:rPr>
            </w:pPr>
          </w:p>
        </w:tc>
      </w:tr>
      <w:tr w14:paraId="4B0C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397D1451">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23</w:t>
            </w:r>
          </w:p>
        </w:tc>
        <w:tc>
          <w:tcPr>
            <w:tcW w:w="0" w:type="auto"/>
            <w:vAlign w:val="center"/>
          </w:tcPr>
          <w:p w14:paraId="5B41B2FF">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行政复议一体化移动显示终端</w:t>
            </w:r>
          </w:p>
        </w:tc>
        <w:tc>
          <w:tcPr>
            <w:tcW w:w="0" w:type="auto"/>
            <w:vAlign w:val="center"/>
          </w:tcPr>
          <w:p w14:paraId="7CFF6E5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屏幕：14英寸、十点触控屏；分辨率：2160*1440；内存容量：32GB；键盘：背光键盘；电源键：指纹电源键；</w:t>
            </w:r>
          </w:p>
          <w:p w14:paraId="255EFDB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硬盘容量：1T；硬盘类型：固态硬盘；CPU：i7-1360P；</w:t>
            </w:r>
          </w:p>
        </w:tc>
        <w:tc>
          <w:tcPr>
            <w:tcW w:w="0" w:type="auto"/>
            <w:vAlign w:val="center"/>
          </w:tcPr>
          <w:p w14:paraId="14AD174F">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0835F3A7">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08F0EED6">
            <w:pPr>
              <w:jc w:val="center"/>
              <w:rPr>
                <w:rFonts w:hint="eastAsia" w:ascii="仿宋_GB2312" w:hAnsi="仿宋_GB2312" w:eastAsia="仿宋_GB2312" w:cs="仿宋_GB2312"/>
                <w:bCs/>
                <w:color w:val="000000"/>
                <w:sz w:val="32"/>
                <w:szCs w:val="32"/>
              </w:rPr>
            </w:pPr>
          </w:p>
        </w:tc>
      </w:tr>
      <w:tr w14:paraId="6301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5C70FDF9">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24</w:t>
            </w:r>
          </w:p>
        </w:tc>
        <w:tc>
          <w:tcPr>
            <w:tcW w:w="0" w:type="auto"/>
            <w:vAlign w:val="center"/>
          </w:tcPr>
          <w:p w14:paraId="2B043026">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显示器</w:t>
            </w:r>
          </w:p>
        </w:tc>
        <w:tc>
          <w:tcPr>
            <w:tcW w:w="0" w:type="auto"/>
            <w:vAlign w:val="center"/>
          </w:tcPr>
          <w:p w14:paraId="6447206E">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屏幕：75英寸；分辨率：3840*2160；屏幕比例：16:9；</w:t>
            </w:r>
          </w:p>
          <w:p w14:paraId="4B6119CB">
            <w:pPr>
              <w:widowControl/>
              <w:shd w:val="clear" w:color="auto" w:fill="FFFFFF"/>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显示类型：LED显示；HDMI接口：2*HDMI2.1；</w:t>
            </w:r>
          </w:p>
          <w:p w14:paraId="7CA0C77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CPU架构：四核A55；运行内存：2GB；存储内存：32GB；</w:t>
            </w:r>
          </w:p>
        </w:tc>
        <w:tc>
          <w:tcPr>
            <w:tcW w:w="0" w:type="auto"/>
            <w:vAlign w:val="center"/>
          </w:tcPr>
          <w:p w14:paraId="744AC408">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53DE6917">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w:t>
            </w:r>
          </w:p>
        </w:tc>
        <w:tc>
          <w:tcPr>
            <w:tcW w:w="0" w:type="auto"/>
            <w:vAlign w:val="center"/>
          </w:tcPr>
          <w:p w14:paraId="10109CD8">
            <w:pPr>
              <w:jc w:val="center"/>
              <w:rPr>
                <w:rFonts w:hint="eastAsia" w:ascii="仿宋_GB2312" w:hAnsi="仿宋_GB2312" w:eastAsia="仿宋_GB2312" w:cs="仿宋_GB2312"/>
                <w:bCs/>
                <w:color w:val="000000"/>
                <w:sz w:val="32"/>
                <w:szCs w:val="32"/>
              </w:rPr>
            </w:pPr>
          </w:p>
        </w:tc>
      </w:tr>
      <w:tr w14:paraId="61AB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54DC311A">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25</w:t>
            </w:r>
          </w:p>
        </w:tc>
        <w:tc>
          <w:tcPr>
            <w:tcW w:w="0" w:type="auto"/>
            <w:vAlign w:val="center"/>
          </w:tcPr>
          <w:p w14:paraId="445CE2F9">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高速扫描仪</w:t>
            </w:r>
          </w:p>
        </w:tc>
        <w:tc>
          <w:tcPr>
            <w:tcW w:w="0" w:type="auto"/>
            <w:vAlign w:val="center"/>
          </w:tcPr>
          <w:p w14:paraId="0D1275E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产品类型：馈纸式；最大幅面：A4；扫描面：双面；</w:t>
            </w:r>
          </w:p>
          <w:p w14:paraId="188E49F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扫面速度：单面70ppm、双面140ipm；分辨率：600dpi；</w:t>
            </w:r>
          </w:p>
        </w:tc>
        <w:tc>
          <w:tcPr>
            <w:tcW w:w="0" w:type="auto"/>
            <w:vAlign w:val="center"/>
          </w:tcPr>
          <w:p w14:paraId="779CF865">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312EF1B1">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395F8093">
            <w:pPr>
              <w:jc w:val="center"/>
              <w:rPr>
                <w:rFonts w:hint="eastAsia" w:ascii="仿宋_GB2312" w:hAnsi="仿宋_GB2312" w:eastAsia="仿宋_GB2312" w:cs="仿宋_GB2312"/>
                <w:bCs/>
                <w:color w:val="000000"/>
                <w:sz w:val="32"/>
                <w:szCs w:val="32"/>
              </w:rPr>
            </w:pPr>
          </w:p>
        </w:tc>
      </w:tr>
      <w:tr w14:paraId="13EA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0" w:type="auto"/>
            <w:vAlign w:val="center"/>
          </w:tcPr>
          <w:p w14:paraId="5BB3A60F">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26</w:t>
            </w:r>
          </w:p>
        </w:tc>
        <w:tc>
          <w:tcPr>
            <w:tcW w:w="0" w:type="auto"/>
            <w:vAlign w:val="center"/>
          </w:tcPr>
          <w:p w14:paraId="2F8DBD80">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电视移动支架</w:t>
            </w:r>
          </w:p>
        </w:tc>
        <w:tc>
          <w:tcPr>
            <w:tcW w:w="0" w:type="auto"/>
            <w:vAlign w:val="center"/>
          </w:tcPr>
          <w:p w14:paraId="6496FD92">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材质：冷轧钢；</w:t>
            </w:r>
          </w:p>
          <w:p w14:paraId="0CA0B8C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适用尺寸：32-75英寸；</w:t>
            </w:r>
          </w:p>
          <w:p w14:paraId="33403515">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承重范围：200kg</w:t>
            </w:r>
          </w:p>
        </w:tc>
        <w:tc>
          <w:tcPr>
            <w:tcW w:w="0" w:type="auto"/>
            <w:vAlign w:val="center"/>
          </w:tcPr>
          <w:p w14:paraId="0C101AA2">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个</w:t>
            </w:r>
          </w:p>
        </w:tc>
        <w:tc>
          <w:tcPr>
            <w:tcW w:w="0" w:type="auto"/>
            <w:vAlign w:val="center"/>
          </w:tcPr>
          <w:p w14:paraId="45E039B3">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0B0CBAF0">
            <w:pPr>
              <w:jc w:val="center"/>
              <w:rPr>
                <w:rFonts w:hint="eastAsia" w:ascii="仿宋_GB2312" w:hAnsi="仿宋_GB2312" w:eastAsia="仿宋_GB2312" w:cs="仿宋_GB2312"/>
                <w:bCs/>
                <w:color w:val="000000"/>
                <w:sz w:val="32"/>
                <w:szCs w:val="32"/>
              </w:rPr>
            </w:pPr>
          </w:p>
        </w:tc>
      </w:tr>
      <w:tr w14:paraId="16E4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57018F32">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27</w:t>
            </w:r>
          </w:p>
        </w:tc>
        <w:tc>
          <w:tcPr>
            <w:tcW w:w="0" w:type="auto"/>
            <w:vAlign w:val="center"/>
          </w:tcPr>
          <w:p w14:paraId="0B159DE1">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录音笔</w:t>
            </w:r>
          </w:p>
        </w:tc>
        <w:tc>
          <w:tcPr>
            <w:tcW w:w="0" w:type="auto"/>
            <w:vAlign w:val="center"/>
          </w:tcPr>
          <w:p w14:paraId="02CF480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屏幕尺寸：3.5英寸；屏幕类型：触摸屏；存储容量：32GB；wifi:2.4G+5.0G双频段，拾音距离：15米，录音模式：6种，电池容量：2500mAh</w:t>
            </w:r>
          </w:p>
          <w:p w14:paraId="0C5B99C8">
            <w:pPr>
              <w:tabs>
                <w:tab w:val="left" w:pos="2259"/>
              </w:tabs>
              <w:jc w:val="left"/>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录音时间：10小时；录音功能：语音转文字，即时传输，翻译</w:t>
            </w:r>
            <w:r>
              <w:rPr>
                <w:rFonts w:hint="eastAsia" w:ascii="仿宋_GB2312" w:hAnsi="仿宋_GB2312" w:eastAsia="仿宋_GB2312" w:cs="仿宋_GB2312"/>
                <w:bCs/>
                <w:color w:val="000000"/>
                <w:sz w:val="21"/>
                <w:szCs w:val="21"/>
                <w:lang w:eastAsia="zh-CN"/>
              </w:rPr>
              <w:t>；</w:t>
            </w:r>
          </w:p>
        </w:tc>
        <w:tc>
          <w:tcPr>
            <w:tcW w:w="0" w:type="auto"/>
            <w:vAlign w:val="center"/>
          </w:tcPr>
          <w:p w14:paraId="572DC606">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6AC7C3E1">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w:t>
            </w:r>
          </w:p>
        </w:tc>
        <w:tc>
          <w:tcPr>
            <w:tcW w:w="0" w:type="auto"/>
            <w:vAlign w:val="center"/>
          </w:tcPr>
          <w:p w14:paraId="0E2C7CFE">
            <w:pPr>
              <w:jc w:val="center"/>
              <w:rPr>
                <w:rFonts w:hint="eastAsia" w:ascii="仿宋_GB2312" w:hAnsi="仿宋_GB2312" w:eastAsia="仿宋_GB2312" w:cs="仿宋_GB2312"/>
                <w:bCs/>
                <w:color w:val="000000"/>
                <w:sz w:val="32"/>
                <w:szCs w:val="32"/>
              </w:rPr>
            </w:pPr>
          </w:p>
        </w:tc>
      </w:tr>
      <w:tr w14:paraId="1DB3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213A0A03">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28</w:t>
            </w:r>
          </w:p>
        </w:tc>
        <w:tc>
          <w:tcPr>
            <w:tcW w:w="0" w:type="auto"/>
            <w:vAlign w:val="center"/>
          </w:tcPr>
          <w:p w14:paraId="304FB9CB">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办公桌</w:t>
            </w:r>
          </w:p>
        </w:tc>
        <w:tc>
          <w:tcPr>
            <w:tcW w:w="0" w:type="auto"/>
            <w:vAlign w:val="center"/>
          </w:tcPr>
          <w:p w14:paraId="6164F93D">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尺寸1.2m，面材：采用E1级环保型中纤板，防水、环保、轻便舒适，美观大方；配件：优质五金配件；</w:t>
            </w:r>
          </w:p>
        </w:tc>
        <w:tc>
          <w:tcPr>
            <w:tcW w:w="0" w:type="auto"/>
            <w:vAlign w:val="center"/>
          </w:tcPr>
          <w:p w14:paraId="687FC894">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张</w:t>
            </w:r>
          </w:p>
        </w:tc>
        <w:tc>
          <w:tcPr>
            <w:tcW w:w="0" w:type="auto"/>
            <w:vAlign w:val="center"/>
          </w:tcPr>
          <w:p w14:paraId="284D273E">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3E6ED1F0">
            <w:pPr>
              <w:jc w:val="center"/>
              <w:rPr>
                <w:rFonts w:hint="eastAsia" w:ascii="仿宋_GB2312" w:hAnsi="仿宋_GB2312" w:eastAsia="仿宋_GB2312" w:cs="仿宋_GB2312"/>
                <w:bCs/>
                <w:color w:val="000000"/>
                <w:sz w:val="32"/>
                <w:szCs w:val="32"/>
              </w:rPr>
            </w:pPr>
          </w:p>
        </w:tc>
      </w:tr>
      <w:tr w14:paraId="1C81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31DB5038">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29</w:t>
            </w:r>
          </w:p>
        </w:tc>
        <w:tc>
          <w:tcPr>
            <w:tcW w:w="0" w:type="auto"/>
            <w:vAlign w:val="center"/>
          </w:tcPr>
          <w:p w14:paraId="419F23A5">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示证展示台</w:t>
            </w:r>
          </w:p>
        </w:tc>
        <w:tc>
          <w:tcPr>
            <w:tcW w:w="0" w:type="auto"/>
            <w:vAlign w:val="center"/>
          </w:tcPr>
          <w:p w14:paraId="0C753F9F">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1、外观材质:采用金属材质；</w:t>
            </w:r>
          </w:p>
          <w:p w14:paraId="2A4CF9D0">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2、摄像头像素:≥1300万像素;摄像头具有阻尼结构并支持&gt;45°调节；镜头垂直度&gt;270°；</w:t>
            </w:r>
          </w:p>
          <w:p w14:paraId="0258073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3、变焦:光学变焦&gt;12倍，数字变焦&gt;20倍；</w:t>
            </w:r>
          </w:p>
          <w:p w14:paraId="210388A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4、接口:USB≥2,HDMIin ≥1;HDMI OUT≥2;VGA IN≥1;VGA OUT≥2:TYPE-C≥1；</w:t>
            </w:r>
          </w:p>
          <w:p w14:paraId="29CE001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5、展台按键:需具备不少于18个物理按键,至少包含电源、菜单、信号源、放大、缩小、聚近、聚远、回放等功能；</w:t>
            </w:r>
          </w:p>
          <w:p w14:paraId="18E688B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6、展台需要内置遥控器，通过遥控器可以实现电源开关、录制、亮度调节等功能；</w:t>
            </w:r>
          </w:p>
          <w:p w14:paraId="522B3978">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7、具有双侧高亮度LED补光灯，亮度均匀，不闪烁，支持270°旋转调节；</w:t>
            </w:r>
          </w:p>
        </w:tc>
        <w:tc>
          <w:tcPr>
            <w:tcW w:w="0" w:type="auto"/>
            <w:vAlign w:val="center"/>
          </w:tcPr>
          <w:p w14:paraId="3528C452">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552059B5">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w:t>
            </w:r>
          </w:p>
        </w:tc>
        <w:tc>
          <w:tcPr>
            <w:tcW w:w="0" w:type="auto"/>
            <w:vAlign w:val="center"/>
          </w:tcPr>
          <w:p w14:paraId="6442A164">
            <w:pPr>
              <w:jc w:val="center"/>
              <w:rPr>
                <w:rFonts w:hint="eastAsia" w:ascii="仿宋_GB2312" w:hAnsi="仿宋_GB2312" w:eastAsia="仿宋_GB2312" w:cs="仿宋_GB2312"/>
                <w:bCs/>
                <w:color w:val="000000"/>
                <w:sz w:val="32"/>
                <w:szCs w:val="32"/>
              </w:rPr>
            </w:pPr>
          </w:p>
        </w:tc>
      </w:tr>
      <w:tr w14:paraId="69F8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7621ECA2">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30</w:t>
            </w:r>
          </w:p>
        </w:tc>
        <w:tc>
          <w:tcPr>
            <w:tcW w:w="0" w:type="auto"/>
            <w:vAlign w:val="center"/>
          </w:tcPr>
          <w:p w14:paraId="4A7C8FE0">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光盘打印机</w:t>
            </w:r>
          </w:p>
        </w:tc>
        <w:tc>
          <w:tcPr>
            <w:tcW w:w="0" w:type="auto"/>
            <w:vAlign w:val="center"/>
          </w:tcPr>
          <w:p w14:paraId="41FC8D7A">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打印机类型：墨仓式 ；最大处理幅面：A3；基础功能：复印、扫描、打印；打印功能：自动双面；彩色打印：支持彩色打印；显示屏：4.3寸；连接方式：Wi-Fi，有线，USB</w:t>
            </w:r>
          </w:p>
        </w:tc>
        <w:tc>
          <w:tcPr>
            <w:tcW w:w="0" w:type="auto"/>
            <w:vAlign w:val="center"/>
          </w:tcPr>
          <w:p w14:paraId="19D6D106">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21B63D0C">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54A9760B">
            <w:pPr>
              <w:jc w:val="center"/>
              <w:rPr>
                <w:rFonts w:hint="eastAsia" w:ascii="仿宋_GB2312" w:hAnsi="仿宋_GB2312" w:eastAsia="仿宋_GB2312" w:cs="仿宋_GB2312"/>
                <w:bCs/>
                <w:color w:val="000000"/>
                <w:sz w:val="32"/>
                <w:szCs w:val="32"/>
              </w:rPr>
            </w:pPr>
          </w:p>
        </w:tc>
      </w:tr>
      <w:tr w14:paraId="4333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0EA776DE">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31</w:t>
            </w:r>
          </w:p>
        </w:tc>
        <w:tc>
          <w:tcPr>
            <w:tcW w:w="0" w:type="auto"/>
            <w:vAlign w:val="center"/>
          </w:tcPr>
          <w:p w14:paraId="59E717C4">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签字板</w:t>
            </w:r>
          </w:p>
        </w:tc>
        <w:tc>
          <w:tcPr>
            <w:tcW w:w="0" w:type="auto"/>
            <w:vAlign w:val="center"/>
          </w:tcPr>
          <w:p w14:paraId="69D3A8A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屏幕尺寸：10.1”，屏幕类型：TFT LCD；显示比例：16:9；分辨率：1280*800；对比度：800:1；触控类型：电磁触控；</w:t>
            </w:r>
          </w:p>
          <w:p w14:paraId="766530F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表面处理：6H钢化玻璃保护，无线无源电磁书写笔，电容式按压指纹采集，500万摄像机</w:t>
            </w:r>
          </w:p>
        </w:tc>
        <w:tc>
          <w:tcPr>
            <w:tcW w:w="0" w:type="auto"/>
            <w:vAlign w:val="center"/>
          </w:tcPr>
          <w:p w14:paraId="37BB1CBF">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35755BE7">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30AAD0CD">
            <w:pPr>
              <w:jc w:val="center"/>
              <w:rPr>
                <w:rFonts w:hint="eastAsia" w:ascii="仿宋_GB2312" w:hAnsi="仿宋_GB2312" w:eastAsia="仿宋_GB2312" w:cs="仿宋_GB2312"/>
                <w:bCs/>
                <w:color w:val="000000"/>
                <w:sz w:val="32"/>
                <w:szCs w:val="32"/>
              </w:rPr>
            </w:pPr>
          </w:p>
        </w:tc>
      </w:tr>
      <w:tr w14:paraId="2ED5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0" w:type="auto"/>
            <w:vAlign w:val="center"/>
          </w:tcPr>
          <w:p w14:paraId="1A01DDC6">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32</w:t>
            </w:r>
          </w:p>
        </w:tc>
        <w:tc>
          <w:tcPr>
            <w:tcW w:w="0" w:type="auto"/>
            <w:vAlign w:val="center"/>
          </w:tcPr>
          <w:p w14:paraId="39FAD9F3">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网络机柜</w:t>
            </w:r>
          </w:p>
        </w:tc>
        <w:tc>
          <w:tcPr>
            <w:tcW w:w="0" w:type="auto"/>
            <w:vAlign w:val="center"/>
          </w:tcPr>
          <w:p w14:paraId="78B8C794">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容量：32u；产品材质：优质冷轧钢板；钢化玻璃门；表面处理:脱脂、磷化、酸洗、静电喷塑。</w:t>
            </w:r>
          </w:p>
        </w:tc>
        <w:tc>
          <w:tcPr>
            <w:tcW w:w="0" w:type="auto"/>
            <w:vAlign w:val="center"/>
          </w:tcPr>
          <w:p w14:paraId="74971AEA">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09663005">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64B73A24">
            <w:pPr>
              <w:jc w:val="center"/>
              <w:rPr>
                <w:rFonts w:hint="eastAsia" w:ascii="仿宋_GB2312" w:hAnsi="仿宋_GB2312" w:eastAsia="仿宋_GB2312" w:cs="仿宋_GB2312"/>
                <w:bCs/>
                <w:color w:val="000000"/>
                <w:sz w:val="32"/>
                <w:szCs w:val="32"/>
              </w:rPr>
            </w:pPr>
          </w:p>
        </w:tc>
      </w:tr>
      <w:tr w14:paraId="7E08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3A3523D5">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33</w:t>
            </w:r>
          </w:p>
        </w:tc>
        <w:tc>
          <w:tcPr>
            <w:tcW w:w="0" w:type="auto"/>
            <w:vAlign w:val="center"/>
          </w:tcPr>
          <w:p w14:paraId="7D15BD0C">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服务器机柜</w:t>
            </w:r>
          </w:p>
        </w:tc>
        <w:tc>
          <w:tcPr>
            <w:tcW w:w="0" w:type="auto"/>
            <w:vAlign w:val="center"/>
          </w:tcPr>
          <w:p w14:paraId="2F9142B6">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容量：22u；产品材质：优质冷轧钢板；表面处理:脱脂、磷化、酸洗、静电喷塑。</w:t>
            </w:r>
          </w:p>
        </w:tc>
        <w:tc>
          <w:tcPr>
            <w:tcW w:w="0" w:type="auto"/>
            <w:vAlign w:val="center"/>
          </w:tcPr>
          <w:p w14:paraId="42F951F5">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556540D9">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5AF97147">
            <w:pPr>
              <w:jc w:val="center"/>
              <w:rPr>
                <w:rFonts w:hint="eastAsia" w:ascii="仿宋_GB2312" w:hAnsi="仿宋_GB2312" w:eastAsia="仿宋_GB2312" w:cs="仿宋_GB2312"/>
                <w:bCs/>
                <w:color w:val="000000"/>
                <w:sz w:val="32"/>
                <w:szCs w:val="32"/>
              </w:rPr>
            </w:pPr>
          </w:p>
        </w:tc>
      </w:tr>
      <w:tr w14:paraId="2646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7F767609">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34</w:t>
            </w:r>
          </w:p>
        </w:tc>
        <w:tc>
          <w:tcPr>
            <w:tcW w:w="0" w:type="auto"/>
            <w:vAlign w:val="center"/>
          </w:tcPr>
          <w:p w14:paraId="1F87ADD3">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路由器</w:t>
            </w:r>
          </w:p>
        </w:tc>
        <w:tc>
          <w:tcPr>
            <w:tcW w:w="0" w:type="auto"/>
            <w:vAlign w:val="center"/>
          </w:tcPr>
          <w:p w14:paraId="1D18F447">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无线速率：1300Mbps；适用频段：2.4Ghz+5Ghz；天线数量:6根；无线协议：wifi 5；支持IPv6；</w:t>
            </w:r>
          </w:p>
        </w:tc>
        <w:tc>
          <w:tcPr>
            <w:tcW w:w="0" w:type="auto"/>
            <w:vAlign w:val="center"/>
          </w:tcPr>
          <w:p w14:paraId="70294B60">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683B6BD5">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218FD458">
            <w:pPr>
              <w:jc w:val="center"/>
              <w:rPr>
                <w:rFonts w:hint="eastAsia" w:ascii="仿宋_GB2312" w:hAnsi="仿宋_GB2312" w:eastAsia="仿宋_GB2312" w:cs="仿宋_GB2312"/>
                <w:bCs/>
                <w:color w:val="000000"/>
                <w:sz w:val="32"/>
                <w:szCs w:val="32"/>
              </w:rPr>
            </w:pPr>
          </w:p>
        </w:tc>
      </w:tr>
      <w:tr w14:paraId="643D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0" w:type="auto"/>
            <w:vAlign w:val="center"/>
          </w:tcPr>
          <w:p w14:paraId="474270EB">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35</w:t>
            </w:r>
          </w:p>
        </w:tc>
        <w:tc>
          <w:tcPr>
            <w:tcW w:w="0" w:type="auto"/>
            <w:vAlign w:val="center"/>
          </w:tcPr>
          <w:p w14:paraId="548E3D53">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信息发布屏</w:t>
            </w:r>
          </w:p>
        </w:tc>
        <w:tc>
          <w:tcPr>
            <w:tcW w:w="0" w:type="auto"/>
            <w:vAlign w:val="center"/>
          </w:tcPr>
          <w:p w14:paraId="217012D4">
            <w:pPr>
              <w:tabs>
                <w:tab w:val="left" w:pos="1030"/>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显示比例：16:09；</w:t>
            </w:r>
          </w:p>
          <w:p w14:paraId="2FA82923">
            <w:pPr>
              <w:tabs>
                <w:tab w:val="left" w:pos="1030"/>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背光类型：D_LED；屏幕:75”物理分辨率：3840*2160；亮度：350 cd/m2；</w:t>
            </w:r>
          </w:p>
          <w:p w14:paraId="55B6816F">
            <w:pPr>
              <w:tabs>
                <w:tab w:val="left" w:pos="1030"/>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对比度：5000:1；可视角度：水平：178°；垂直：178°；防爆屏，非触摸；</w:t>
            </w:r>
          </w:p>
          <w:p w14:paraId="35EE648B">
            <w:pPr>
              <w:tabs>
                <w:tab w:val="left" w:pos="1030"/>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处理器/CPU：RK3288，四核Cortex-A17 1.8 GHz；</w:t>
            </w:r>
          </w:p>
          <w:p w14:paraId="134EC35B">
            <w:pPr>
              <w:tabs>
                <w:tab w:val="left" w:pos="1030"/>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内存：2 GB；存储：16 GB；</w:t>
            </w:r>
          </w:p>
          <w:p w14:paraId="26AB26C1">
            <w:pPr>
              <w:tabs>
                <w:tab w:val="left" w:pos="1030"/>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有线网络：10/100/1000 Mbps 自适应以太网卡；</w:t>
            </w:r>
          </w:p>
          <w:p w14:paraId="17A34FEC">
            <w:pPr>
              <w:tabs>
                <w:tab w:val="left" w:pos="1030"/>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无线网络：IEEE 802.11b/g/n无线协议，支持无线热点；输入接口：1个HDMI输入接口；传输接口：1个10M/100M/1000M RJ-45以太网口，2个USB2.0，1个TF卡槽，1个二合一3.5mm音频接口；扬声器：2个 8欧5瓦 扬声器；</w:t>
            </w:r>
          </w:p>
          <w:p w14:paraId="656BC563">
            <w:pPr>
              <w:tabs>
                <w:tab w:val="left" w:pos="1030"/>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外观材质：金属外壳+铝合金拉丝边框+钢化玻璃；包含信息发布系统软件。</w:t>
            </w:r>
          </w:p>
        </w:tc>
        <w:tc>
          <w:tcPr>
            <w:tcW w:w="0" w:type="auto"/>
            <w:vAlign w:val="center"/>
          </w:tcPr>
          <w:p w14:paraId="538CFAA5">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679AA1AC">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3583D3D9">
            <w:pPr>
              <w:jc w:val="center"/>
              <w:rPr>
                <w:rFonts w:hint="eastAsia" w:ascii="仿宋_GB2312" w:hAnsi="仿宋_GB2312" w:eastAsia="仿宋_GB2312" w:cs="仿宋_GB2312"/>
                <w:bCs/>
                <w:color w:val="000000"/>
                <w:sz w:val="32"/>
                <w:szCs w:val="32"/>
              </w:rPr>
            </w:pPr>
          </w:p>
        </w:tc>
      </w:tr>
      <w:tr w14:paraId="3C28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212ECB31">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36</w:t>
            </w:r>
          </w:p>
        </w:tc>
        <w:tc>
          <w:tcPr>
            <w:tcW w:w="0" w:type="auto"/>
            <w:vAlign w:val="center"/>
          </w:tcPr>
          <w:p w14:paraId="1D26A379">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信息发布屏</w:t>
            </w:r>
          </w:p>
        </w:tc>
        <w:tc>
          <w:tcPr>
            <w:tcW w:w="0" w:type="auto"/>
            <w:vAlign w:val="center"/>
          </w:tcPr>
          <w:p w14:paraId="7B418610">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屏幕:98” 16:9 工业级A规 LCD液晶屏（3840*2160@60 Hz，300 cd/㎡，1200：1 , 8 ms），防爆屏，非触摸；</w:t>
            </w:r>
          </w:p>
          <w:p w14:paraId="5C54296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系统:RK3288，四核Cortex-A17 1.8GHz ，2G内存、16GB存储</w:t>
            </w:r>
          </w:p>
          <w:p w14:paraId="5BB6B8BB">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电源:AC 100-240 V ~ 50/60 Hz  550 W Max</w:t>
            </w:r>
          </w:p>
          <w:p w14:paraId="66C1FD31">
            <w:pPr>
              <w:tabs>
                <w:tab w:val="left" w:pos="2259"/>
              </w:tabs>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壳体:黑色金属外壳+铝合金拉丝边框，包含信息发布系统软件。</w:t>
            </w:r>
          </w:p>
        </w:tc>
        <w:tc>
          <w:tcPr>
            <w:tcW w:w="0" w:type="auto"/>
            <w:vAlign w:val="center"/>
          </w:tcPr>
          <w:p w14:paraId="69164C21">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台</w:t>
            </w:r>
          </w:p>
        </w:tc>
        <w:tc>
          <w:tcPr>
            <w:tcW w:w="0" w:type="auto"/>
            <w:vAlign w:val="center"/>
          </w:tcPr>
          <w:p w14:paraId="13276AB3">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7779F4C2">
            <w:pPr>
              <w:jc w:val="center"/>
              <w:rPr>
                <w:rFonts w:hint="eastAsia" w:ascii="仿宋_GB2312" w:hAnsi="仿宋_GB2312" w:eastAsia="仿宋_GB2312" w:cs="仿宋_GB2312"/>
                <w:bCs/>
                <w:color w:val="000000"/>
                <w:sz w:val="32"/>
                <w:szCs w:val="32"/>
              </w:rPr>
            </w:pPr>
          </w:p>
        </w:tc>
      </w:tr>
      <w:tr w14:paraId="33EC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vAlign w:val="center"/>
          </w:tcPr>
          <w:p w14:paraId="244DB835">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37</w:t>
            </w:r>
          </w:p>
        </w:tc>
        <w:tc>
          <w:tcPr>
            <w:tcW w:w="0" w:type="auto"/>
            <w:vAlign w:val="center"/>
          </w:tcPr>
          <w:p w14:paraId="0BCE4F89">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国徽</w:t>
            </w:r>
          </w:p>
        </w:tc>
        <w:tc>
          <w:tcPr>
            <w:tcW w:w="0" w:type="auto"/>
            <w:vAlign w:val="center"/>
          </w:tcPr>
          <w:p w14:paraId="106775E6">
            <w:pPr>
              <w:tabs>
                <w:tab w:val="left" w:pos="2453"/>
              </w:tabs>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直径50CM,进口烤漆、铝合金材质</w:t>
            </w:r>
          </w:p>
        </w:tc>
        <w:tc>
          <w:tcPr>
            <w:tcW w:w="0" w:type="auto"/>
            <w:vAlign w:val="center"/>
          </w:tcPr>
          <w:p w14:paraId="04124F21">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个</w:t>
            </w:r>
          </w:p>
        </w:tc>
        <w:tc>
          <w:tcPr>
            <w:tcW w:w="0" w:type="auto"/>
            <w:vAlign w:val="center"/>
          </w:tcPr>
          <w:p w14:paraId="61794CED">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6B7FDCDF">
            <w:pPr>
              <w:jc w:val="center"/>
              <w:rPr>
                <w:rFonts w:hint="eastAsia" w:ascii="仿宋_GB2312" w:hAnsi="仿宋_GB2312" w:eastAsia="仿宋_GB2312" w:cs="仿宋_GB2312"/>
                <w:bCs/>
                <w:color w:val="000000"/>
                <w:sz w:val="32"/>
                <w:szCs w:val="32"/>
              </w:rPr>
            </w:pPr>
          </w:p>
        </w:tc>
      </w:tr>
      <w:tr w14:paraId="5465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vAlign w:val="center"/>
          </w:tcPr>
          <w:p w14:paraId="00AF8FB5">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38</w:t>
            </w:r>
          </w:p>
        </w:tc>
        <w:tc>
          <w:tcPr>
            <w:tcW w:w="0" w:type="auto"/>
            <w:vAlign w:val="center"/>
          </w:tcPr>
          <w:p w14:paraId="6E64A6F9">
            <w:pPr>
              <w:jc w:val="center"/>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综合布线</w:t>
            </w:r>
          </w:p>
        </w:tc>
        <w:tc>
          <w:tcPr>
            <w:tcW w:w="0" w:type="auto"/>
            <w:vAlign w:val="center"/>
          </w:tcPr>
          <w:p w14:paraId="0C9D21A4">
            <w:pPr>
              <w:tabs>
                <w:tab w:val="left" w:pos="1778"/>
              </w:tabs>
              <w:jc w:val="center"/>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21"/>
                <w:szCs w:val="21"/>
                <w:lang w:eastAsia="zh-CN"/>
              </w:rPr>
              <w:t>线缆</w:t>
            </w:r>
            <w:r>
              <w:rPr>
                <w:rFonts w:hint="eastAsia" w:ascii="仿宋_GB2312" w:hAnsi="仿宋_GB2312" w:eastAsia="仿宋_GB2312" w:cs="仿宋_GB2312"/>
                <w:bCs/>
                <w:color w:val="000000"/>
                <w:sz w:val="21"/>
                <w:szCs w:val="21"/>
              </w:rPr>
              <w:t>及其他配件辅材</w:t>
            </w:r>
            <w:r>
              <w:rPr>
                <w:rFonts w:hint="eastAsia" w:ascii="仿宋_GB2312" w:hAnsi="仿宋_GB2312" w:eastAsia="仿宋_GB2312" w:cs="仿宋_GB2312"/>
                <w:bCs/>
                <w:color w:val="000000"/>
                <w:sz w:val="21"/>
                <w:szCs w:val="21"/>
                <w:lang w:eastAsia="zh-CN"/>
              </w:rPr>
              <w:t>；墙及顶面拆除、修复；垃圾清运</w:t>
            </w:r>
          </w:p>
        </w:tc>
        <w:tc>
          <w:tcPr>
            <w:tcW w:w="0" w:type="auto"/>
            <w:vAlign w:val="center"/>
          </w:tcPr>
          <w:p w14:paraId="528FB997">
            <w:pPr>
              <w:tabs>
                <w:tab w:val="left" w:pos="1778"/>
              </w:tabs>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w:t>
            </w:r>
          </w:p>
        </w:tc>
        <w:tc>
          <w:tcPr>
            <w:tcW w:w="0" w:type="auto"/>
            <w:vAlign w:val="center"/>
          </w:tcPr>
          <w:p w14:paraId="18A51048">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0" w:type="auto"/>
            <w:vAlign w:val="center"/>
          </w:tcPr>
          <w:p w14:paraId="2EA4C05C">
            <w:pPr>
              <w:jc w:val="center"/>
              <w:rPr>
                <w:rFonts w:hint="eastAsia" w:ascii="仿宋_GB2312" w:hAnsi="仿宋_GB2312" w:eastAsia="仿宋_GB2312" w:cs="仿宋_GB2312"/>
                <w:bCs/>
                <w:color w:val="000000"/>
                <w:sz w:val="32"/>
                <w:szCs w:val="32"/>
              </w:rPr>
            </w:pPr>
          </w:p>
        </w:tc>
      </w:tr>
    </w:tbl>
    <w:p w14:paraId="27104CF9">
      <w:pPr>
        <w:widowControl w:val="0"/>
        <w:jc w:val="left"/>
        <w:rPr>
          <w:rFonts w:hint="default" w:ascii="Calibri" w:hAnsi="Calibri" w:eastAsia="宋体" w:cs="Calibri"/>
          <w:smallCaps/>
          <w:kern w:val="2"/>
          <w:sz w:val="20"/>
          <w:szCs w:val="20"/>
          <w:lang w:val="en-US" w:eastAsia="zh-CN" w:bidi="ar-SA"/>
        </w:rPr>
      </w:pPr>
    </w:p>
    <w:p w14:paraId="00D25CCC">
      <w:pPr>
        <w:spacing w:line="240" w:lineRule="auto"/>
        <w:rPr>
          <w:rFonts w:hint="eastAsia"/>
          <w:sz w:val="22"/>
          <w:szCs w:val="22"/>
          <w:lang w:val="en-US" w:eastAsia="zh-CN"/>
        </w:rPr>
      </w:pPr>
      <w:r>
        <w:rPr>
          <w:rFonts w:hint="eastAsia" w:ascii="宋体" w:hAnsi="宋体" w:eastAsia="宋体" w:cs="宋体"/>
          <w:b/>
          <w:sz w:val="28"/>
          <w:szCs w:val="28"/>
          <w:lang w:val="en-US" w:eastAsia="zh-CN"/>
        </w:rPr>
        <w:t>三、质量保证期：</w:t>
      </w:r>
      <w:r>
        <w:rPr>
          <w:rFonts w:hint="eastAsia" w:ascii="仿宋" w:hAnsi="仿宋" w:eastAsia="仿宋" w:cs="仿宋"/>
          <w:b w:val="0"/>
          <w:bCs/>
          <w:sz w:val="28"/>
          <w:szCs w:val="28"/>
          <w:lang w:val="en-US" w:eastAsia="zh-CN"/>
        </w:rPr>
        <w:t>合同签订后一年。</w:t>
      </w:r>
    </w:p>
    <w:p w14:paraId="492E28C5">
      <w:pPr>
        <w:pageBreakBefore/>
        <w:numPr>
          <w:ilvl w:val="0"/>
          <w:numId w:val="8"/>
        </w:numPr>
        <w:spacing w:line="360" w:lineRule="auto"/>
        <w:jc w:val="center"/>
        <w:outlineLvl w:val="0"/>
        <w:rPr>
          <w:rFonts w:ascii="宋体"/>
          <w:b/>
          <w:bCs/>
          <w:kern w:val="0"/>
          <w:sz w:val="36"/>
          <w:szCs w:val="36"/>
        </w:rPr>
      </w:pPr>
      <w:bookmarkStart w:id="70" w:name="_Toc24625"/>
      <w:bookmarkStart w:id="71" w:name="_Toc9079"/>
      <w:r>
        <w:rPr>
          <w:rFonts w:hint="eastAsia" w:ascii="宋体" w:hAnsi="宋体" w:cs="宋体"/>
          <w:b/>
          <w:bCs/>
          <w:kern w:val="0"/>
          <w:sz w:val="36"/>
          <w:szCs w:val="36"/>
        </w:rPr>
        <w:t>评标方法及标准</w:t>
      </w:r>
      <w:bookmarkEnd w:id="59"/>
      <w:bookmarkEnd w:id="60"/>
      <w:bookmarkEnd w:id="61"/>
      <w:bookmarkEnd w:id="62"/>
      <w:bookmarkEnd w:id="70"/>
      <w:bookmarkEnd w:id="71"/>
    </w:p>
    <w:p w14:paraId="6A437521">
      <w:pPr>
        <w:pStyle w:val="5"/>
        <w:adjustRightInd/>
        <w:spacing w:before="0" w:after="0" w:line="360" w:lineRule="auto"/>
        <w:jc w:val="center"/>
        <w:textAlignment w:val="auto"/>
        <w:outlineLvl w:val="1"/>
        <w:rPr>
          <w:rFonts w:ascii="宋体"/>
          <w:b w:val="0"/>
          <w:bCs w:val="0"/>
          <w:kern w:val="2"/>
          <w:sz w:val="32"/>
          <w:szCs w:val="32"/>
        </w:rPr>
      </w:pPr>
      <w:bookmarkStart w:id="72" w:name="_Toc12870"/>
      <w:bookmarkStart w:id="73" w:name="_Toc21415"/>
      <w:bookmarkStart w:id="74" w:name="_Toc1369"/>
      <w:r>
        <w:rPr>
          <w:rFonts w:hint="eastAsia" w:ascii="宋体" w:hAnsi="宋体" w:cs="宋体"/>
          <w:b w:val="0"/>
          <w:bCs w:val="0"/>
          <w:kern w:val="2"/>
          <w:sz w:val="32"/>
          <w:szCs w:val="32"/>
        </w:rPr>
        <w:t>一、总则</w:t>
      </w:r>
      <w:bookmarkEnd w:id="72"/>
      <w:bookmarkEnd w:id="73"/>
      <w:bookmarkEnd w:id="74"/>
    </w:p>
    <w:p w14:paraId="666A7A86">
      <w:pPr>
        <w:pStyle w:val="23"/>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评标</w:t>
      </w:r>
    </w:p>
    <w:p w14:paraId="19614652">
      <w:pPr>
        <w:numPr>
          <w:ilvl w:val="1"/>
          <w:numId w:val="12"/>
        </w:numPr>
        <w:spacing w:line="360" w:lineRule="auto"/>
        <w:rPr>
          <w:rFonts w:hint="eastAsia" w:ascii="仿宋_GB2312" w:hAnsi="仿宋_GB2312" w:eastAsia="仿宋_GB2312" w:cs="仿宋_GB2312"/>
          <w:b/>
          <w:bCs/>
          <w:sz w:val="22"/>
          <w:szCs w:val="22"/>
        </w:rPr>
      </w:pPr>
      <w:r>
        <w:rPr>
          <w:rFonts w:hint="eastAsia" w:ascii="仿宋_GB2312" w:hAnsi="仿宋_GB2312" w:eastAsia="仿宋_GB2312" w:cs="仿宋_GB2312"/>
          <w:sz w:val="22"/>
          <w:szCs w:val="22"/>
        </w:rPr>
        <w:t>评标由依法组成的评标委员会负责。</w:t>
      </w:r>
    </w:p>
    <w:p w14:paraId="069DB629">
      <w:pPr>
        <w:pStyle w:val="23"/>
        <w:numPr>
          <w:ilvl w:val="0"/>
          <w:numId w:val="11"/>
        </w:numPr>
        <w:adjustRightInd w:val="0"/>
        <w:snapToGrid w:val="0"/>
        <w:spacing w:beforeLines="50" w:line="360" w:lineRule="auto"/>
        <w:jc w:val="left"/>
        <w:rPr>
          <w:rFonts w:hint="eastAsia" w:ascii="仿宋_GB2312" w:hAnsi="仿宋_GB2312" w:eastAsia="仿宋_GB2312" w:cs="仿宋_GB2312"/>
          <w:sz w:val="22"/>
          <w:szCs w:val="22"/>
        </w:rPr>
      </w:pPr>
      <w:r>
        <w:rPr>
          <w:rFonts w:hint="eastAsia" w:hAnsi="宋体"/>
          <w:b/>
          <w:bCs/>
          <w:sz w:val="22"/>
          <w:szCs w:val="22"/>
        </w:rPr>
        <w:t>评标方法：综合评分法</w:t>
      </w:r>
      <w:r>
        <w:rPr>
          <w:rFonts w:hint="eastAsia" w:hAnsi="宋体"/>
          <w:sz w:val="22"/>
          <w:szCs w:val="22"/>
        </w:rPr>
        <w:t>，</w:t>
      </w:r>
      <w:r>
        <w:rPr>
          <w:rFonts w:hint="eastAsia" w:ascii="仿宋_GB2312" w:hAnsi="仿宋_GB2312" w:eastAsia="仿宋_GB2312" w:cs="仿宋_GB2312"/>
          <w:sz w:val="22"/>
          <w:szCs w:val="22"/>
        </w:rPr>
        <w:t>是指投标文件满足招标文件全部实质性要求，且按照评审因素的量化指标评审得分最高的投标人为中标候选人的评标方法。本项目对投标人的价格、技术、商务因素评审（商务部分、技术部分）按百分制进行评标（按四舍五入取百分位两位小数），评审得分最高的投标人为中标候选人。</w:t>
      </w:r>
    </w:p>
    <w:p w14:paraId="6C851839">
      <w:pPr>
        <w:pStyle w:val="23"/>
        <w:adjustRightInd w:val="0"/>
        <w:snapToGrid w:val="0"/>
        <w:spacing w:beforeLines="50" w:line="360" w:lineRule="auto"/>
        <w:jc w:val="left"/>
        <w:rPr>
          <w:rFonts w:hAnsi="宋体" w:cs="Times New Roman"/>
          <w:b/>
          <w:bCs/>
          <w:sz w:val="22"/>
          <w:szCs w:val="22"/>
        </w:rPr>
      </w:pPr>
      <w:r>
        <w:rPr>
          <w:rFonts w:hint="eastAsia" w:hAnsi="宋体"/>
          <w:b/>
          <w:bCs/>
          <w:sz w:val="22"/>
          <w:szCs w:val="22"/>
        </w:rPr>
        <w:t>评标标准：综合评分明细表：满分</w:t>
      </w:r>
      <w:r>
        <w:rPr>
          <w:rFonts w:hAnsi="宋体"/>
          <w:b/>
          <w:bCs/>
          <w:sz w:val="22"/>
          <w:szCs w:val="22"/>
        </w:rPr>
        <w:t>100</w:t>
      </w:r>
      <w:r>
        <w:rPr>
          <w:rFonts w:hint="eastAsia" w:hAnsi="宋体"/>
          <w:b/>
          <w:bCs/>
          <w:sz w:val="22"/>
          <w:szCs w:val="22"/>
        </w:rPr>
        <w:t>分。</w:t>
      </w:r>
    </w:p>
    <w:p w14:paraId="05B63257">
      <w:pPr>
        <w:jc w:val="center"/>
        <w:rPr>
          <w:rFonts w:hint="eastAsia" w:ascii="宋体" w:hAnsi="宋体" w:cs="宋体"/>
          <w:b/>
          <w:bCs/>
          <w:sz w:val="28"/>
          <w:szCs w:val="28"/>
        </w:rPr>
      </w:pPr>
      <w:r>
        <w:rPr>
          <w:rFonts w:hint="eastAsia" w:ascii="宋体" w:hAnsi="宋体" w:cs="宋体"/>
          <w:b/>
          <w:bCs/>
          <w:sz w:val="30"/>
          <w:szCs w:val="30"/>
        </w:rPr>
        <w:t>评分细则</w:t>
      </w:r>
      <w:r>
        <w:rPr>
          <w:rFonts w:hint="eastAsia" w:ascii="宋体" w:hAnsi="宋体" w:cs="宋体"/>
          <w:b/>
          <w:bCs/>
          <w:sz w:val="28"/>
          <w:szCs w:val="28"/>
        </w:rPr>
        <w:t>具体为：</w:t>
      </w:r>
    </w:p>
    <w:p w14:paraId="6ACB14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根据财政部、工业和信息化部发布的《政府采购促进中小企业发展管理办法》（财库〔2020〕46号）和财政部《关于进一步加大政府采购支持中小企业力度的通知》（财库〔2022〕19号）规定，对</w:t>
      </w:r>
      <w:r>
        <w:rPr>
          <w:rFonts w:hint="eastAsia" w:ascii="仿宋_GB2312" w:hAnsi="Times New Roman" w:eastAsia="仿宋_GB2312" w:cs="Times New Roman"/>
          <w:b/>
          <w:bCs/>
          <w:sz w:val="24"/>
          <w:szCs w:val="24"/>
          <w:highlight w:val="none"/>
        </w:rPr>
        <w:t>小型和微型企业产品</w:t>
      </w:r>
      <w:r>
        <w:rPr>
          <w:rFonts w:hint="eastAsia" w:ascii="仿宋_GB2312" w:hAnsi="Times New Roman" w:eastAsia="仿宋_GB2312" w:cs="Times New Roman"/>
          <w:sz w:val="24"/>
          <w:szCs w:val="24"/>
          <w:highlight w:val="none"/>
        </w:rPr>
        <w:t>的投标价格给予</w:t>
      </w:r>
      <w:r>
        <w:rPr>
          <w:rFonts w:hint="eastAsia" w:ascii="仿宋_GB2312" w:eastAsia="仿宋_GB2312" w:cs="Times New Roman"/>
          <w:sz w:val="24"/>
          <w:szCs w:val="24"/>
          <w:highlight w:val="none"/>
          <w:u w:val="single"/>
          <w:lang w:val="en-US" w:eastAsia="zh-CN"/>
        </w:rPr>
        <w:t xml:space="preserve"> </w:t>
      </w:r>
      <w:r>
        <w:rPr>
          <w:rFonts w:hint="eastAsia" w:ascii="仿宋_GB2312" w:eastAsia="仿宋_GB2312" w:cs="Times New Roman"/>
          <w:b/>
          <w:bCs/>
          <w:sz w:val="24"/>
          <w:szCs w:val="24"/>
          <w:highlight w:val="none"/>
          <w:u w:val="single"/>
          <w:lang w:val="en-US" w:eastAsia="zh-CN"/>
        </w:rPr>
        <w:t xml:space="preserve">15 </w:t>
      </w:r>
      <w:r>
        <w:rPr>
          <w:rFonts w:hint="eastAsia" w:ascii="仿宋_GB2312" w:hAnsi="Times New Roman" w:eastAsia="仿宋_GB2312" w:cs="Times New Roman"/>
          <w:sz w:val="24"/>
          <w:szCs w:val="24"/>
          <w:highlight w:val="none"/>
        </w:rPr>
        <w:t>% 的扣除，用扣除后的价格参与评审。</w:t>
      </w:r>
    </w:p>
    <w:p w14:paraId="037860C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_GB2312" w:hAnsi="Times New Roman" w:eastAsia="仿宋_GB2312" w:cs="Times New Roman"/>
          <w:b/>
          <w:bCs/>
          <w:sz w:val="24"/>
          <w:szCs w:val="24"/>
          <w:highlight w:val="none"/>
          <w:lang w:val="en-US" w:eastAsia="zh-CN"/>
        </w:rPr>
      </w:pPr>
      <w:r>
        <w:rPr>
          <w:rFonts w:hint="eastAsia" w:ascii="仿宋_GB2312" w:eastAsia="仿宋_GB2312" w:cs="Times New Roman"/>
          <w:b/>
          <w:bCs/>
          <w:sz w:val="24"/>
          <w:szCs w:val="24"/>
          <w:highlight w:val="none"/>
          <w:lang w:val="en-US" w:eastAsia="zh-CN"/>
        </w:rPr>
        <w:t>注：在本项目中，供应商提供的货物既有小型和微型企业制造货物，也有中型和大型企业制造货物的，不享受小企业扶持政策，即价格优惠评审。</w:t>
      </w:r>
    </w:p>
    <w:p w14:paraId="2235F507">
      <w:pPr>
        <w:adjustRightInd w:val="0"/>
        <w:snapToGrid w:val="0"/>
        <w:spacing w:line="240" w:lineRule="auto"/>
        <w:ind w:firstLine="0" w:firstLineChars="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具体</w:t>
      </w:r>
      <w:r>
        <w:rPr>
          <w:rFonts w:hint="eastAsia" w:ascii="仿宋_GB2312" w:hAnsi="Times New Roman" w:eastAsia="仿宋_GB2312" w:cs="Times New Roman"/>
          <w:sz w:val="28"/>
          <w:szCs w:val="28"/>
          <w:highlight w:val="none"/>
          <w:lang w:eastAsia="zh-CN"/>
        </w:rPr>
        <w:t>评分权重如下</w:t>
      </w:r>
      <w:r>
        <w:rPr>
          <w:rFonts w:hint="eastAsia" w:ascii="仿宋_GB2312" w:hAnsi="Times New Roman" w:eastAsia="仿宋_GB2312" w:cs="Times New Roman"/>
          <w:sz w:val="28"/>
          <w:szCs w:val="28"/>
          <w:highlight w:val="none"/>
        </w:rPr>
        <w:t>：</w:t>
      </w:r>
    </w:p>
    <w:tbl>
      <w:tblPr>
        <w:tblStyle w:val="47"/>
        <w:tblpPr w:leftFromText="180" w:rightFromText="180" w:vertAnchor="text" w:horzAnchor="page" w:tblpX="1210" w:tblpY="475"/>
        <w:tblOverlap w:val="never"/>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261"/>
        <w:gridCol w:w="6755"/>
      </w:tblGrid>
      <w:tr w14:paraId="6A61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5" w:type="dxa"/>
          </w:tcPr>
          <w:p w14:paraId="37D85FF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类别</w:t>
            </w:r>
          </w:p>
        </w:tc>
        <w:tc>
          <w:tcPr>
            <w:tcW w:w="1261" w:type="dxa"/>
          </w:tcPr>
          <w:p w14:paraId="612D8BC1">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分值</w:t>
            </w:r>
          </w:p>
        </w:tc>
        <w:tc>
          <w:tcPr>
            <w:tcW w:w="6755" w:type="dxa"/>
          </w:tcPr>
          <w:p w14:paraId="0BC006B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评分标准</w:t>
            </w:r>
          </w:p>
        </w:tc>
      </w:tr>
      <w:tr w14:paraId="2078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14:paraId="1C23794C">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价格部分</w:t>
            </w:r>
          </w:p>
          <w:p w14:paraId="4FA01B56">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30分）</w:t>
            </w:r>
          </w:p>
        </w:tc>
        <w:tc>
          <w:tcPr>
            <w:tcW w:w="1261" w:type="dxa"/>
            <w:vAlign w:val="center"/>
          </w:tcPr>
          <w:p w14:paraId="149A5555">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价格分</w:t>
            </w:r>
          </w:p>
          <w:p w14:paraId="202D1789">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(30分)</w:t>
            </w:r>
          </w:p>
        </w:tc>
        <w:tc>
          <w:tcPr>
            <w:tcW w:w="6755" w:type="dxa"/>
            <w:vAlign w:val="center"/>
          </w:tcPr>
          <w:p w14:paraId="31BA3D92">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满足招标文件要求且投标价格最低的投标报价为评标基准价，其价格分为满分。其他投标人的报价分统一按下列公式计算：</w:t>
            </w:r>
          </w:p>
          <w:p w14:paraId="65E15DDA">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投标报价得分=(评标基准价／投标报价)×价格权值（30%）×100</w:t>
            </w:r>
          </w:p>
          <w:p w14:paraId="1436AC91">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注：价格评分取值至小数点后第 2 位，2 位以后四舍五入。</w:t>
            </w:r>
          </w:p>
          <w:p w14:paraId="57567EB7">
            <w:pPr>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评标委员会认为投标人的报价明显低于其他通过符合性审查投标人的报价，有可能影响产品质量或者不能诚信履约的，评标委员会有权要求其在评标现场合理的时间内提供书面说明，必要时提交相关证明材料；投标人如不能证明其报价合理性的，评标委员会应当将其作为无效投标处理。</w:t>
            </w:r>
          </w:p>
        </w:tc>
      </w:tr>
      <w:tr w14:paraId="4E6D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vAlign w:val="center"/>
          </w:tcPr>
          <w:p w14:paraId="5D82AB8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商务部分</w:t>
            </w:r>
          </w:p>
          <w:p w14:paraId="02727CBC">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29分）</w:t>
            </w:r>
          </w:p>
        </w:tc>
        <w:tc>
          <w:tcPr>
            <w:tcW w:w="1261" w:type="dxa"/>
            <w:vAlign w:val="center"/>
          </w:tcPr>
          <w:p w14:paraId="3ACA89A5">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质量保障能力</w:t>
            </w:r>
          </w:p>
          <w:p w14:paraId="2127F66E">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（19分）</w:t>
            </w:r>
          </w:p>
        </w:tc>
        <w:tc>
          <w:tcPr>
            <w:tcW w:w="6755" w:type="dxa"/>
            <w:vAlign w:val="center"/>
          </w:tcPr>
          <w:p w14:paraId="30A4854C">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投标人或投标人所投听证终端制造商应具备丰富的司法行业研发实力与应用经验，承担过司法相关的国家重点研发计划课题并完成验收的得</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分，提供相关材料复印件并加盖公章或投标专用章。</w:t>
            </w:r>
            <w:r>
              <w:rPr>
                <w:rFonts w:hint="eastAsia" w:ascii="仿宋_GB2312" w:hAnsi="仿宋_GB2312" w:eastAsia="仿宋_GB2312" w:cs="仿宋_GB2312"/>
                <w:sz w:val="28"/>
                <w:szCs w:val="28"/>
                <w:lang w:val="en-US" w:eastAsia="zh-CN"/>
              </w:rPr>
              <w:t>不提供不得分。（满分4分）</w:t>
            </w:r>
          </w:p>
          <w:p w14:paraId="696C244F">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或投标人所投行政复议数字听证管理平台制造商应具备较好的软件开发综合能力，具备软件过程及能力成熟度评估SPCA-软件能力成熟度等级证书，5级得5分，4级得3分，3级及以下得2分，提供证书复印件并加盖单位公章或投标专用章。不提供不得分。（满分5分）</w:t>
            </w:r>
          </w:p>
          <w:p w14:paraId="52D4EC1E">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或投标人所投磁盘存储矩阵制造商应具有高水平的科技创新实力与制造能力、强大的产业链和创新链资源整合能力、完善的专业化研究开发和产业化条件，能入选政府部门发布的“国家专业化众创空间示范名单”的，得5分，提供相关证明材料复印件并加盖公章或投标专用章。不提供不得分。（满分5分）</w:t>
            </w:r>
          </w:p>
          <w:p w14:paraId="3659CFC0">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为保证产品质量及先进性，投标人或投标人所投听证复议MCU制造商应具有较强的企业实力和完善的管理体系，具有 ISO9001 质量管理体系认证、ISO14001环境管理体系认证证书、ISO45001职业健康安全管理体系认证、 ISO20000信息技术服务管理体系认证、 ISO27001 信息安全管理体系认证、GB/T 29490知识产权管理体系认证证书，全部具备得5分，每有一项不满足扣1分，扣完为止，提供证书复印件并加盖公章或投标专用章。不提供不得分。（满分5分）</w:t>
            </w:r>
          </w:p>
        </w:tc>
      </w:tr>
      <w:tr w14:paraId="40E5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vAlign w:val="center"/>
          </w:tcPr>
          <w:p w14:paraId="2E732F3B">
            <w:pPr>
              <w:rPr>
                <w:rFonts w:hint="eastAsia" w:ascii="仿宋_GB2312" w:hAnsi="仿宋_GB2312" w:eastAsia="仿宋_GB2312" w:cs="仿宋_GB2312"/>
                <w:sz w:val="28"/>
                <w:szCs w:val="28"/>
              </w:rPr>
            </w:pPr>
          </w:p>
        </w:tc>
        <w:tc>
          <w:tcPr>
            <w:tcW w:w="1261" w:type="dxa"/>
            <w:vAlign w:val="center"/>
          </w:tcPr>
          <w:p w14:paraId="5A07C966">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培训方案</w:t>
            </w:r>
          </w:p>
          <w:p w14:paraId="459256DA">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（5分）</w:t>
            </w:r>
          </w:p>
        </w:tc>
        <w:tc>
          <w:tcPr>
            <w:tcW w:w="6755" w:type="dxa"/>
            <w:vAlign w:val="center"/>
          </w:tcPr>
          <w:p w14:paraId="6E4374E7">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本项目提供完善的技术培训方案，明确培训内容(包括但不限于设备操做流程、设备连接设定、设备运行过程存突发状况、设备应急故障排除等)，培训方案内容全面、计划合理、针对性强得5分;培训方案内容基本完整、计划相对合理得3分;其它得1分;未提供培训方案或培训方案内容不完整、计划不合理不得分。（满分5分）</w:t>
            </w:r>
          </w:p>
        </w:tc>
      </w:tr>
      <w:tr w14:paraId="4942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25" w:type="dxa"/>
            <w:vMerge w:val="continue"/>
            <w:vAlign w:val="center"/>
          </w:tcPr>
          <w:p w14:paraId="622B40C3">
            <w:pPr>
              <w:rPr>
                <w:rFonts w:hint="eastAsia" w:ascii="仿宋_GB2312" w:hAnsi="仿宋_GB2312" w:eastAsia="仿宋_GB2312" w:cs="仿宋_GB2312"/>
                <w:sz w:val="28"/>
                <w:szCs w:val="28"/>
              </w:rPr>
            </w:pPr>
          </w:p>
        </w:tc>
        <w:tc>
          <w:tcPr>
            <w:tcW w:w="1261" w:type="dxa"/>
            <w:vAlign w:val="center"/>
          </w:tcPr>
          <w:p w14:paraId="4393CB65">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投标文件制作(5分)</w:t>
            </w:r>
          </w:p>
        </w:tc>
        <w:tc>
          <w:tcPr>
            <w:tcW w:w="6755" w:type="dxa"/>
            <w:vAlign w:val="center"/>
          </w:tcPr>
          <w:p w14:paraId="14B459A4">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投标文件的编制规范性强，文件构成完整，条理清晰的，所有参与本项目投标的供应商横向评比，优秀得5分，良好得3分，一般得1分。（满分5分）</w:t>
            </w:r>
          </w:p>
        </w:tc>
      </w:tr>
      <w:tr w14:paraId="3869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vAlign w:val="center"/>
          </w:tcPr>
          <w:p w14:paraId="56A96551">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技术部分</w:t>
            </w:r>
          </w:p>
          <w:p w14:paraId="044E623B">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（35分)</w:t>
            </w:r>
          </w:p>
        </w:tc>
        <w:tc>
          <w:tcPr>
            <w:tcW w:w="1261" w:type="dxa"/>
            <w:vAlign w:val="center"/>
          </w:tcPr>
          <w:p w14:paraId="27EEFF34">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技术参数响应</w:t>
            </w:r>
          </w:p>
          <w:p w14:paraId="0B6AF970">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（30分）</w:t>
            </w:r>
          </w:p>
        </w:tc>
        <w:tc>
          <w:tcPr>
            <w:tcW w:w="6755" w:type="dxa"/>
          </w:tcPr>
          <w:p w14:paraId="74830F5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所投产品的技术参数完全满足或优于招标文件技术参数要求的得30 分。带“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项参数的产品必须满足招标文件采购需求，有标注提供认证证书（检测报告）的，投标人或投标人所投产品制造商必须提供相应的国家认可的认证（检测）机构出具的认证证书（检测报告），有一项负偏离减1分，直至扣完为止。（注：以上提供相关材料复印件并加盖公章或投标专用章。原件备查）。（满分30分）</w:t>
            </w:r>
          </w:p>
        </w:tc>
      </w:tr>
      <w:tr w14:paraId="62D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vAlign w:val="center"/>
          </w:tcPr>
          <w:p w14:paraId="6049E195">
            <w:pPr>
              <w:rPr>
                <w:rFonts w:hint="eastAsia" w:ascii="仿宋_GB2312" w:hAnsi="仿宋_GB2312" w:eastAsia="仿宋_GB2312" w:cs="仿宋_GB2312"/>
                <w:sz w:val="28"/>
                <w:szCs w:val="28"/>
                <w:lang w:val="en-US" w:eastAsia="zh-CN"/>
              </w:rPr>
            </w:pPr>
          </w:p>
        </w:tc>
        <w:tc>
          <w:tcPr>
            <w:tcW w:w="1261" w:type="dxa"/>
            <w:vAlign w:val="center"/>
          </w:tcPr>
          <w:p w14:paraId="10D10330">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实施方案</w:t>
            </w:r>
          </w:p>
          <w:p w14:paraId="0F112211">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（5分）</w:t>
            </w:r>
          </w:p>
        </w:tc>
        <w:tc>
          <w:tcPr>
            <w:tcW w:w="6755" w:type="dxa"/>
          </w:tcPr>
          <w:p w14:paraId="76E4F3C4">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提供实施方案（包含且不限于其安装方案、实施计划、拟投入的人员情况、供货计划等）内容详细完整、科学合理、重点突出、项目实施流程完整、合理，实施计划清晰、可行性强的得5分；方案比较科学、重点较突出、流程较完整、计划较清晰、可操作性较强得3分；方案基本完善、可操作性基本合理得2分；不提供不得分。（满分5分）</w:t>
            </w:r>
          </w:p>
        </w:tc>
      </w:tr>
      <w:tr w14:paraId="3EF7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14:paraId="455EDFB8">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售后服务</w:t>
            </w:r>
          </w:p>
          <w:p w14:paraId="07EFB46F">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（6分）</w:t>
            </w:r>
          </w:p>
        </w:tc>
        <w:tc>
          <w:tcPr>
            <w:tcW w:w="1261" w:type="dxa"/>
            <w:vAlign w:val="center"/>
          </w:tcPr>
          <w:p w14:paraId="49256D4C">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售后服务</w:t>
            </w:r>
          </w:p>
          <w:p w14:paraId="340DF160">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（6分）</w:t>
            </w:r>
          </w:p>
        </w:tc>
        <w:tc>
          <w:tcPr>
            <w:tcW w:w="6755" w:type="dxa"/>
          </w:tcPr>
          <w:p w14:paraId="3B3AC0A8">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评审小组根据各投标人的售后服务方案综合评审：售后服务方案科学、明确、详尽、合理、符合实际，操作性强的得4 分，基本明确、详尽、符合实际，有操作性的得 2分，不够详尽、部分符合实际、无操作性的不得分。（满分4分）</w:t>
            </w:r>
          </w:p>
          <w:p w14:paraId="1E1B370E">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提供核心产品的生产厂家针对本项目售后服务承诺书者得2分，否则不得分，（满分2分）</w:t>
            </w:r>
          </w:p>
        </w:tc>
      </w:tr>
    </w:tbl>
    <w:p w14:paraId="7E371153">
      <w:pPr>
        <w:pStyle w:val="23"/>
        <w:adjustRightInd w:val="0"/>
        <w:snapToGrid w:val="0"/>
        <w:spacing w:beforeLines="50" w:line="360" w:lineRule="auto"/>
        <w:jc w:val="lef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4、中标供应商的确定</w:t>
      </w:r>
    </w:p>
    <w:p w14:paraId="0717694E">
      <w:pPr>
        <w:pStyle w:val="110"/>
        <w:ind w:left="656" w:leftChars="102" w:hanging="442" w:hangingChars="200"/>
        <w:rPr>
          <w:rFonts w:hint="eastAsia" w:ascii="仿宋_GB2312" w:hAnsi="仿宋_GB2312" w:eastAsia="仿宋_GB2312" w:cs="仿宋_GB2312"/>
          <w:kern w:val="2"/>
          <w:sz w:val="21"/>
          <w:szCs w:val="21"/>
          <w:lang w:val="zh-CN" w:eastAsia="zh-CN"/>
        </w:rPr>
      </w:pPr>
      <w:r>
        <w:rPr>
          <w:rFonts w:hint="eastAsia" w:ascii="仿宋_GB2312" w:hAnsi="仿宋_GB2312" w:eastAsia="仿宋_GB2312" w:cs="仿宋_GB2312"/>
          <w:b/>
          <w:bCs/>
          <w:sz w:val="22"/>
          <w:szCs w:val="22"/>
          <w:lang w:eastAsia="zh-CN"/>
        </w:rPr>
        <w:t xml:space="preserve">   </w:t>
      </w:r>
      <w:r>
        <w:rPr>
          <w:rFonts w:hint="eastAsia" w:ascii="仿宋_GB2312" w:hAnsi="仿宋_GB2312" w:eastAsia="仿宋_GB2312" w:cs="仿宋_GB2312"/>
          <w:kern w:val="2"/>
          <w:sz w:val="21"/>
          <w:szCs w:val="21"/>
          <w:lang w:val="zh-CN" w:eastAsia="zh-CN"/>
        </w:rPr>
        <w:t>由评标委员会推荐，采购单位按照评标报告推荐的顺序确定中标单位。</w:t>
      </w:r>
    </w:p>
    <w:p w14:paraId="64919119">
      <w:pPr>
        <w:pStyle w:val="23"/>
        <w:adjustRightInd w:val="0"/>
        <w:snapToGrid w:val="0"/>
        <w:spacing w:beforeLines="50" w:line="360" w:lineRule="auto"/>
        <w:ind w:firstLine="45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中标人确定后，由采购人发布中标结果，同时向中标供应商发出中标通知书，</w:t>
      </w:r>
      <w:r>
        <w:rPr>
          <w:rFonts w:hint="eastAsia" w:ascii="仿宋_GB2312" w:hAnsi="仿宋_GB2312" w:eastAsia="仿宋_GB2312" w:cs="仿宋_GB2312"/>
          <w:b/>
          <w:bCs/>
          <w:sz w:val="22"/>
          <w:szCs w:val="22"/>
        </w:rPr>
        <w:t>按照</w:t>
      </w:r>
      <w:r>
        <w:rPr>
          <w:rFonts w:hint="eastAsia" w:ascii="仿宋_GB2312" w:hAnsi="仿宋_GB2312" w:eastAsia="仿宋_GB2312" w:cs="仿宋_GB2312"/>
          <w:b/>
          <w:bCs/>
          <w:sz w:val="22"/>
          <w:szCs w:val="22"/>
          <w:lang w:eastAsia="zh-CN"/>
        </w:rPr>
        <w:t>《</w:t>
      </w:r>
      <w:r>
        <w:rPr>
          <w:rFonts w:hint="eastAsia" w:ascii="仿宋_GB2312" w:hAnsi="仿宋_GB2312" w:eastAsia="仿宋_GB2312" w:cs="仿宋_GB2312"/>
          <w:b/>
          <w:bCs/>
          <w:sz w:val="22"/>
          <w:szCs w:val="22"/>
        </w:rPr>
        <w:t>陇南市财政局关于优化政府采购领域办事程序促进公平竞争的通知</w:t>
      </w:r>
      <w:r>
        <w:rPr>
          <w:rFonts w:hint="eastAsia" w:ascii="仿宋_GB2312" w:hAnsi="仿宋_GB2312" w:eastAsia="仿宋_GB2312" w:cs="仿宋_GB2312"/>
          <w:b/>
          <w:bCs/>
          <w:sz w:val="22"/>
          <w:szCs w:val="22"/>
          <w:lang w:eastAsia="zh-CN"/>
        </w:rPr>
        <w:t>》</w:t>
      </w:r>
      <w:r>
        <w:rPr>
          <w:rFonts w:hint="eastAsia" w:ascii="仿宋_GB2312" w:hAnsi="仿宋_GB2312" w:eastAsia="仿宋_GB2312" w:cs="仿宋_GB2312"/>
          <w:b/>
          <w:bCs/>
          <w:sz w:val="22"/>
          <w:szCs w:val="22"/>
        </w:rPr>
        <w:t>陇财采〔2022〕30号政府采购合同签订期限由法定30日内压缩至10日内，合同备案由法定7个工作日以内压缩至2个工作日以内。</w:t>
      </w:r>
      <w:r>
        <w:rPr>
          <w:rFonts w:hint="eastAsia" w:ascii="仿宋_GB2312" w:hAnsi="仿宋_GB2312" w:eastAsia="仿宋_GB2312" w:cs="仿宋_GB2312"/>
          <w:sz w:val="22"/>
          <w:szCs w:val="22"/>
        </w:rPr>
        <w:t>并在中标通知书发出之日起10日内与中标人签订书面合同。</w:t>
      </w:r>
      <w:bookmarkStart w:id="75" w:name="_Toc385671119"/>
      <w:bookmarkStart w:id="76" w:name="_Toc1347"/>
      <w:bookmarkStart w:id="77" w:name="_Toc17580"/>
    </w:p>
    <w:p w14:paraId="0A2B921C">
      <w:pPr>
        <w:pStyle w:val="23"/>
        <w:pageBreakBefore/>
        <w:adjustRightInd w:val="0"/>
        <w:snapToGrid w:val="0"/>
        <w:spacing w:beforeLines="50" w:line="360" w:lineRule="auto"/>
        <w:ind w:firstLine="3373" w:firstLineChars="1050"/>
        <w:jc w:val="left"/>
        <w:outlineLvl w:val="1"/>
        <w:rPr>
          <w:rFonts w:hAnsi="宋体" w:cs="Times New Roman"/>
          <w:b/>
          <w:bCs/>
          <w:sz w:val="32"/>
          <w:szCs w:val="32"/>
        </w:rPr>
      </w:pPr>
      <w:bookmarkStart w:id="78" w:name="_Toc29266"/>
      <w:r>
        <w:rPr>
          <w:rFonts w:hint="eastAsia" w:hAnsi="宋体"/>
          <w:b/>
          <w:bCs/>
          <w:sz w:val="32"/>
          <w:szCs w:val="32"/>
        </w:rPr>
        <w:t>二、评标程序</w:t>
      </w:r>
      <w:bookmarkEnd w:id="75"/>
      <w:bookmarkEnd w:id="76"/>
      <w:bookmarkEnd w:id="77"/>
      <w:bookmarkEnd w:id="78"/>
    </w:p>
    <w:p w14:paraId="37965997">
      <w:pPr>
        <w:spacing w:line="360" w:lineRule="auto"/>
        <w:ind w:firstLine="442" w:firstLineChars="200"/>
        <w:jc w:val="left"/>
        <w:rPr>
          <w:rFonts w:ascii="宋体"/>
          <w:sz w:val="22"/>
          <w:szCs w:val="22"/>
        </w:rPr>
      </w:pPr>
      <w:r>
        <w:rPr>
          <w:rFonts w:ascii="宋体" w:hAnsi="宋体" w:cs="宋体"/>
          <w:b/>
          <w:bCs/>
          <w:sz w:val="22"/>
          <w:szCs w:val="22"/>
        </w:rPr>
        <w:t>1.</w:t>
      </w:r>
      <w:r>
        <w:rPr>
          <w:rFonts w:hint="eastAsia" w:ascii="宋体" w:hAnsi="宋体" w:cs="宋体"/>
          <w:b/>
          <w:bCs/>
          <w:sz w:val="22"/>
          <w:szCs w:val="22"/>
        </w:rPr>
        <w:t>初步评审（资格后审）</w:t>
      </w:r>
      <w:r>
        <w:rPr>
          <w:rFonts w:hint="eastAsia" w:ascii="宋体" w:hAnsi="宋体" w:cs="宋体"/>
          <w:sz w:val="22"/>
          <w:szCs w:val="22"/>
        </w:rPr>
        <w:t>：</w:t>
      </w:r>
    </w:p>
    <w:p w14:paraId="328981F4">
      <w:pPr>
        <w:adjustRightInd w:val="0"/>
        <w:snapToGrid w:val="0"/>
        <w:spacing w:line="360" w:lineRule="auto"/>
        <w:ind w:firstLine="440" w:firstLineChars="200"/>
        <w:rPr>
          <w:rFonts w:ascii="宋体"/>
          <w:sz w:val="22"/>
          <w:szCs w:val="22"/>
        </w:rPr>
      </w:pPr>
      <w:r>
        <w:rPr>
          <w:rFonts w:hint="eastAsia" w:ascii="宋体" w:hAnsi="宋体" w:cs="宋体"/>
          <w:sz w:val="22"/>
          <w:szCs w:val="22"/>
        </w:rPr>
        <w:t>资格性审查表：</w:t>
      </w:r>
    </w:p>
    <w:tbl>
      <w:tblPr>
        <w:tblStyle w:val="46"/>
        <w:tblW w:w="8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2450"/>
        <w:gridCol w:w="5110"/>
      </w:tblGrid>
      <w:tr w14:paraId="0542A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68" w:type="dxa"/>
            <w:vAlign w:val="center"/>
          </w:tcPr>
          <w:p w14:paraId="686A483D">
            <w:pPr>
              <w:spacing w:line="280" w:lineRule="exact"/>
              <w:jc w:val="center"/>
              <w:rPr>
                <w:rFonts w:ascii="宋体"/>
                <w:kern w:val="0"/>
                <w:sz w:val="22"/>
                <w:szCs w:val="22"/>
              </w:rPr>
            </w:pPr>
            <w:r>
              <w:rPr>
                <w:rFonts w:hint="eastAsia" w:ascii="宋体" w:hAnsi="宋体" w:cs="宋体"/>
                <w:kern w:val="0"/>
                <w:sz w:val="22"/>
                <w:szCs w:val="22"/>
              </w:rPr>
              <w:t>评审内容</w:t>
            </w:r>
          </w:p>
        </w:tc>
        <w:tc>
          <w:tcPr>
            <w:tcW w:w="2450" w:type="dxa"/>
            <w:vAlign w:val="center"/>
          </w:tcPr>
          <w:p w14:paraId="1BAF431D">
            <w:pPr>
              <w:spacing w:line="280" w:lineRule="exact"/>
              <w:jc w:val="center"/>
              <w:rPr>
                <w:rFonts w:ascii="宋体"/>
                <w:kern w:val="0"/>
                <w:sz w:val="22"/>
                <w:szCs w:val="22"/>
              </w:rPr>
            </w:pPr>
            <w:r>
              <w:rPr>
                <w:rFonts w:hint="eastAsia" w:ascii="宋体" w:hAnsi="宋体" w:cs="宋体"/>
                <w:kern w:val="0"/>
                <w:sz w:val="22"/>
                <w:szCs w:val="22"/>
              </w:rPr>
              <w:t>评审因素</w:t>
            </w:r>
          </w:p>
        </w:tc>
        <w:tc>
          <w:tcPr>
            <w:tcW w:w="5110" w:type="dxa"/>
            <w:vAlign w:val="center"/>
          </w:tcPr>
          <w:p w14:paraId="1F395EEC">
            <w:pPr>
              <w:spacing w:line="280" w:lineRule="exact"/>
              <w:jc w:val="center"/>
              <w:rPr>
                <w:rFonts w:ascii="宋体"/>
                <w:kern w:val="0"/>
                <w:sz w:val="22"/>
                <w:szCs w:val="22"/>
              </w:rPr>
            </w:pPr>
            <w:r>
              <w:rPr>
                <w:rFonts w:hint="eastAsia" w:ascii="宋体" w:hAnsi="宋体" w:cs="宋体"/>
                <w:kern w:val="0"/>
                <w:sz w:val="22"/>
                <w:szCs w:val="22"/>
              </w:rPr>
              <w:t>评审标准</w:t>
            </w:r>
          </w:p>
        </w:tc>
      </w:tr>
      <w:tr w14:paraId="06499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exact"/>
          <w:jc w:val="center"/>
        </w:trPr>
        <w:tc>
          <w:tcPr>
            <w:tcW w:w="1368" w:type="dxa"/>
            <w:vMerge w:val="restart"/>
            <w:vAlign w:val="center"/>
          </w:tcPr>
          <w:p w14:paraId="0886F4AD">
            <w:pPr>
              <w:spacing w:line="280" w:lineRule="exact"/>
              <w:jc w:val="center"/>
              <w:rPr>
                <w:rFonts w:ascii="宋体"/>
                <w:kern w:val="0"/>
                <w:sz w:val="22"/>
                <w:szCs w:val="22"/>
              </w:rPr>
            </w:pPr>
            <w:r>
              <w:rPr>
                <w:rFonts w:hint="eastAsia" w:ascii="宋体" w:hAnsi="宋体" w:cs="宋体"/>
                <w:kern w:val="0"/>
                <w:sz w:val="22"/>
                <w:szCs w:val="22"/>
              </w:rPr>
              <w:t>资格性</w:t>
            </w:r>
          </w:p>
          <w:p w14:paraId="56148DCD">
            <w:pPr>
              <w:spacing w:line="280" w:lineRule="exact"/>
              <w:jc w:val="center"/>
              <w:rPr>
                <w:rFonts w:ascii="宋体"/>
                <w:kern w:val="0"/>
                <w:sz w:val="22"/>
                <w:szCs w:val="22"/>
              </w:rPr>
            </w:pPr>
            <w:r>
              <w:rPr>
                <w:rFonts w:hint="eastAsia" w:ascii="宋体" w:hAnsi="宋体" w:cs="宋体"/>
                <w:kern w:val="0"/>
                <w:sz w:val="22"/>
                <w:szCs w:val="22"/>
              </w:rPr>
              <w:t>检查</w:t>
            </w:r>
          </w:p>
        </w:tc>
        <w:tc>
          <w:tcPr>
            <w:tcW w:w="2450" w:type="dxa"/>
            <w:vAlign w:val="center"/>
          </w:tcPr>
          <w:p w14:paraId="363EF9C1">
            <w:pPr>
              <w:spacing w:line="280" w:lineRule="exact"/>
              <w:jc w:val="left"/>
              <w:rPr>
                <w:rFonts w:ascii="宋体"/>
                <w:kern w:val="0"/>
                <w:sz w:val="22"/>
                <w:szCs w:val="22"/>
              </w:rPr>
            </w:pPr>
            <w:r>
              <w:rPr>
                <w:rFonts w:hint="eastAsia" w:ascii="宋体" w:hAnsi="宋体" w:cs="宋体"/>
                <w:kern w:val="0"/>
                <w:sz w:val="22"/>
                <w:szCs w:val="22"/>
              </w:rPr>
              <w:t>具有独立承担民事责任的能力</w:t>
            </w:r>
          </w:p>
        </w:tc>
        <w:tc>
          <w:tcPr>
            <w:tcW w:w="5110" w:type="dxa"/>
            <w:vAlign w:val="center"/>
          </w:tcPr>
          <w:p w14:paraId="5C3D2EBC">
            <w:pPr>
              <w:spacing w:line="280" w:lineRule="exact"/>
              <w:jc w:val="left"/>
              <w:rPr>
                <w:rFonts w:ascii="宋体"/>
                <w:kern w:val="0"/>
                <w:sz w:val="22"/>
                <w:szCs w:val="22"/>
              </w:rPr>
            </w:pPr>
            <w:r>
              <w:rPr>
                <w:rFonts w:hint="eastAsia" w:ascii="宋体" w:hAnsi="宋体" w:cs="宋体"/>
                <w:kern w:val="0"/>
                <w:sz w:val="22"/>
                <w:szCs w:val="22"/>
              </w:rPr>
              <w:t>审查法人或其他组织的营业执照、税务登记证、组织机构代码证；【</w:t>
            </w:r>
            <w:r>
              <w:rPr>
                <w:rFonts w:hint="eastAsia" w:ascii="宋体" w:hAnsi="宋体" w:cs="宋体"/>
                <w:sz w:val="22"/>
                <w:szCs w:val="22"/>
              </w:rPr>
              <w:t>“三证合一”的证件为有效证件</w:t>
            </w:r>
            <w:r>
              <w:rPr>
                <w:rFonts w:hint="eastAsia" w:ascii="宋体" w:hAnsi="宋体" w:cs="宋体"/>
                <w:kern w:val="0"/>
                <w:sz w:val="22"/>
                <w:szCs w:val="22"/>
              </w:rPr>
              <w:t>】等资格证明文件，确认供应商具有独立承担民事责任的能力。</w:t>
            </w:r>
          </w:p>
        </w:tc>
      </w:tr>
      <w:tr w14:paraId="2D1B0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1368" w:type="dxa"/>
            <w:vMerge w:val="continue"/>
            <w:vAlign w:val="center"/>
          </w:tcPr>
          <w:p w14:paraId="56AD78E3">
            <w:pPr>
              <w:spacing w:line="280" w:lineRule="exact"/>
              <w:jc w:val="left"/>
              <w:rPr>
                <w:rFonts w:ascii="宋体"/>
                <w:kern w:val="0"/>
                <w:sz w:val="22"/>
                <w:szCs w:val="22"/>
              </w:rPr>
            </w:pPr>
          </w:p>
        </w:tc>
        <w:tc>
          <w:tcPr>
            <w:tcW w:w="2450" w:type="dxa"/>
            <w:vAlign w:val="center"/>
          </w:tcPr>
          <w:p w14:paraId="5CD52602">
            <w:pPr>
              <w:spacing w:line="280" w:lineRule="exact"/>
              <w:jc w:val="left"/>
              <w:rPr>
                <w:rFonts w:ascii="宋体"/>
                <w:kern w:val="0"/>
                <w:sz w:val="22"/>
                <w:szCs w:val="22"/>
              </w:rPr>
            </w:pPr>
            <w:r>
              <w:rPr>
                <w:rFonts w:hint="eastAsia" w:ascii="宋体" w:hAnsi="宋体" w:cs="宋体"/>
                <w:kern w:val="0"/>
                <w:sz w:val="22"/>
                <w:szCs w:val="22"/>
              </w:rPr>
              <w:t>具有履行合同所必需的设备和专业技术能力</w:t>
            </w:r>
          </w:p>
        </w:tc>
        <w:tc>
          <w:tcPr>
            <w:tcW w:w="5110" w:type="dxa"/>
            <w:vAlign w:val="center"/>
          </w:tcPr>
          <w:p w14:paraId="09D0DD40">
            <w:pPr>
              <w:spacing w:line="280" w:lineRule="exact"/>
              <w:jc w:val="left"/>
              <w:rPr>
                <w:rFonts w:ascii="宋体"/>
                <w:kern w:val="0"/>
                <w:sz w:val="22"/>
                <w:szCs w:val="22"/>
              </w:rPr>
            </w:pPr>
            <w:r>
              <w:rPr>
                <w:rFonts w:hint="eastAsia" w:ascii="宋体" w:hAnsi="宋体" w:cs="宋体"/>
                <w:sz w:val="22"/>
                <w:szCs w:val="22"/>
              </w:rPr>
              <w:t>审查</w:t>
            </w:r>
            <w:r>
              <w:rPr>
                <w:rFonts w:hint="eastAsia" w:ascii="宋体" w:hAnsi="宋体" w:cs="宋体"/>
                <w:kern w:val="0"/>
                <w:sz w:val="22"/>
                <w:szCs w:val="22"/>
              </w:rPr>
              <w:t>具备履行合同所必需的设备和专业技术能力的证明材料，确认具有履行合同所必须的设备和专业技术能力。</w:t>
            </w:r>
          </w:p>
        </w:tc>
      </w:tr>
      <w:tr w14:paraId="711D6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1368" w:type="dxa"/>
            <w:vMerge w:val="continue"/>
            <w:vAlign w:val="center"/>
          </w:tcPr>
          <w:p w14:paraId="60624B79">
            <w:pPr>
              <w:spacing w:line="280" w:lineRule="exact"/>
              <w:jc w:val="left"/>
              <w:rPr>
                <w:rFonts w:ascii="宋体"/>
                <w:kern w:val="0"/>
                <w:sz w:val="22"/>
                <w:szCs w:val="22"/>
              </w:rPr>
            </w:pPr>
          </w:p>
        </w:tc>
        <w:tc>
          <w:tcPr>
            <w:tcW w:w="2450" w:type="dxa"/>
            <w:vAlign w:val="center"/>
          </w:tcPr>
          <w:p w14:paraId="5304C6F7">
            <w:pPr>
              <w:spacing w:line="280" w:lineRule="exact"/>
              <w:jc w:val="left"/>
              <w:rPr>
                <w:rFonts w:ascii="宋体"/>
                <w:kern w:val="0"/>
                <w:sz w:val="22"/>
                <w:szCs w:val="22"/>
              </w:rPr>
            </w:pPr>
            <w:r>
              <w:rPr>
                <w:rFonts w:hint="eastAsia" w:ascii="宋体" w:hAnsi="宋体" w:cs="宋体"/>
                <w:kern w:val="0"/>
                <w:sz w:val="22"/>
                <w:szCs w:val="22"/>
              </w:rPr>
              <w:t>参加政府采购活动前</w:t>
            </w:r>
            <w:r>
              <w:rPr>
                <w:rFonts w:ascii="宋体" w:hAnsi="宋体" w:cs="宋体"/>
                <w:kern w:val="0"/>
                <w:sz w:val="22"/>
                <w:szCs w:val="22"/>
              </w:rPr>
              <w:t>3</w:t>
            </w:r>
            <w:r>
              <w:rPr>
                <w:rFonts w:hint="eastAsia" w:ascii="宋体" w:hAnsi="宋体" w:cs="宋体"/>
                <w:kern w:val="0"/>
                <w:sz w:val="22"/>
                <w:szCs w:val="22"/>
              </w:rPr>
              <w:t>年内，在经营活动中没有重大违法记录</w:t>
            </w:r>
          </w:p>
        </w:tc>
        <w:tc>
          <w:tcPr>
            <w:tcW w:w="5110" w:type="dxa"/>
            <w:vAlign w:val="center"/>
          </w:tcPr>
          <w:p w14:paraId="3A1E5C1C">
            <w:pPr>
              <w:spacing w:line="280" w:lineRule="exact"/>
              <w:jc w:val="left"/>
              <w:rPr>
                <w:rFonts w:ascii="宋体"/>
                <w:sz w:val="22"/>
                <w:szCs w:val="22"/>
              </w:rPr>
            </w:pPr>
            <w:r>
              <w:rPr>
                <w:rFonts w:hint="eastAsia" w:ascii="宋体" w:hAnsi="宋体" w:cs="宋体"/>
                <w:kern w:val="0"/>
                <w:sz w:val="22"/>
                <w:szCs w:val="22"/>
              </w:rPr>
              <w:t>审查参加政府采购活动前</w:t>
            </w:r>
            <w:r>
              <w:rPr>
                <w:rFonts w:ascii="宋体" w:hAnsi="宋体" w:cs="宋体"/>
                <w:kern w:val="0"/>
                <w:sz w:val="22"/>
                <w:szCs w:val="22"/>
              </w:rPr>
              <w:t>3</w:t>
            </w:r>
            <w:r>
              <w:rPr>
                <w:rFonts w:hint="eastAsia" w:ascii="宋体" w:hAnsi="宋体" w:cs="宋体"/>
                <w:kern w:val="0"/>
                <w:sz w:val="22"/>
                <w:szCs w:val="22"/>
              </w:rPr>
              <w:t>年内在经营活动中没有重大违法记录、严重违约及重大质量问题的书面声明。</w:t>
            </w:r>
          </w:p>
        </w:tc>
      </w:tr>
      <w:tr w14:paraId="528D5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1368" w:type="dxa"/>
            <w:vMerge w:val="continue"/>
            <w:vAlign w:val="center"/>
          </w:tcPr>
          <w:p w14:paraId="43AD3F4F">
            <w:pPr>
              <w:spacing w:line="280" w:lineRule="exact"/>
              <w:jc w:val="left"/>
              <w:rPr>
                <w:rFonts w:ascii="宋体"/>
                <w:kern w:val="0"/>
                <w:sz w:val="22"/>
                <w:szCs w:val="22"/>
              </w:rPr>
            </w:pPr>
          </w:p>
        </w:tc>
        <w:tc>
          <w:tcPr>
            <w:tcW w:w="2450" w:type="dxa"/>
            <w:vAlign w:val="center"/>
          </w:tcPr>
          <w:p w14:paraId="5505C252">
            <w:pPr>
              <w:spacing w:line="280" w:lineRule="exact"/>
              <w:jc w:val="left"/>
              <w:rPr>
                <w:rFonts w:ascii="宋体"/>
                <w:kern w:val="0"/>
                <w:sz w:val="22"/>
                <w:szCs w:val="22"/>
              </w:rPr>
            </w:pPr>
            <w:r>
              <w:rPr>
                <w:rFonts w:hint="eastAsia" w:ascii="宋体" w:hAnsi="宋体" w:cs="宋体"/>
                <w:kern w:val="0"/>
                <w:sz w:val="22"/>
                <w:szCs w:val="22"/>
              </w:rPr>
              <w:t>营业执照</w:t>
            </w:r>
          </w:p>
        </w:tc>
        <w:tc>
          <w:tcPr>
            <w:tcW w:w="5110" w:type="dxa"/>
            <w:vAlign w:val="center"/>
          </w:tcPr>
          <w:p w14:paraId="7078B42C">
            <w:pPr>
              <w:spacing w:line="280" w:lineRule="exact"/>
              <w:jc w:val="left"/>
              <w:rPr>
                <w:rFonts w:ascii="宋体"/>
                <w:kern w:val="0"/>
                <w:sz w:val="22"/>
                <w:szCs w:val="22"/>
              </w:rPr>
            </w:pPr>
            <w:r>
              <w:rPr>
                <w:rFonts w:hint="eastAsia" w:ascii="宋体" w:hAnsi="宋体" w:cs="宋体"/>
                <w:kern w:val="0"/>
                <w:sz w:val="22"/>
                <w:szCs w:val="22"/>
              </w:rPr>
              <w:t>具备有效的营业执照，经营范围符合本项目招标内容要求。</w:t>
            </w:r>
          </w:p>
        </w:tc>
      </w:tr>
      <w:tr w14:paraId="260C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exact"/>
          <w:jc w:val="center"/>
        </w:trPr>
        <w:tc>
          <w:tcPr>
            <w:tcW w:w="1368" w:type="dxa"/>
            <w:vMerge w:val="continue"/>
            <w:vAlign w:val="center"/>
          </w:tcPr>
          <w:p w14:paraId="3AD887E3">
            <w:pPr>
              <w:spacing w:line="280" w:lineRule="exact"/>
              <w:jc w:val="left"/>
              <w:rPr>
                <w:rFonts w:ascii="宋体"/>
                <w:kern w:val="0"/>
                <w:sz w:val="22"/>
                <w:szCs w:val="22"/>
              </w:rPr>
            </w:pPr>
          </w:p>
        </w:tc>
        <w:tc>
          <w:tcPr>
            <w:tcW w:w="2450" w:type="dxa"/>
            <w:vAlign w:val="center"/>
          </w:tcPr>
          <w:p w14:paraId="34E38C47">
            <w:pPr>
              <w:spacing w:line="280" w:lineRule="exact"/>
              <w:jc w:val="left"/>
              <w:rPr>
                <w:rFonts w:ascii="宋体"/>
                <w:kern w:val="0"/>
                <w:sz w:val="22"/>
                <w:szCs w:val="22"/>
              </w:rPr>
            </w:pPr>
            <w:r>
              <w:rPr>
                <w:rFonts w:hint="eastAsia" w:ascii="宋体" w:hAnsi="宋体" w:cs="宋体"/>
                <w:kern w:val="0"/>
                <w:sz w:val="22"/>
                <w:szCs w:val="22"/>
              </w:rPr>
              <w:t>投标资格、企业经营权</w:t>
            </w:r>
          </w:p>
        </w:tc>
        <w:tc>
          <w:tcPr>
            <w:tcW w:w="5110" w:type="dxa"/>
            <w:vAlign w:val="center"/>
          </w:tcPr>
          <w:p w14:paraId="09EA8CA8">
            <w:pPr>
              <w:spacing w:line="280" w:lineRule="exact"/>
              <w:jc w:val="left"/>
              <w:rPr>
                <w:rFonts w:ascii="宋体"/>
                <w:kern w:val="0"/>
                <w:sz w:val="22"/>
                <w:szCs w:val="22"/>
              </w:rPr>
            </w:pPr>
            <w:r>
              <w:rPr>
                <w:rFonts w:hint="eastAsia" w:ascii="宋体" w:hAnsi="宋体" w:cs="宋体"/>
                <w:kern w:val="0"/>
                <w:sz w:val="22"/>
                <w:szCs w:val="22"/>
              </w:rPr>
              <w:t>投标资格、企业经营权有效，投标资格没有被取消或暂停，没有处于被责令停业，财产被接管，冻结、破产状态。</w:t>
            </w:r>
          </w:p>
        </w:tc>
      </w:tr>
      <w:tr w14:paraId="14A0C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exact"/>
          <w:jc w:val="center"/>
        </w:trPr>
        <w:tc>
          <w:tcPr>
            <w:tcW w:w="1368" w:type="dxa"/>
            <w:vMerge w:val="continue"/>
            <w:vAlign w:val="center"/>
          </w:tcPr>
          <w:p w14:paraId="78C0BBE8">
            <w:pPr>
              <w:spacing w:line="280" w:lineRule="exact"/>
              <w:jc w:val="left"/>
              <w:rPr>
                <w:rFonts w:ascii="宋体"/>
                <w:kern w:val="0"/>
                <w:sz w:val="22"/>
                <w:szCs w:val="22"/>
              </w:rPr>
            </w:pPr>
          </w:p>
        </w:tc>
        <w:tc>
          <w:tcPr>
            <w:tcW w:w="2450" w:type="dxa"/>
            <w:vAlign w:val="center"/>
          </w:tcPr>
          <w:p w14:paraId="02E13C76">
            <w:pPr>
              <w:spacing w:line="280" w:lineRule="exact"/>
              <w:jc w:val="left"/>
              <w:rPr>
                <w:rFonts w:ascii="宋体"/>
                <w:kern w:val="0"/>
                <w:sz w:val="22"/>
                <w:szCs w:val="22"/>
              </w:rPr>
            </w:pPr>
            <w:r>
              <w:rPr>
                <w:rFonts w:hint="eastAsia" w:ascii="宋体" w:hAnsi="宋体" w:cs="宋体"/>
                <w:kern w:val="0"/>
                <w:sz w:val="22"/>
                <w:szCs w:val="22"/>
              </w:rPr>
              <w:t>信用查询</w:t>
            </w:r>
          </w:p>
        </w:tc>
        <w:tc>
          <w:tcPr>
            <w:tcW w:w="5110" w:type="dxa"/>
            <w:vAlign w:val="center"/>
          </w:tcPr>
          <w:p w14:paraId="08A612C1">
            <w:pPr>
              <w:spacing w:line="280" w:lineRule="exact"/>
              <w:jc w:val="left"/>
              <w:rPr>
                <w:rFonts w:ascii="宋体"/>
                <w:kern w:val="0"/>
                <w:sz w:val="22"/>
                <w:szCs w:val="22"/>
              </w:rPr>
            </w:pPr>
            <w:r>
              <w:rPr>
                <w:rFonts w:hint="eastAsia" w:ascii="宋体" w:hAnsi="宋体" w:cs="宋体"/>
                <w:kern w:val="0"/>
                <w:sz w:val="22"/>
                <w:szCs w:val="22"/>
              </w:rPr>
              <w:t>供应商未被列入“信用中国”网站</w:t>
            </w:r>
            <w:r>
              <w:rPr>
                <w:rFonts w:ascii="宋体" w:hAnsi="宋体" w:cs="宋体"/>
                <w:kern w:val="0"/>
                <w:sz w:val="22"/>
                <w:szCs w:val="22"/>
              </w:rPr>
              <w:t>(www.creditchina.gov.cn)</w:t>
            </w:r>
            <w:r>
              <w:rPr>
                <w:rFonts w:hint="eastAsia" w:ascii="宋体" w:hAnsi="宋体" w:cs="宋体"/>
                <w:kern w:val="0"/>
                <w:sz w:val="22"/>
                <w:szCs w:val="22"/>
              </w:rPr>
              <w:t>记录失信被执行人或重大税收违法案件当事人名单或政府采购严重违法失信行为记录名单；不处于中国政府采购网</w:t>
            </w:r>
            <w:r>
              <w:rPr>
                <w:rFonts w:ascii="宋体" w:hAnsi="宋体" w:cs="宋体"/>
                <w:kern w:val="0"/>
                <w:sz w:val="22"/>
                <w:szCs w:val="22"/>
              </w:rPr>
              <w:t>(www.ccgp.gov.cn)</w:t>
            </w:r>
            <w:r>
              <w:rPr>
                <w:rFonts w:hint="eastAsia" w:ascii="宋体" w:hAnsi="宋体" w:cs="宋体"/>
                <w:kern w:val="0"/>
                <w:sz w:val="22"/>
                <w:szCs w:val="22"/>
              </w:rPr>
              <w:t>政府采购严重违法失信行为信息记录中的禁止参加政府采购活动期间的方可参加本项目的投标；</w:t>
            </w:r>
          </w:p>
        </w:tc>
      </w:tr>
      <w:tr w14:paraId="41A0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exact"/>
          <w:jc w:val="center"/>
        </w:trPr>
        <w:tc>
          <w:tcPr>
            <w:tcW w:w="1368" w:type="dxa"/>
            <w:vMerge w:val="continue"/>
            <w:vAlign w:val="center"/>
          </w:tcPr>
          <w:p w14:paraId="70721C3E">
            <w:pPr>
              <w:spacing w:line="280" w:lineRule="exact"/>
              <w:jc w:val="left"/>
              <w:rPr>
                <w:rFonts w:ascii="宋体"/>
                <w:kern w:val="0"/>
                <w:sz w:val="22"/>
                <w:szCs w:val="22"/>
              </w:rPr>
            </w:pPr>
          </w:p>
        </w:tc>
        <w:tc>
          <w:tcPr>
            <w:tcW w:w="2450" w:type="dxa"/>
            <w:shd w:val="clear" w:color="auto" w:fill="auto"/>
            <w:vAlign w:val="center"/>
          </w:tcPr>
          <w:p w14:paraId="2B744A98">
            <w:pPr>
              <w:spacing w:line="280" w:lineRule="exact"/>
              <w:jc w:val="left"/>
              <w:rPr>
                <w:rFonts w:hint="eastAsia" w:ascii="宋体" w:hAnsi="宋体" w:eastAsia="宋体" w:cs="仿宋_GB2312"/>
                <w:kern w:val="0"/>
                <w:sz w:val="22"/>
                <w:szCs w:val="22"/>
                <w:lang w:val="en-US" w:eastAsia="zh-CN" w:bidi="ar-SA"/>
              </w:rPr>
            </w:pPr>
            <w:r>
              <w:rPr>
                <w:rFonts w:hint="eastAsia" w:ascii="宋体" w:hAnsi="宋体" w:cs="仿宋_GB2312"/>
                <w:kern w:val="0"/>
                <w:sz w:val="22"/>
                <w:szCs w:val="22"/>
                <w:lang w:val="en-US" w:eastAsia="zh-CN"/>
              </w:rPr>
              <w:t>非联合体声明</w:t>
            </w:r>
          </w:p>
        </w:tc>
        <w:tc>
          <w:tcPr>
            <w:tcW w:w="5110" w:type="dxa"/>
            <w:shd w:val="clear" w:color="auto" w:fill="auto"/>
            <w:vAlign w:val="center"/>
          </w:tcPr>
          <w:p w14:paraId="40DF5265">
            <w:pPr>
              <w:spacing w:line="280" w:lineRule="exact"/>
              <w:jc w:val="left"/>
              <w:rPr>
                <w:rFonts w:hint="eastAsia" w:ascii="宋体" w:hAnsi="宋体" w:eastAsia="宋体" w:cs="仿宋_GB2312"/>
                <w:kern w:val="0"/>
                <w:sz w:val="22"/>
                <w:szCs w:val="22"/>
                <w:lang w:val="en-US" w:eastAsia="zh-CN" w:bidi="ar-SA"/>
              </w:rPr>
            </w:pPr>
            <w:r>
              <w:rPr>
                <w:rFonts w:hint="eastAsia" w:ascii="宋体" w:hAnsi="宋体" w:cs="宋体"/>
                <w:kern w:val="0"/>
                <w:sz w:val="22"/>
                <w:szCs w:val="22"/>
                <w:lang w:val="en-US" w:eastAsia="zh-CN"/>
              </w:rPr>
              <w:t>本项目不接受联合体投标。</w:t>
            </w:r>
          </w:p>
        </w:tc>
      </w:tr>
      <w:tr w14:paraId="75DC6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exact"/>
          <w:jc w:val="center"/>
        </w:trPr>
        <w:tc>
          <w:tcPr>
            <w:tcW w:w="1368" w:type="dxa"/>
            <w:vMerge w:val="continue"/>
            <w:vAlign w:val="center"/>
          </w:tcPr>
          <w:p w14:paraId="1BF2A44A">
            <w:pPr>
              <w:spacing w:line="280" w:lineRule="exact"/>
              <w:jc w:val="left"/>
              <w:rPr>
                <w:rFonts w:ascii="宋体"/>
                <w:kern w:val="0"/>
                <w:sz w:val="22"/>
                <w:szCs w:val="22"/>
              </w:rPr>
            </w:pPr>
          </w:p>
        </w:tc>
        <w:tc>
          <w:tcPr>
            <w:tcW w:w="2450" w:type="dxa"/>
            <w:vAlign w:val="center"/>
          </w:tcPr>
          <w:p w14:paraId="2E140169">
            <w:pPr>
              <w:spacing w:line="280" w:lineRule="exact"/>
              <w:jc w:val="left"/>
              <w:rPr>
                <w:rFonts w:ascii="宋体"/>
                <w:kern w:val="0"/>
                <w:sz w:val="22"/>
                <w:szCs w:val="22"/>
              </w:rPr>
            </w:pPr>
            <w:r>
              <w:rPr>
                <w:rFonts w:hint="eastAsia" w:ascii="宋体" w:hAnsi="宋体" w:cs="宋体"/>
                <w:kern w:val="0"/>
                <w:sz w:val="22"/>
                <w:szCs w:val="22"/>
              </w:rPr>
              <w:t>其它要求</w:t>
            </w:r>
          </w:p>
        </w:tc>
        <w:tc>
          <w:tcPr>
            <w:tcW w:w="5110" w:type="dxa"/>
            <w:vAlign w:val="center"/>
          </w:tcPr>
          <w:p w14:paraId="680F6495">
            <w:pPr>
              <w:spacing w:line="280" w:lineRule="exact"/>
              <w:jc w:val="left"/>
              <w:rPr>
                <w:rFonts w:ascii="宋体"/>
                <w:kern w:val="0"/>
                <w:sz w:val="22"/>
                <w:szCs w:val="22"/>
              </w:rPr>
            </w:pPr>
            <w:r>
              <w:rPr>
                <w:rFonts w:hint="eastAsia" w:ascii="宋体" w:hAnsi="宋体" w:cs="宋体"/>
                <w:kern w:val="0"/>
                <w:sz w:val="22"/>
                <w:szCs w:val="22"/>
              </w:rPr>
              <w:t>符合</w:t>
            </w:r>
            <w:r>
              <w:rPr>
                <w:rFonts w:ascii="宋体" w:hAnsi="宋体" w:cs="宋体"/>
                <w:kern w:val="0"/>
                <w:sz w:val="22"/>
                <w:szCs w:val="22"/>
              </w:rPr>
              <w:t xml:space="preserve"> </w:t>
            </w:r>
            <w:r>
              <w:rPr>
                <w:rFonts w:hint="eastAsia" w:ascii="宋体" w:hAnsi="宋体" w:cs="宋体"/>
                <w:kern w:val="0"/>
                <w:sz w:val="22"/>
                <w:szCs w:val="22"/>
              </w:rPr>
              <w:t>“供应商须知”其它规定。</w:t>
            </w:r>
          </w:p>
        </w:tc>
      </w:tr>
    </w:tbl>
    <w:p w14:paraId="142A9874">
      <w:pPr>
        <w:adjustRightInd w:val="0"/>
        <w:snapToGrid w:val="0"/>
        <w:spacing w:before="240" w:line="360" w:lineRule="auto"/>
        <w:ind w:firstLine="442" w:firstLineChars="200"/>
        <w:rPr>
          <w:rFonts w:ascii="宋体"/>
          <w:sz w:val="22"/>
          <w:szCs w:val="22"/>
        </w:rPr>
      </w:pPr>
      <w:r>
        <w:rPr>
          <w:rFonts w:ascii="宋体" w:hAnsi="宋体" w:cs="宋体"/>
          <w:b/>
          <w:bCs/>
          <w:sz w:val="22"/>
          <w:szCs w:val="22"/>
        </w:rPr>
        <w:t>2.2</w:t>
      </w:r>
      <w:r>
        <w:rPr>
          <w:rFonts w:hint="eastAsia" w:ascii="宋体" w:hAnsi="宋体" w:cs="宋体"/>
          <w:b/>
          <w:bCs/>
          <w:sz w:val="22"/>
          <w:szCs w:val="22"/>
        </w:rPr>
        <w:t>符合性审查：</w:t>
      </w:r>
      <w:r>
        <w:rPr>
          <w:rFonts w:hint="eastAsia" w:ascii="宋体" w:hAnsi="宋体" w:cs="宋体"/>
          <w:sz w:val="22"/>
          <w:szCs w:val="22"/>
        </w:rPr>
        <w:t>依据《招标文件》的规定，从《投标文件》的有效性、完整性和对《招标文件》的响应程度进行审查，以确定是否对《招标文件》的实质性要求做出响应。</w:t>
      </w:r>
    </w:p>
    <w:p w14:paraId="69799ED0">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符合性审查表：</w:t>
      </w:r>
    </w:p>
    <w:tbl>
      <w:tblPr>
        <w:tblStyle w:val="46"/>
        <w:tblW w:w="863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66"/>
        <w:gridCol w:w="5026"/>
      </w:tblGrid>
      <w:tr w14:paraId="0D5C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vAlign w:val="top"/>
          </w:tcPr>
          <w:p w14:paraId="2557E888">
            <w:pPr>
              <w:pStyle w:val="36"/>
              <w:ind w:left="0" w:leftChars="0" w:firstLine="0" w:firstLineChars="0"/>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序号</w:t>
            </w:r>
          </w:p>
        </w:tc>
        <w:tc>
          <w:tcPr>
            <w:tcW w:w="2866" w:type="dxa"/>
            <w:tcBorders>
              <w:top w:val="single" w:color="auto" w:sz="4" w:space="0"/>
              <w:left w:val="single" w:color="auto" w:sz="4" w:space="0"/>
              <w:bottom w:val="single" w:color="auto" w:sz="4" w:space="0"/>
              <w:right w:val="single" w:color="auto" w:sz="4" w:space="0"/>
            </w:tcBorders>
            <w:vAlign w:val="top"/>
          </w:tcPr>
          <w:p w14:paraId="7982536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内 容</w:t>
            </w:r>
          </w:p>
        </w:tc>
        <w:tc>
          <w:tcPr>
            <w:tcW w:w="5026" w:type="dxa"/>
            <w:tcBorders>
              <w:top w:val="single" w:color="auto" w:sz="4" w:space="0"/>
              <w:left w:val="single" w:color="auto" w:sz="4" w:space="0"/>
              <w:bottom w:val="single" w:color="auto" w:sz="4" w:space="0"/>
              <w:right w:val="single" w:color="auto" w:sz="4" w:space="0"/>
            </w:tcBorders>
            <w:vAlign w:val="top"/>
          </w:tcPr>
          <w:p w14:paraId="61AE239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标 准</w:t>
            </w:r>
          </w:p>
        </w:tc>
      </w:tr>
      <w:tr w14:paraId="2A0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1" w:type="dxa"/>
            <w:tcBorders>
              <w:top w:val="single" w:color="auto" w:sz="4" w:space="0"/>
              <w:left w:val="single" w:color="auto" w:sz="4" w:space="0"/>
              <w:bottom w:val="single" w:color="auto" w:sz="4" w:space="0"/>
              <w:right w:val="single" w:color="auto" w:sz="4" w:space="0"/>
            </w:tcBorders>
            <w:vAlign w:val="center"/>
          </w:tcPr>
          <w:p w14:paraId="2475ED2C">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1</w:t>
            </w:r>
          </w:p>
        </w:tc>
        <w:tc>
          <w:tcPr>
            <w:tcW w:w="2866" w:type="dxa"/>
            <w:tcBorders>
              <w:top w:val="single" w:color="auto" w:sz="4" w:space="0"/>
              <w:left w:val="single" w:color="auto" w:sz="4" w:space="0"/>
              <w:bottom w:val="single" w:color="auto" w:sz="4" w:space="0"/>
              <w:right w:val="single" w:color="auto" w:sz="4" w:space="0"/>
            </w:tcBorders>
            <w:vAlign w:val="center"/>
          </w:tcPr>
          <w:p w14:paraId="64E17AE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电子投标文件的</w:t>
            </w:r>
          </w:p>
          <w:p w14:paraId="35442736">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签署、盖章</w:t>
            </w:r>
          </w:p>
        </w:tc>
        <w:tc>
          <w:tcPr>
            <w:tcW w:w="5026" w:type="dxa"/>
            <w:tcBorders>
              <w:top w:val="single" w:color="auto" w:sz="4" w:space="0"/>
              <w:left w:val="single" w:color="auto" w:sz="4" w:space="0"/>
              <w:bottom w:val="single" w:color="auto" w:sz="4" w:space="0"/>
              <w:right w:val="single" w:color="auto" w:sz="4" w:space="0"/>
            </w:tcBorders>
            <w:vAlign w:val="center"/>
          </w:tcPr>
          <w:p w14:paraId="264F638C">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是否按招标文件要求签署、盖章</w:t>
            </w:r>
          </w:p>
        </w:tc>
      </w:tr>
      <w:tr w14:paraId="2694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14:paraId="31BACE4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2</w:t>
            </w:r>
          </w:p>
        </w:tc>
        <w:tc>
          <w:tcPr>
            <w:tcW w:w="2866" w:type="dxa"/>
            <w:tcBorders>
              <w:top w:val="single" w:color="auto" w:sz="4" w:space="0"/>
              <w:left w:val="single" w:color="auto" w:sz="4" w:space="0"/>
              <w:bottom w:val="single" w:color="auto" w:sz="4" w:space="0"/>
              <w:right w:val="single" w:color="auto" w:sz="4" w:space="0"/>
            </w:tcBorders>
            <w:vAlign w:val="center"/>
          </w:tcPr>
          <w:p w14:paraId="4ECC54F5">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投标函、商务响应表、</w:t>
            </w:r>
          </w:p>
          <w:p w14:paraId="652542A1">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技术响应表</w:t>
            </w:r>
          </w:p>
        </w:tc>
        <w:tc>
          <w:tcPr>
            <w:tcW w:w="5026" w:type="dxa"/>
            <w:tcBorders>
              <w:top w:val="single" w:color="auto" w:sz="4" w:space="0"/>
              <w:left w:val="single" w:color="auto" w:sz="4" w:space="0"/>
              <w:bottom w:val="single" w:color="auto" w:sz="4" w:space="0"/>
              <w:right w:val="single" w:color="auto" w:sz="4" w:space="0"/>
            </w:tcBorders>
            <w:vAlign w:val="center"/>
          </w:tcPr>
          <w:p w14:paraId="6264B86D">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是否提供（如有一项不提供视为无效投标），是否按招标文件要求填写，如未按招标文件要求填写视为无效投标。</w:t>
            </w:r>
          </w:p>
        </w:tc>
      </w:tr>
      <w:tr w14:paraId="2F5B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741" w:type="dxa"/>
            <w:tcBorders>
              <w:top w:val="single" w:color="auto" w:sz="4" w:space="0"/>
              <w:left w:val="single" w:color="auto" w:sz="4" w:space="0"/>
              <w:bottom w:val="single" w:color="auto" w:sz="4" w:space="0"/>
              <w:right w:val="single" w:color="auto" w:sz="4" w:space="0"/>
            </w:tcBorders>
            <w:vAlign w:val="center"/>
          </w:tcPr>
          <w:p w14:paraId="0BC0ED4B">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3</w:t>
            </w:r>
          </w:p>
        </w:tc>
        <w:tc>
          <w:tcPr>
            <w:tcW w:w="2866" w:type="dxa"/>
            <w:tcBorders>
              <w:top w:val="single" w:color="auto" w:sz="4" w:space="0"/>
              <w:left w:val="single" w:color="auto" w:sz="4" w:space="0"/>
              <w:bottom w:val="single" w:color="auto" w:sz="4" w:space="0"/>
              <w:right w:val="single" w:color="auto" w:sz="4" w:space="0"/>
            </w:tcBorders>
            <w:vAlign w:val="center"/>
          </w:tcPr>
          <w:p w14:paraId="3D5F7195">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招标文件规定的</w:t>
            </w:r>
          </w:p>
          <w:p w14:paraId="4A8635A5">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实质性条款</w:t>
            </w:r>
          </w:p>
        </w:tc>
        <w:tc>
          <w:tcPr>
            <w:tcW w:w="5026" w:type="dxa"/>
            <w:tcBorders>
              <w:top w:val="single" w:color="auto" w:sz="4" w:space="0"/>
              <w:left w:val="single" w:color="auto" w:sz="4" w:space="0"/>
              <w:bottom w:val="single" w:color="auto" w:sz="4" w:space="0"/>
              <w:right w:val="single" w:color="auto" w:sz="4" w:space="0"/>
            </w:tcBorders>
            <w:vAlign w:val="center"/>
          </w:tcPr>
          <w:p w14:paraId="08C394CE">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加注“●”号条款（除国家相关强制性标准外）是否实质性响应招标文件</w:t>
            </w:r>
          </w:p>
          <w:p w14:paraId="1504EC1A">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（注：如果招标文件没有设置加注“●”号的条款，则视为本项目无实质性条款，评标专家对本项不进行评审。）</w:t>
            </w:r>
          </w:p>
        </w:tc>
      </w:tr>
      <w:tr w14:paraId="53AE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41" w:type="dxa"/>
            <w:tcBorders>
              <w:top w:val="single" w:color="auto" w:sz="4" w:space="0"/>
              <w:left w:val="single" w:color="auto" w:sz="4" w:space="0"/>
              <w:bottom w:val="single" w:color="auto" w:sz="4" w:space="0"/>
              <w:right w:val="single" w:color="auto" w:sz="4" w:space="0"/>
            </w:tcBorders>
            <w:vAlign w:val="center"/>
          </w:tcPr>
          <w:p w14:paraId="4C6B4B8B">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4</w:t>
            </w:r>
          </w:p>
        </w:tc>
        <w:tc>
          <w:tcPr>
            <w:tcW w:w="2866" w:type="dxa"/>
            <w:tcBorders>
              <w:top w:val="single" w:color="auto" w:sz="4" w:space="0"/>
              <w:left w:val="single" w:color="auto" w:sz="4" w:space="0"/>
              <w:bottom w:val="single" w:color="auto" w:sz="4" w:space="0"/>
              <w:right w:val="single" w:color="auto" w:sz="4" w:space="0"/>
            </w:tcBorders>
            <w:vAlign w:val="center"/>
          </w:tcPr>
          <w:p w14:paraId="05EB75E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国家相关强制性标准</w:t>
            </w:r>
          </w:p>
        </w:tc>
        <w:tc>
          <w:tcPr>
            <w:tcW w:w="5026" w:type="dxa"/>
            <w:tcBorders>
              <w:top w:val="single" w:color="auto" w:sz="4" w:space="0"/>
              <w:left w:val="single" w:color="auto" w:sz="4" w:space="0"/>
              <w:bottom w:val="single" w:color="auto" w:sz="4" w:space="0"/>
              <w:right w:val="single" w:color="auto" w:sz="4" w:space="0"/>
            </w:tcBorders>
            <w:vAlign w:val="center"/>
          </w:tcPr>
          <w:p w14:paraId="2F44BD3B">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投标内容是否符合国家相关强制性标准</w:t>
            </w:r>
          </w:p>
          <w:p w14:paraId="06E20F11">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（注：如果本项目所采购标的物没有国家强制性标准，评标专家对本项不进行评审。）</w:t>
            </w:r>
          </w:p>
        </w:tc>
      </w:tr>
      <w:tr w14:paraId="3EBC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41" w:type="dxa"/>
            <w:tcBorders>
              <w:top w:val="single" w:color="auto" w:sz="4" w:space="0"/>
              <w:left w:val="single" w:color="auto" w:sz="4" w:space="0"/>
              <w:bottom w:val="single" w:color="auto" w:sz="4" w:space="0"/>
              <w:right w:val="single" w:color="auto" w:sz="4" w:space="0"/>
            </w:tcBorders>
            <w:vAlign w:val="center"/>
          </w:tcPr>
          <w:p w14:paraId="0AE141F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5</w:t>
            </w:r>
          </w:p>
        </w:tc>
        <w:tc>
          <w:tcPr>
            <w:tcW w:w="2866" w:type="dxa"/>
            <w:tcBorders>
              <w:top w:val="single" w:color="auto" w:sz="4" w:space="0"/>
              <w:left w:val="single" w:color="auto" w:sz="4" w:space="0"/>
              <w:bottom w:val="single" w:color="auto" w:sz="4" w:space="0"/>
              <w:right w:val="single" w:color="auto" w:sz="4" w:space="0"/>
            </w:tcBorders>
            <w:vAlign w:val="center"/>
          </w:tcPr>
          <w:p w14:paraId="3D8D802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采购预算或最高限价</w:t>
            </w:r>
          </w:p>
        </w:tc>
        <w:tc>
          <w:tcPr>
            <w:tcW w:w="5026" w:type="dxa"/>
            <w:tcBorders>
              <w:top w:val="single" w:color="auto" w:sz="4" w:space="0"/>
              <w:left w:val="single" w:color="auto" w:sz="4" w:space="0"/>
              <w:bottom w:val="single" w:color="auto" w:sz="4" w:space="0"/>
              <w:right w:val="single" w:color="auto" w:sz="4" w:space="0"/>
            </w:tcBorders>
            <w:vAlign w:val="center"/>
          </w:tcPr>
          <w:p w14:paraId="76B474DD">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报价是否超过招标文件中规定的预算金额或者最高限价</w:t>
            </w:r>
          </w:p>
        </w:tc>
      </w:tr>
      <w:tr w14:paraId="24A9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1" w:type="dxa"/>
            <w:tcBorders>
              <w:top w:val="single" w:color="auto" w:sz="4" w:space="0"/>
              <w:left w:val="single" w:color="auto" w:sz="4" w:space="0"/>
              <w:bottom w:val="single" w:color="auto" w:sz="4" w:space="0"/>
              <w:right w:val="single" w:color="auto" w:sz="4" w:space="0"/>
            </w:tcBorders>
            <w:vAlign w:val="center"/>
          </w:tcPr>
          <w:p w14:paraId="63968495">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6</w:t>
            </w:r>
          </w:p>
        </w:tc>
        <w:tc>
          <w:tcPr>
            <w:tcW w:w="2866" w:type="dxa"/>
            <w:tcBorders>
              <w:top w:val="single" w:color="auto" w:sz="4" w:space="0"/>
              <w:left w:val="single" w:color="auto" w:sz="4" w:space="0"/>
              <w:bottom w:val="single" w:color="auto" w:sz="4" w:space="0"/>
              <w:right w:val="single" w:color="auto" w:sz="4" w:space="0"/>
            </w:tcBorders>
            <w:vAlign w:val="top"/>
          </w:tcPr>
          <w:p w14:paraId="5B9BA16C">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采购人不能接受的</w:t>
            </w:r>
          </w:p>
          <w:p w14:paraId="6A52C4F8">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附加条件</w:t>
            </w:r>
          </w:p>
        </w:tc>
        <w:tc>
          <w:tcPr>
            <w:tcW w:w="5026" w:type="dxa"/>
            <w:tcBorders>
              <w:top w:val="single" w:color="auto" w:sz="4" w:space="0"/>
              <w:left w:val="single" w:color="auto" w:sz="4" w:space="0"/>
              <w:bottom w:val="single" w:color="auto" w:sz="4" w:space="0"/>
              <w:right w:val="single" w:color="auto" w:sz="4" w:space="0"/>
            </w:tcBorders>
            <w:vAlign w:val="top"/>
          </w:tcPr>
          <w:p w14:paraId="189F249D">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电子投标文件是否含有采购人不能接受的附加条件</w:t>
            </w:r>
          </w:p>
        </w:tc>
      </w:tr>
      <w:tr w14:paraId="3FF6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41" w:type="dxa"/>
            <w:tcBorders>
              <w:top w:val="single" w:color="auto" w:sz="4" w:space="0"/>
              <w:left w:val="single" w:color="auto" w:sz="4" w:space="0"/>
              <w:bottom w:val="single" w:color="auto" w:sz="4" w:space="0"/>
              <w:right w:val="single" w:color="auto" w:sz="4" w:space="0"/>
            </w:tcBorders>
            <w:vAlign w:val="center"/>
          </w:tcPr>
          <w:p w14:paraId="389E3883">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7</w:t>
            </w:r>
          </w:p>
        </w:tc>
        <w:tc>
          <w:tcPr>
            <w:tcW w:w="2866" w:type="dxa"/>
            <w:tcBorders>
              <w:top w:val="single" w:color="auto" w:sz="4" w:space="0"/>
              <w:left w:val="single" w:color="auto" w:sz="4" w:space="0"/>
              <w:bottom w:val="single" w:color="auto" w:sz="4" w:space="0"/>
              <w:right w:val="single" w:color="auto" w:sz="4" w:space="0"/>
            </w:tcBorders>
            <w:vAlign w:val="center"/>
          </w:tcPr>
          <w:p w14:paraId="232020B1">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法律、法规和招标文件规定的其他无效情形</w:t>
            </w:r>
          </w:p>
        </w:tc>
        <w:tc>
          <w:tcPr>
            <w:tcW w:w="5026" w:type="dxa"/>
            <w:tcBorders>
              <w:top w:val="single" w:color="auto" w:sz="4" w:space="0"/>
              <w:left w:val="single" w:color="auto" w:sz="4" w:space="0"/>
              <w:bottom w:val="single" w:color="auto" w:sz="4" w:space="0"/>
              <w:right w:val="single" w:color="auto" w:sz="4" w:space="0"/>
            </w:tcBorders>
            <w:vAlign w:val="top"/>
          </w:tcPr>
          <w:p w14:paraId="205940E4">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1.不同投标人的电子投标文件是否由同一单位或者个人编制； </w:t>
            </w:r>
          </w:p>
          <w:p w14:paraId="2226D998">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2.不同投标人是否委托同一单位或者个人办理投标事宜； </w:t>
            </w:r>
          </w:p>
          <w:p w14:paraId="5B7ED02B">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3.不同投标人的电子投标文件载明的项目管理成员或者联系人员是否为同一人； </w:t>
            </w:r>
          </w:p>
          <w:p w14:paraId="16D5ED2B">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4.不同投标人的电子投标文件是否异常一致或者投标报价是否呈规律性差异； </w:t>
            </w:r>
          </w:p>
          <w:p w14:paraId="7A4EC17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5.不同投标人的电子投标文件是否相互混装； </w:t>
            </w:r>
          </w:p>
          <w:p w14:paraId="73AF9E36">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6. 其他无效情形。</w:t>
            </w:r>
          </w:p>
        </w:tc>
      </w:tr>
    </w:tbl>
    <w:p w14:paraId="0CD4328F"/>
    <w:p w14:paraId="08480440">
      <w:pPr>
        <w:adjustRightInd w:val="0"/>
        <w:snapToGrid w:val="0"/>
        <w:spacing w:line="360" w:lineRule="auto"/>
        <w:ind w:firstLine="442" w:firstLineChars="200"/>
        <w:rPr>
          <w:rFonts w:ascii="宋体"/>
          <w:b/>
          <w:bCs/>
          <w:sz w:val="22"/>
          <w:szCs w:val="22"/>
        </w:rPr>
      </w:pPr>
      <w:r>
        <w:rPr>
          <w:rFonts w:ascii="宋体" w:hAnsi="宋体" w:cs="宋体"/>
          <w:b/>
          <w:bCs/>
          <w:sz w:val="22"/>
          <w:szCs w:val="22"/>
        </w:rPr>
        <w:t>3.</w:t>
      </w:r>
      <w:r>
        <w:rPr>
          <w:rFonts w:hint="eastAsia" w:ascii="宋体" w:hAnsi="宋体" w:cs="宋体"/>
          <w:b/>
          <w:bCs/>
          <w:sz w:val="22"/>
          <w:szCs w:val="22"/>
        </w:rPr>
        <w:t>详细评审：</w:t>
      </w:r>
    </w:p>
    <w:p w14:paraId="759F52B4">
      <w:pPr>
        <w:adjustRightInd w:val="0"/>
        <w:snapToGrid w:val="0"/>
        <w:spacing w:line="360" w:lineRule="auto"/>
        <w:ind w:firstLine="440" w:firstLineChars="200"/>
        <w:rPr>
          <w:rFonts w:ascii="宋体"/>
          <w:b/>
          <w:bCs/>
          <w:sz w:val="22"/>
          <w:szCs w:val="22"/>
        </w:rPr>
      </w:pPr>
      <w:r>
        <w:rPr>
          <w:rFonts w:ascii="宋体" w:hAnsi="宋体" w:cs="宋体"/>
          <w:sz w:val="22"/>
          <w:szCs w:val="22"/>
        </w:rPr>
        <w:t>3.1</w:t>
      </w:r>
      <w:r>
        <w:rPr>
          <w:rFonts w:hint="eastAsia" w:ascii="宋体" w:hAnsi="宋体" w:cs="宋体"/>
          <w:sz w:val="22"/>
          <w:szCs w:val="22"/>
        </w:rPr>
        <w:t>评标委员会将只对通过了“初审”的确定为实质上响应《招标文件》要求的《投标文件》进行详细评审。</w:t>
      </w:r>
    </w:p>
    <w:p w14:paraId="5E201E91">
      <w:pPr>
        <w:adjustRightInd w:val="0"/>
        <w:snapToGrid w:val="0"/>
        <w:spacing w:line="360" w:lineRule="auto"/>
        <w:ind w:firstLine="440" w:firstLineChars="200"/>
        <w:rPr>
          <w:rFonts w:ascii="宋体"/>
          <w:b/>
          <w:bCs/>
          <w:sz w:val="22"/>
          <w:szCs w:val="22"/>
        </w:rPr>
      </w:pPr>
      <w:r>
        <w:rPr>
          <w:rFonts w:ascii="宋体" w:hAnsi="宋体" w:cs="宋体"/>
          <w:sz w:val="22"/>
          <w:szCs w:val="22"/>
        </w:rPr>
        <w:t>3.2</w:t>
      </w:r>
      <w:r>
        <w:rPr>
          <w:rFonts w:hint="eastAsia" w:ascii="宋体" w:hAnsi="宋体" w:cs="宋体"/>
          <w:sz w:val="22"/>
          <w:szCs w:val="22"/>
        </w:rPr>
        <w:t>评标委员会要审查每份《投标文件》是否实质上响应了《招标文件》的要求。实质上响应的投标文件应该是与招标文件要求的全部条款、条件和技术参数相符。对关键条款的偏离、保留或反对将被认为是实质上的偏离。评标委员会决定评标的响应性只根据《投标文件》本身的内容，而不寻求外部的任何证据。</w:t>
      </w:r>
    </w:p>
    <w:p w14:paraId="475F1D0C">
      <w:pPr>
        <w:adjustRightInd w:val="0"/>
        <w:snapToGrid w:val="0"/>
        <w:spacing w:line="360" w:lineRule="auto"/>
        <w:ind w:firstLine="440" w:firstLineChars="200"/>
        <w:rPr>
          <w:rFonts w:ascii="宋体"/>
          <w:b/>
          <w:bCs/>
          <w:sz w:val="22"/>
          <w:szCs w:val="22"/>
        </w:rPr>
      </w:pPr>
      <w:r>
        <w:rPr>
          <w:rFonts w:ascii="宋体" w:hAnsi="宋体" w:cs="宋体"/>
          <w:sz w:val="22"/>
          <w:szCs w:val="22"/>
          <w:lang w:val="zh-CN"/>
        </w:rPr>
        <w:t>3.3</w:t>
      </w:r>
      <w:r>
        <w:rPr>
          <w:rFonts w:hint="eastAsia" w:ascii="宋体" w:hAnsi="宋体" w:cs="宋体"/>
          <w:sz w:val="22"/>
          <w:szCs w:val="22"/>
          <w:lang w:val="zh-CN"/>
        </w:rPr>
        <w:t>对于投标文件中不构成实质性偏差的小的不正规、不一致或不规则，评标委员会可以接受。</w:t>
      </w:r>
    </w:p>
    <w:p w14:paraId="11D739A0">
      <w:pPr>
        <w:adjustRightInd w:val="0"/>
        <w:snapToGrid w:val="0"/>
        <w:spacing w:line="360" w:lineRule="auto"/>
        <w:ind w:firstLine="440" w:firstLineChars="200"/>
        <w:rPr>
          <w:rFonts w:ascii="宋体"/>
          <w:b/>
          <w:bCs/>
          <w:sz w:val="22"/>
          <w:szCs w:val="22"/>
        </w:rPr>
      </w:pPr>
      <w:r>
        <w:rPr>
          <w:rFonts w:ascii="宋体" w:hAnsi="宋体" w:cs="宋体"/>
          <w:sz w:val="22"/>
          <w:szCs w:val="22"/>
        </w:rPr>
        <w:t>3.4</w:t>
      </w:r>
      <w:r>
        <w:rPr>
          <w:rFonts w:hint="eastAsia" w:ascii="宋体" w:hAnsi="宋体" w:cs="宋体"/>
          <w:sz w:val="22"/>
          <w:szCs w:val="22"/>
        </w:rPr>
        <w:t>评标委员会可以对确定为实质上响应招标文件要求的投标文件进行校对、审核，对出现的算术错误，由评标委员会予以改正，并让供应商澄清确认。修正计算错误按如下原则进行：</w:t>
      </w:r>
    </w:p>
    <w:p w14:paraId="587CC400">
      <w:pPr>
        <w:adjustRightInd w:val="0"/>
        <w:snapToGrid w:val="0"/>
        <w:spacing w:line="360" w:lineRule="auto"/>
        <w:ind w:firstLine="440" w:firstLineChars="200"/>
        <w:rPr>
          <w:rFonts w:ascii="宋体"/>
          <w:b/>
          <w:bCs/>
          <w:sz w:val="22"/>
          <w:szCs w:val="22"/>
        </w:rPr>
      </w:pPr>
      <w:r>
        <w:rPr>
          <w:rFonts w:hint="eastAsia" w:ascii="宋体" w:hAnsi="宋体" w:cs="宋体"/>
          <w:sz w:val="22"/>
          <w:szCs w:val="22"/>
        </w:rPr>
        <w:t>《投标文件》的大写金额和小写金额不一致的，以大写金额为准；总价金额与单项单价汇总金额不一致的，以单价金额计算结果为准；单价金额小数点有明显错位的，应以总价为准，并修改单价；对不同文字文本《投标文件》的解释发生异议的，以中文文本为准。</w:t>
      </w:r>
    </w:p>
    <w:p w14:paraId="713029C4">
      <w:pPr>
        <w:adjustRightInd w:val="0"/>
        <w:snapToGrid w:val="0"/>
        <w:spacing w:line="360" w:lineRule="auto"/>
        <w:ind w:firstLine="440" w:firstLineChars="200"/>
        <w:rPr>
          <w:rFonts w:ascii="宋体"/>
          <w:sz w:val="22"/>
          <w:szCs w:val="22"/>
        </w:rPr>
      </w:pPr>
      <w:r>
        <w:rPr>
          <w:rFonts w:hint="eastAsia" w:ascii="宋体" w:hAnsi="宋体" w:cs="宋体"/>
          <w:sz w:val="22"/>
          <w:szCs w:val="22"/>
        </w:rPr>
        <w:t>若供应商不接受对其错误的更正，其投标将被视为无效投标。</w:t>
      </w:r>
    </w:p>
    <w:p w14:paraId="591247E0">
      <w:pPr>
        <w:pStyle w:val="23"/>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推荐中标候选人名单</w:t>
      </w:r>
    </w:p>
    <w:p w14:paraId="14C005F9">
      <w:pPr>
        <w:numPr>
          <w:ilvl w:val="1"/>
          <w:numId w:val="11"/>
        </w:numPr>
        <w:spacing w:line="360" w:lineRule="auto"/>
        <w:rPr>
          <w:rFonts w:ascii="宋体"/>
          <w:sz w:val="22"/>
          <w:szCs w:val="22"/>
        </w:rPr>
      </w:pPr>
      <w:r>
        <w:rPr>
          <w:rFonts w:hint="eastAsia" w:ascii="宋体" w:hAnsi="宋体" w:cs="宋体"/>
          <w:sz w:val="22"/>
          <w:szCs w:val="22"/>
        </w:rPr>
        <w:t>按评审后得分由高到低顺序排列。得分相同的，按投标报价由低到高顺序排列。得分且投标报价相同的，按技术指标优劣顺序排列。</w:t>
      </w:r>
    </w:p>
    <w:p w14:paraId="617BAC1B">
      <w:pPr>
        <w:numPr>
          <w:ilvl w:val="1"/>
          <w:numId w:val="11"/>
        </w:numPr>
        <w:spacing w:line="360" w:lineRule="auto"/>
        <w:rPr>
          <w:rFonts w:ascii="宋体"/>
          <w:sz w:val="22"/>
          <w:szCs w:val="22"/>
        </w:rPr>
      </w:pPr>
      <w:r>
        <w:rPr>
          <w:rFonts w:hint="eastAsia" w:ascii="宋体" w:hAnsi="宋体" w:cs="宋体"/>
          <w:sz w:val="22"/>
          <w:szCs w:val="22"/>
        </w:rPr>
        <w:t>各投标人最后的评标综合得分为分项得分的相加值。评标委员会按评标综合得分从高到低排序推荐中标候选人，评标综合得分高者为优，若评标综合得分相等，以价格分为优，若价格分还相等，以技术性能分高者为优。</w:t>
      </w:r>
    </w:p>
    <w:p w14:paraId="023816F2">
      <w:pPr>
        <w:numPr>
          <w:ilvl w:val="1"/>
          <w:numId w:val="11"/>
        </w:numPr>
        <w:spacing w:line="360" w:lineRule="auto"/>
        <w:rPr>
          <w:rFonts w:ascii="宋体"/>
          <w:b/>
          <w:bCs/>
          <w:sz w:val="22"/>
          <w:szCs w:val="22"/>
        </w:rPr>
      </w:pPr>
      <w:r>
        <w:rPr>
          <w:rFonts w:hint="eastAsia" w:ascii="宋体" w:hAnsi="宋体" w:cs="宋体"/>
          <w:sz w:val="22"/>
          <w:szCs w:val="22"/>
        </w:rPr>
        <w:t>评标委员会按照评分结果进行排名，第一名为中标单位，如第一名因其他原因无法正常履行合同的，由采购单位重新组织采购活动。</w:t>
      </w:r>
    </w:p>
    <w:p w14:paraId="648157DA">
      <w:pPr>
        <w:pStyle w:val="23"/>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编写评标报告</w:t>
      </w:r>
    </w:p>
    <w:p w14:paraId="7D0552F7">
      <w:pPr>
        <w:spacing w:line="360" w:lineRule="auto"/>
        <w:ind w:left="425"/>
        <w:rPr>
          <w:rFonts w:ascii="宋体"/>
          <w:color w:val="000000"/>
          <w:kern w:val="0"/>
          <w:sz w:val="22"/>
          <w:szCs w:val="22"/>
        </w:rPr>
      </w:pPr>
      <w:r>
        <w:rPr>
          <w:rFonts w:hint="eastAsia" w:ascii="宋体" w:hAnsi="宋体" w:cs="宋体"/>
          <w:sz w:val="22"/>
          <w:szCs w:val="22"/>
        </w:rPr>
        <w:t>评标报告是评标委员会根据全体评标成员签字的原始评标记录和评标结果编写的</w:t>
      </w:r>
      <w:r>
        <w:rPr>
          <w:rFonts w:hint="eastAsia" w:ascii="宋体" w:hAnsi="宋体" w:cs="宋体"/>
          <w:color w:val="000000"/>
          <w:sz w:val="22"/>
          <w:szCs w:val="22"/>
        </w:rPr>
        <w:t>报告</w:t>
      </w:r>
      <w:r>
        <w:rPr>
          <w:rFonts w:hint="eastAsia" w:ascii="宋体" w:hAnsi="宋体" w:cs="宋体"/>
          <w:color w:val="000000"/>
          <w:kern w:val="0"/>
          <w:sz w:val="22"/>
          <w:szCs w:val="22"/>
        </w:rPr>
        <w:t>。</w:t>
      </w:r>
      <w:r>
        <w:rPr>
          <w:rFonts w:ascii="宋体" w:hAnsi="宋体" w:cs="宋体"/>
          <w:color w:val="000000"/>
          <w:kern w:val="0"/>
          <w:sz w:val="22"/>
          <w:szCs w:val="22"/>
        </w:rPr>
        <w:t xml:space="preserve"> </w:t>
      </w:r>
    </w:p>
    <w:p w14:paraId="515AC35B">
      <w:pPr>
        <w:pStyle w:val="44"/>
        <w:spacing w:line="360" w:lineRule="auto"/>
        <w:ind w:firstLine="0" w:firstLineChars="0"/>
        <w:rPr>
          <w:rFonts w:ascii="宋体" w:hAnsi="宋体" w:eastAsia="宋体"/>
          <w:sz w:val="22"/>
          <w:szCs w:val="22"/>
        </w:rPr>
      </w:pPr>
    </w:p>
    <w:bookmarkEnd w:id="63"/>
    <w:bookmarkEnd w:id="64"/>
    <w:p w14:paraId="22548C14">
      <w:pPr>
        <w:pageBreakBefore/>
        <w:numPr>
          <w:ilvl w:val="0"/>
          <w:numId w:val="8"/>
        </w:numPr>
        <w:spacing w:line="640" w:lineRule="exact"/>
        <w:jc w:val="center"/>
        <w:outlineLvl w:val="0"/>
        <w:rPr>
          <w:rFonts w:ascii="宋体"/>
          <w:b/>
          <w:bCs/>
          <w:kern w:val="0"/>
          <w:sz w:val="36"/>
          <w:szCs w:val="36"/>
        </w:rPr>
      </w:pPr>
      <w:bookmarkStart w:id="79" w:name="_Toc28390"/>
      <w:bookmarkStart w:id="80" w:name="_Toc25547"/>
      <w:bookmarkStart w:id="81" w:name="_Toc13880"/>
      <w:bookmarkStart w:id="82" w:name="_Toc241"/>
      <w:bookmarkStart w:id="83" w:name="_Toc20818"/>
      <w:bookmarkStart w:id="84" w:name="_Toc14506"/>
      <w:bookmarkStart w:id="85" w:name="_Toc229198098"/>
      <w:bookmarkStart w:id="86" w:name="_Toc274816744"/>
      <w:r>
        <w:rPr>
          <w:rFonts w:hint="eastAsia" w:ascii="宋体" w:hAnsi="宋体" w:cs="宋体"/>
          <w:b/>
          <w:bCs/>
          <w:kern w:val="0"/>
          <w:sz w:val="36"/>
          <w:szCs w:val="36"/>
        </w:rPr>
        <w:t>投标文件格式</w:t>
      </w:r>
      <w:bookmarkEnd w:id="79"/>
      <w:bookmarkEnd w:id="80"/>
      <w:bookmarkEnd w:id="81"/>
      <w:bookmarkEnd w:id="82"/>
      <w:bookmarkEnd w:id="83"/>
      <w:bookmarkEnd w:id="84"/>
      <w:bookmarkStart w:id="87" w:name="_Toc10061"/>
    </w:p>
    <w:p w14:paraId="389203AE">
      <w:pPr>
        <w:spacing w:line="640" w:lineRule="exact"/>
        <w:jc w:val="center"/>
        <w:outlineLvl w:val="1"/>
        <w:rPr>
          <w:rFonts w:ascii="宋体"/>
          <w:sz w:val="28"/>
          <w:szCs w:val="28"/>
        </w:rPr>
      </w:pPr>
      <w:bookmarkStart w:id="88" w:name="_Toc13008"/>
      <w:bookmarkStart w:id="89" w:name="_Toc26944"/>
      <w:r>
        <w:rPr>
          <w:rFonts w:hint="eastAsia" w:ascii="宋体" w:hAnsi="宋体" w:cs="宋体"/>
          <w:sz w:val="28"/>
          <w:szCs w:val="28"/>
        </w:rPr>
        <w:t>一、投标文件封面</w:t>
      </w:r>
      <w:bookmarkEnd w:id="87"/>
      <w:bookmarkEnd w:id="88"/>
      <w:bookmarkEnd w:id="89"/>
    </w:p>
    <w:p w14:paraId="587204B2">
      <w:pPr>
        <w:spacing w:before="111" w:line="185" w:lineRule="auto"/>
        <w:ind w:firstLine="3579"/>
        <w:rPr>
          <w:rFonts w:ascii="宋体"/>
          <w:spacing w:val="-2"/>
          <w:sz w:val="34"/>
          <w:szCs w:val="34"/>
        </w:rPr>
      </w:pPr>
    </w:p>
    <w:p w14:paraId="30C061F0">
      <w:pPr>
        <w:spacing w:before="111" w:line="185" w:lineRule="auto"/>
        <w:ind w:firstLine="3579"/>
        <w:rPr>
          <w:rFonts w:ascii="宋体"/>
          <w:sz w:val="36"/>
          <w:szCs w:val="36"/>
        </w:rPr>
      </w:pPr>
      <w:r>
        <w:rPr>
          <w:rFonts w:ascii="宋体" w:hAnsi="宋体" w:cs="宋体"/>
          <w:spacing w:val="-2"/>
          <w:sz w:val="36"/>
          <w:szCs w:val="36"/>
        </w:rPr>
        <w:t>XXX</w:t>
      </w:r>
      <w:r>
        <w:rPr>
          <w:rFonts w:hint="eastAsia" w:ascii="宋体" w:hAnsi="宋体" w:cs="宋体"/>
          <w:spacing w:val="-2"/>
          <w:sz w:val="36"/>
          <w:szCs w:val="36"/>
        </w:rPr>
        <w:t>项目</w:t>
      </w:r>
    </w:p>
    <w:p w14:paraId="017BDE57">
      <w:pPr>
        <w:spacing w:line="255" w:lineRule="auto"/>
        <w:rPr>
          <w:rFonts w:ascii="宋体"/>
          <w:sz w:val="22"/>
          <w:szCs w:val="22"/>
        </w:rPr>
      </w:pPr>
    </w:p>
    <w:p w14:paraId="6F0B9516">
      <w:pPr>
        <w:spacing w:line="255" w:lineRule="auto"/>
        <w:rPr>
          <w:rFonts w:ascii="宋体"/>
          <w:sz w:val="22"/>
          <w:szCs w:val="22"/>
        </w:rPr>
      </w:pPr>
    </w:p>
    <w:p w14:paraId="18C779DA">
      <w:pPr>
        <w:spacing w:line="255" w:lineRule="auto"/>
        <w:rPr>
          <w:rFonts w:ascii="宋体"/>
          <w:sz w:val="22"/>
          <w:szCs w:val="22"/>
        </w:rPr>
      </w:pPr>
    </w:p>
    <w:p w14:paraId="68474A05">
      <w:pPr>
        <w:keepNext/>
        <w:keepLines/>
        <w:widowControl w:val="0"/>
        <w:numPr>
          <w:ilvl w:val="0"/>
          <w:numId w:val="0"/>
        </w:numPr>
        <w:spacing w:before="0" w:after="0" w:line="24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bookmarkStart w:id="90" w:name="_Toc380742995"/>
      <w:bookmarkStart w:id="91" w:name="_Toc387653043"/>
      <w:bookmarkStart w:id="92" w:name="_Toc383155944"/>
      <w:bookmarkStart w:id="93" w:name="_Toc18291"/>
      <w:bookmarkStart w:id="94" w:name="_Toc9989"/>
      <w:r>
        <w:rPr>
          <w:rFonts w:hint="eastAsia" w:ascii="宋体" w:hAnsi="Times New Roman" w:eastAsia="宋体" w:cs="Times New Roman"/>
          <w:b/>
          <w:color w:val="auto"/>
          <w:kern w:val="0"/>
          <w:sz w:val="28"/>
          <w:szCs w:val="28"/>
          <w:highlight w:val="none"/>
          <w:lang w:val="en-US" w:eastAsia="zh-CN" w:bidi="ar-SA"/>
        </w:rPr>
        <w:t>项目编号：</w:t>
      </w:r>
    </w:p>
    <w:p w14:paraId="4EEA6683">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包  号：</w:t>
      </w:r>
    </w:p>
    <w:p w14:paraId="056A5703">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采购人：</w:t>
      </w:r>
    </w:p>
    <w:p w14:paraId="3642CA14">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代理机构：</w:t>
      </w:r>
    </w:p>
    <w:p w14:paraId="4225B72F">
      <w:pPr>
        <w:spacing w:beforeLines="30" w:afterLines="70" w:line="540" w:lineRule="exact"/>
        <w:ind w:left="630" w:leftChars="300"/>
        <w:outlineLvl w:val="9"/>
        <w:rPr>
          <w:rFonts w:hint="eastAsia"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 xml:space="preserve"> </w:t>
      </w:r>
    </w:p>
    <w:p w14:paraId="4A009997">
      <w:pPr>
        <w:numPr>
          <w:ilvl w:val="0"/>
          <w:numId w:val="0"/>
        </w:numPr>
        <w:spacing w:beforeLines="30" w:afterLines="70" w:line="540" w:lineRule="exact"/>
        <w:ind w:leftChars="0"/>
        <w:outlineLvl w:val="9"/>
        <w:rPr>
          <w:rFonts w:ascii="黑体" w:hAnsi="黑体" w:eastAsia="黑体" w:cs="黑体"/>
          <w:b/>
          <w:color w:val="auto"/>
          <w:kern w:val="2"/>
          <w:sz w:val="40"/>
          <w:szCs w:val="40"/>
          <w:highlight w:val="none"/>
        </w:rPr>
      </w:pPr>
      <w:r>
        <w:rPr>
          <w:rFonts w:hint="eastAsia" w:ascii="宋体" w:hAnsi="Times New Roman" w:cs="Times New Roman"/>
          <w:b/>
          <w:color w:val="auto"/>
          <w:kern w:val="0"/>
          <w:sz w:val="28"/>
          <w:szCs w:val="28"/>
          <w:highlight w:val="none"/>
        </w:rPr>
        <w:t>投标人名称：（加盖公章）</w:t>
      </w:r>
    </w:p>
    <w:p w14:paraId="4CAED50B">
      <w:pPr>
        <w:numPr>
          <w:ilvl w:val="0"/>
          <w:numId w:val="0"/>
        </w:numPr>
        <w:spacing w:line="240" w:lineRule="auto"/>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投标人详细地址：</w:t>
      </w:r>
    </w:p>
    <w:p w14:paraId="12B18E6D">
      <w:pPr>
        <w:numPr>
          <w:ilvl w:val="0"/>
          <w:numId w:val="0"/>
        </w:numPr>
        <w:spacing w:beforeLines="30" w:afterLines="70" w:line="540" w:lineRule="exact"/>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投标人联系电话：</w:t>
      </w:r>
    </w:p>
    <w:p w14:paraId="12EA6C02">
      <w:pPr>
        <w:numPr>
          <w:ilvl w:val="0"/>
          <w:numId w:val="0"/>
        </w:numPr>
        <w:spacing w:beforeLines="30" w:afterLines="70" w:line="540" w:lineRule="exact"/>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投标人统一的社会信用代码</w:t>
      </w:r>
      <w:r>
        <w:rPr>
          <w:rFonts w:hint="eastAsia" w:ascii="黑体" w:hAnsi="黑体" w:eastAsia="黑体" w:cs="黑体"/>
          <w:b/>
          <w:color w:val="auto"/>
          <w:kern w:val="2"/>
          <w:sz w:val="40"/>
          <w:szCs w:val="40"/>
          <w:highlight w:val="none"/>
        </w:rPr>
        <w:t>：</w:t>
      </w:r>
    </w:p>
    <w:p w14:paraId="2AB72FC8">
      <w:pPr>
        <w:spacing w:beforeLines="30" w:afterLines="70" w:line="540" w:lineRule="exact"/>
        <w:ind w:left="630" w:leftChars="300"/>
        <w:jc w:val="center"/>
        <w:outlineLvl w:val="9"/>
        <w:rPr>
          <w:rFonts w:hint="eastAsia" w:ascii="宋体" w:hAnsi="Times New Roman" w:cs="Times New Roman"/>
          <w:b/>
          <w:color w:val="auto"/>
          <w:kern w:val="0"/>
          <w:sz w:val="28"/>
          <w:szCs w:val="28"/>
          <w:highlight w:val="none"/>
        </w:rPr>
      </w:pPr>
    </w:p>
    <w:p w14:paraId="72C36850">
      <w:pPr>
        <w:spacing w:beforeLines="30" w:afterLines="70" w:line="540" w:lineRule="exact"/>
        <w:ind w:left="630" w:leftChars="300"/>
        <w:jc w:val="center"/>
        <w:outlineLvl w:val="9"/>
        <w:rPr>
          <w:rFonts w:hint="eastAsia"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投标日期：   年   月   日</w:t>
      </w:r>
    </w:p>
    <w:p w14:paraId="61E4EA58">
      <w:pPr>
        <w:spacing w:before="68" w:line="184" w:lineRule="auto"/>
        <w:jc w:val="left"/>
        <w:outlineLvl w:val="9"/>
        <w:rPr>
          <w:rFonts w:hint="eastAsia" w:ascii="宋体" w:hAnsi="宋体" w:cs="宋体"/>
          <w:spacing w:val="-2"/>
          <w:sz w:val="24"/>
          <w:szCs w:val="24"/>
        </w:rPr>
      </w:pPr>
    </w:p>
    <w:p w14:paraId="5424B47E">
      <w:pPr>
        <w:spacing w:before="68" w:line="184" w:lineRule="auto"/>
        <w:jc w:val="left"/>
        <w:outlineLvl w:val="9"/>
        <w:rPr>
          <w:rFonts w:ascii="宋体"/>
          <w:sz w:val="24"/>
          <w:szCs w:val="24"/>
        </w:rPr>
      </w:pPr>
      <w:r>
        <w:rPr>
          <w:rFonts w:hint="eastAsia" w:ascii="宋体" w:hAnsi="宋体" w:cs="宋体"/>
          <w:spacing w:val="-2"/>
          <w:sz w:val="24"/>
          <w:szCs w:val="24"/>
        </w:rPr>
        <w:t>供应商郑重承诺：</w:t>
      </w:r>
    </w:p>
    <w:p w14:paraId="5BB777F6">
      <w:pPr>
        <w:spacing w:line="640" w:lineRule="exact"/>
        <w:jc w:val="left"/>
        <w:outlineLvl w:val="9"/>
        <w:rPr>
          <w:rFonts w:hint="eastAsia" w:ascii="宋体" w:hAnsi="宋体" w:cs="宋体"/>
          <w:spacing w:val="-1"/>
          <w:position w:val="14"/>
          <w:sz w:val="24"/>
          <w:szCs w:val="24"/>
        </w:rPr>
      </w:pPr>
      <w:r>
        <w:rPr>
          <w:rFonts w:ascii="宋体"/>
          <w:sz w:val="24"/>
          <w:szCs w:val="24"/>
        </w:rPr>
        <w:tab/>
      </w:r>
      <w:r>
        <w:rPr>
          <w:rFonts w:ascii="宋体" w:hAnsi="宋体" w:cs="宋体"/>
          <w:sz w:val="24"/>
          <w:szCs w:val="24"/>
        </w:rPr>
        <w:t xml:space="preserve">    </w:t>
      </w:r>
      <w:r>
        <w:rPr>
          <w:rFonts w:hint="eastAsia" w:ascii="宋体" w:hAnsi="宋体" w:cs="宋体"/>
          <w:spacing w:val="-1"/>
          <w:position w:val="14"/>
          <w:sz w:val="24"/>
          <w:szCs w:val="24"/>
        </w:rPr>
        <w:t>对本卷所提供资料的真实性、准确性、有效性负全部责任。</w:t>
      </w:r>
    </w:p>
    <w:bookmarkEnd w:id="90"/>
    <w:bookmarkEnd w:id="91"/>
    <w:bookmarkEnd w:id="92"/>
    <w:bookmarkEnd w:id="93"/>
    <w:bookmarkEnd w:id="94"/>
    <w:p w14:paraId="6DE5CB30">
      <w:pPr>
        <w:keepNext w:val="0"/>
        <w:keepLines w:val="0"/>
        <w:pageBreakBefore/>
        <w:widowControl w:val="0"/>
        <w:kinsoku/>
        <w:wordWrap/>
        <w:overflowPunct/>
        <w:topLinePunct w:val="0"/>
        <w:autoSpaceDE/>
        <w:autoSpaceDN/>
        <w:bidi w:val="0"/>
        <w:adjustRightInd/>
        <w:snapToGrid/>
        <w:spacing w:before="0" w:after="0" w:line="360" w:lineRule="auto"/>
        <w:jc w:val="center"/>
        <w:textAlignment w:val="auto"/>
        <w:outlineLvl w:val="1"/>
        <w:rPr>
          <w:rFonts w:ascii="宋体" w:hAnsi="宋体" w:eastAsia="宋体"/>
          <w:color w:val="auto"/>
          <w:szCs w:val="28"/>
          <w:highlight w:val="none"/>
        </w:rPr>
      </w:pPr>
      <w:bookmarkStart w:id="95" w:name="_Toc19423"/>
      <w:bookmarkStart w:id="96" w:name="_Toc385671123"/>
      <w:bookmarkStart w:id="97" w:name="_Toc13151"/>
      <w:bookmarkStart w:id="98" w:name="_Toc4316"/>
      <w:r>
        <w:rPr>
          <w:rFonts w:hint="eastAsia" w:ascii="宋体" w:hAnsi="宋体" w:cs="宋体"/>
          <w:b w:val="0"/>
          <w:bCs w:val="0"/>
          <w:kern w:val="2"/>
          <w:sz w:val="28"/>
          <w:szCs w:val="28"/>
          <w:lang w:val="en-US" w:eastAsia="zh-CN"/>
        </w:rPr>
        <w:t>二</w:t>
      </w:r>
      <w:r>
        <w:rPr>
          <w:rFonts w:hint="eastAsia" w:ascii="宋体" w:hAnsi="宋体" w:cs="宋体"/>
          <w:b w:val="0"/>
          <w:bCs w:val="0"/>
          <w:kern w:val="2"/>
          <w:sz w:val="28"/>
          <w:szCs w:val="28"/>
        </w:rPr>
        <w:t>、</w:t>
      </w:r>
      <w:bookmarkEnd w:id="95"/>
      <w:bookmarkEnd w:id="96"/>
      <w:bookmarkEnd w:id="97"/>
      <w:r>
        <w:rPr>
          <w:rFonts w:hint="eastAsia" w:ascii="宋体" w:hAnsi="宋体" w:eastAsia="宋体" w:cs="宋体"/>
          <w:b w:val="0"/>
          <w:bCs w:val="0"/>
          <w:kern w:val="2"/>
          <w:sz w:val="28"/>
          <w:szCs w:val="28"/>
          <w:lang w:val="en-US" w:eastAsia="zh-CN" w:bidi="ar-SA"/>
        </w:rPr>
        <w:t>投 标 函</w:t>
      </w:r>
      <w:bookmarkEnd w:id="98"/>
    </w:p>
    <w:p w14:paraId="11B774AA">
      <w:pPr>
        <w:pStyle w:val="26"/>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Ansi="宋体"/>
          <w:bCs/>
          <w:color w:val="auto"/>
          <w:sz w:val="22"/>
          <w:szCs w:val="22"/>
          <w:highlight w:val="none"/>
        </w:rPr>
      </w:pPr>
      <w:r>
        <w:rPr>
          <w:rFonts w:hint="eastAsia" w:hAnsi="宋体"/>
          <w:bCs/>
          <w:color w:val="auto"/>
          <w:sz w:val="22"/>
          <w:szCs w:val="22"/>
          <w:highlight w:val="none"/>
        </w:rPr>
        <w:t>__________________（采购人名称）：</w:t>
      </w:r>
    </w:p>
    <w:p w14:paraId="19694C91">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 xml:space="preserve">我方全面研究了 </w:t>
      </w:r>
      <w:r>
        <w:rPr>
          <w:rFonts w:hint="eastAsia" w:hAnsi="宋体"/>
          <w:bCs/>
          <w:color w:val="auto"/>
          <w:sz w:val="22"/>
          <w:szCs w:val="22"/>
          <w:highlight w:val="none"/>
          <w:u w:val="single"/>
          <w:lang w:val="en-US" w:eastAsia="zh-CN"/>
        </w:rPr>
        <w:t xml:space="preserve">    </w:t>
      </w:r>
      <w:r>
        <w:rPr>
          <w:rFonts w:hint="default" w:hAnsi="宋体"/>
          <w:bCs/>
          <w:color w:val="auto"/>
          <w:sz w:val="22"/>
          <w:szCs w:val="22"/>
          <w:highlight w:val="none"/>
          <w:u w:val="single"/>
          <w:lang w:val="en" w:eastAsia="zh-CN"/>
        </w:rPr>
        <w:t>（</w:t>
      </w:r>
      <w:r>
        <w:rPr>
          <w:rFonts w:hint="eastAsia" w:hAnsi="宋体"/>
          <w:bCs/>
          <w:color w:val="auto"/>
          <w:sz w:val="22"/>
          <w:szCs w:val="22"/>
          <w:highlight w:val="none"/>
          <w:u w:val="single"/>
          <w:lang w:val="en-US" w:eastAsia="zh-CN"/>
        </w:rPr>
        <w:t>项目名称</w:t>
      </w:r>
      <w:r>
        <w:rPr>
          <w:rFonts w:hint="default" w:hAnsi="宋体"/>
          <w:bCs/>
          <w:color w:val="auto"/>
          <w:sz w:val="22"/>
          <w:szCs w:val="22"/>
          <w:highlight w:val="none"/>
          <w:u w:val="single"/>
          <w:lang w:val="en" w:eastAsia="zh-CN"/>
        </w:rPr>
        <w:t>）</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招标文件（</w:t>
      </w:r>
      <w:r>
        <w:rPr>
          <w:rFonts w:hint="eastAsia" w:hAnsi="宋体"/>
          <w:bCs/>
          <w:color w:val="auto"/>
          <w:sz w:val="22"/>
          <w:szCs w:val="22"/>
          <w:highlight w:val="none"/>
          <w:u w:val="single"/>
          <w:lang w:val="en-US" w:eastAsia="zh-CN"/>
        </w:rPr>
        <w:t xml:space="preserve">  项目</w:t>
      </w:r>
      <w:r>
        <w:rPr>
          <w:rFonts w:hint="eastAsia" w:hAnsi="宋体"/>
          <w:bCs/>
          <w:color w:val="auto"/>
          <w:sz w:val="22"/>
          <w:szCs w:val="22"/>
          <w:highlight w:val="none"/>
          <w:u w:val="single"/>
        </w:rPr>
        <w:t>编号</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），决定参加贵单位组织的本项目投标。我方授权</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u w:val="single"/>
        </w:rPr>
        <w:t>（姓名、职务）</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代表我方</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u w:val="single"/>
        </w:rPr>
        <w:t>投标</w:t>
      </w:r>
      <w:r>
        <w:rPr>
          <w:rFonts w:hint="eastAsia" w:hAnsi="宋体"/>
          <w:bCs/>
          <w:color w:val="auto"/>
          <w:sz w:val="22"/>
          <w:szCs w:val="22"/>
          <w:highlight w:val="none"/>
          <w:u w:val="single"/>
          <w:lang w:eastAsia="zh-CN"/>
        </w:rPr>
        <w:t>人</w:t>
      </w:r>
      <w:r>
        <w:rPr>
          <w:rFonts w:hint="eastAsia" w:hAnsi="宋体"/>
          <w:bCs/>
          <w:color w:val="auto"/>
          <w:sz w:val="22"/>
          <w:szCs w:val="22"/>
          <w:highlight w:val="none"/>
          <w:u w:val="single"/>
        </w:rPr>
        <w:t>名称</w:t>
      </w:r>
      <w:r>
        <w:rPr>
          <w:rFonts w:hint="eastAsia" w:hAnsi="宋体"/>
          <w:bCs/>
          <w:color w:val="auto"/>
          <w:sz w:val="22"/>
          <w:szCs w:val="22"/>
          <w:highlight w:val="none"/>
          <w:u w:val="single"/>
          <w:lang w:eastAsia="zh-CN"/>
        </w:rPr>
        <w:t>）</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全权处理本项目投标的有关事宜。</w:t>
      </w:r>
    </w:p>
    <w:p w14:paraId="1CE004CB">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1</w:t>
      </w:r>
      <w:r>
        <w:rPr>
          <w:rFonts w:hint="eastAsia" w:hAnsi="宋体"/>
          <w:b/>
          <w:color w:val="auto"/>
          <w:kern w:val="2"/>
          <w:sz w:val="22"/>
          <w:szCs w:val="22"/>
          <w:highlight w:val="none"/>
        </w:rPr>
        <w:t>.</w:t>
      </w:r>
      <w:r>
        <w:rPr>
          <w:rFonts w:hint="eastAsia" w:hAnsi="宋体"/>
          <w:bCs/>
          <w:color w:val="auto"/>
          <w:sz w:val="22"/>
          <w:szCs w:val="22"/>
          <w:highlight w:val="none"/>
        </w:rPr>
        <w:t>我方自愿按照招标文件规定的各项要求向采购人提供所需货物/服务，总投标价为人民币</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万元（大写：</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w:t>
      </w:r>
    </w:p>
    <w:p w14:paraId="783366C3">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rPr>
      </w:pPr>
      <w:r>
        <w:rPr>
          <w:rFonts w:hint="eastAsia" w:hAnsi="宋体"/>
          <w:bCs/>
          <w:color w:val="auto"/>
          <w:sz w:val="22"/>
          <w:szCs w:val="22"/>
          <w:highlight w:val="none"/>
        </w:rPr>
        <w:t>2.一旦我方中标，我方将严格履行合同规定的责任和义务，保证于合同签字生效后</w:t>
      </w:r>
    </w:p>
    <w:p w14:paraId="221350A8">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日内完成</w:t>
      </w:r>
      <w:r>
        <w:rPr>
          <w:rFonts w:hint="eastAsia" w:hAnsi="宋体"/>
          <w:bCs/>
          <w:color w:val="auto"/>
          <w:sz w:val="22"/>
          <w:szCs w:val="22"/>
          <w:highlight w:val="none"/>
          <w:lang w:eastAsia="zh-CN"/>
        </w:rPr>
        <w:t>所采购标的物</w:t>
      </w:r>
      <w:r>
        <w:rPr>
          <w:rFonts w:hint="eastAsia" w:hAnsi="宋体"/>
          <w:bCs/>
          <w:color w:val="auto"/>
          <w:sz w:val="22"/>
          <w:szCs w:val="22"/>
          <w:highlight w:val="none"/>
        </w:rPr>
        <w:t>的安装、调试，并交付采购人验收、使用。</w:t>
      </w:r>
    </w:p>
    <w:p w14:paraId="455D0D8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lang w:val="en-US" w:eastAsia="zh-CN"/>
        </w:rPr>
      </w:pPr>
      <w:r>
        <w:rPr>
          <w:rFonts w:hint="eastAsia" w:hAnsi="宋体"/>
          <w:bCs/>
          <w:color w:val="auto"/>
          <w:sz w:val="22"/>
          <w:szCs w:val="22"/>
          <w:highlight w:val="none"/>
        </w:rPr>
        <w:t>3.</w:t>
      </w:r>
      <w:r>
        <w:rPr>
          <w:rFonts w:hint="eastAsia" w:hAnsi="宋体"/>
          <w:bCs/>
          <w:color w:val="auto"/>
          <w:sz w:val="22"/>
          <w:szCs w:val="22"/>
          <w:highlight w:val="none"/>
          <w:lang w:val="en-US" w:eastAsia="zh-CN"/>
        </w:rPr>
        <w:t>我方同意本投标有效期为自开标日后</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lang w:val="en-US" w:eastAsia="zh-CN"/>
        </w:rPr>
        <w:t>天。我方承诺严格遵守《中华人民共和国政府采购法》和《中华人民共和国政府采购法实施条例》，不会发生《政府采购法》第七十七条所列情形和《政府采购法实施条例》第七十二条所列情形，不会在投标有效期内撤回投标文件。如果在此期间内撤回投标或放弃中标资格，给贵方造成的损失我方进行赔偿。</w:t>
      </w:r>
    </w:p>
    <w:p w14:paraId="74FB723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4. 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w:t>
      </w:r>
      <w:r>
        <w:rPr>
          <w:rFonts w:hint="eastAsia"/>
          <w:color w:val="auto"/>
          <w:sz w:val="22"/>
          <w:szCs w:val="22"/>
          <w:highlight w:val="none"/>
        </w:rPr>
        <w:t>投标截止日前3年在经营活动中没有重大违法记录</w:t>
      </w:r>
      <w:r>
        <w:rPr>
          <w:rFonts w:hint="eastAsia"/>
          <w:color w:val="auto"/>
          <w:sz w:val="22"/>
          <w:szCs w:val="20"/>
          <w:highlight w:val="none"/>
        </w:rPr>
        <w:t>。</w:t>
      </w:r>
    </w:p>
    <w:p w14:paraId="76AF95C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5</w:t>
      </w:r>
      <w:r>
        <w:rPr>
          <w:color w:val="auto"/>
          <w:sz w:val="22"/>
          <w:szCs w:val="20"/>
          <w:highlight w:val="none"/>
        </w:rPr>
        <w:t>.我</w:t>
      </w:r>
      <w:r>
        <w:rPr>
          <w:rFonts w:hint="eastAsia"/>
          <w:color w:val="auto"/>
          <w:sz w:val="22"/>
          <w:szCs w:val="20"/>
          <w:highlight w:val="none"/>
        </w:rPr>
        <w:t>方</w:t>
      </w:r>
      <w:r>
        <w:rPr>
          <w:color w:val="auto"/>
          <w:sz w:val="22"/>
          <w:szCs w:val="20"/>
          <w:highlight w:val="none"/>
        </w:rPr>
        <w:t>若中标，本承诺将成为合同不可分割的一部分，与合同具有同等的法律效力。</w:t>
      </w:r>
    </w:p>
    <w:p w14:paraId="71309B9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6. 如违反上述承诺，我方投标无效且接受相关部门依法作出的处罚，并承担通过“甘肃政府采购网”等相关媒体予以公布的任何风险和责任。</w:t>
      </w:r>
    </w:p>
    <w:p w14:paraId="4810DE50">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7.我方愿意提供贵单位可能另外要求的，与投标有关的文件资料，并保证我方已提供和将要提供的文件资料是真实、准确的。</w:t>
      </w:r>
    </w:p>
    <w:p w14:paraId="09DAAB11">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rPr>
      </w:pPr>
      <w:r>
        <w:rPr>
          <w:rFonts w:hint="eastAsia" w:hAnsi="宋体"/>
          <w:bCs/>
          <w:color w:val="auto"/>
          <w:sz w:val="22"/>
          <w:szCs w:val="22"/>
          <w:highlight w:val="none"/>
          <w:lang w:val="en-US" w:eastAsia="zh-CN"/>
        </w:rPr>
        <w:t>8</w:t>
      </w:r>
      <w:r>
        <w:rPr>
          <w:rFonts w:hint="eastAsia" w:hAnsi="宋体"/>
          <w:bCs/>
          <w:color w:val="auto"/>
          <w:sz w:val="22"/>
          <w:szCs w:val="22"/>
          <w:highlight w:val="none"/>
        </w:rPr>
        <w:t>.我方完全理解采购人不一定将合同授予最低报价的投标人的行为。</w:t>
      </w:r>
    </w:p>
    <w:p w14:paraId="272AF96D">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rPr>
      </w:pPr>
    </w:p>
    <w:p w14:paraId="689B1969">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投标人（</w:t>
      </w:r>
      <w:r>
        <w:rPr>
          <w:rFonts w:hint="eastAsia" w:hAnsi="宋体"/>
          <w:color w:val="auto"/>
          <w:sz w:val="22"/>
          <w:szCs w:val="22"/>
          <w:highlight w:val="none"/>
        </w:rPr>
        <w:t>公章</w:t>
      </w:r>
      <w:r>
        <w:rPr>
          <w:rFonts w:hint="eastAsia" w:hAnsi="宋体"/>
          <w:bCs/>
          <w:color w:val="auto"/>
          <w:sz w:val="22"/>
          <w:szCs w:val="22"/>
          <w:highlight w:val="none"/>
        </w:rPr>
        <w:t>）：               法定代表人或</w:t>
      </w:r>
      <w:r>
        <w:rPr>
          <w:rFonts w:hint="eastAsia" w:hAnsi="宋体"/>
          <w:bCs/>
          <w:color w:val="auto"/>
          <w:sz w:val="22"/>
          <w:szCs w:val="22"/>
          <w:highlight w:val="none"/>
          <w:lang w:eastAsia="zh-CN"/>
        </w:rPr>
        <w:t>授权代表</w:t>
      </w:r>
      <w:r>
        <w:rPr>
          <w:rFonts w:hint="eastAsia" w:hAnsi="宋体"/>
          <w:bCs/>
          <w:color w:val="auto"/>
          <w:sz w:val="22"/>
          <w:szCs w:val="22"/>
          <w:highlight w:val="none"/>
        </w:rPr>
        <w:t>（签字</w:t>
      </w:r>
      <w:r>
        <w:rPr>
          <w:rFonts w:hint="eastAsia" w:hAnsi="宋体"/>
          <w:color w:val="auto"/>
          <w:sz w:val="22"/>
          <w:szCs w:val="22"/>
          <w:highlight w:val="none"/>
          <w:lang w:eastAsia="zh-CN"/>
        </w:rPr>
        <w:t>或盖章</w:t>
      </w:r>
      <w:r>
        <w:rPr>
          <w:rFonts w:hint="eastAsia" w:hAnsi="宋体"/>
          <w:bCs/>
          <w:color w:val="auto"/>
          <w:sz w:val="22"/>
          <w:szCs w:val="22"/>
          <w:highlight w:val="none"/>
        </w:rPr>
        <w:t>）：</w:t>
      </w:r>
    </w:p>
    <w:p w14:paraId="43C09BB3">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通讯地址：                     邮政编码：</w:t>
      </w:r>
    </w:p>
    <w:p w14:paraId="73E0952F">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联系电话：                     传    真：</w:t>
      </w:r>
    </w:p>
    <w:p w14:paraId="2133FD4A">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sz w:val="22"/>
          <w:szCs w:val="22"/>
        </w:rPr>
      </w:pPr>
      <w:r>
        <w:rPr>
          <w:rFonts w:hint="eastAsia" w:hAnsi="宋体"/>
          <w:bCs/>
          <w:color w:val="auto"/>
          <w:sz w:val="22"/>
          <w:szCs w:val="22"/>
          <w:highlight w:val="none"/>
        </w:rPr>
        <w:t>日    期：   年   月   日</w:t>
      </w:r>
    </w:p>
    <w:p w14:paraId="78DBB278">
      <w:pPr>
        <w:pStyle w:val="5"/>
        <w:pageBreakBefore/>
        <w:adjustRightInd/>
        <w:spacing w:before="0" w:after="0" w:line="360" w:lineRule="auto"/>
        <w:jc w:val="center"/>
        <w:textAlignment w:val="auto"/>
        <w:outlineLvl w:val="1"/>
        <w:rPr>
          <w:rFonts w:ascii="宋体"/>
          <w:b w:val="0"/>
          <w:bCs w:val="0"/>
          <w:kern w:val="2"/>
          <w:sz w:val="28"/>
          <w:szCs w:val="28"/>
        </w:rPr>
      </w:pPr>
      <w:bookmarkStart w:id="99" w:name="_Toc3377"/>
      <w:bookmarkStart w:id="100" w:name="_Toc24899"/>
      <w:bookmarkStart w:id="101" w:name="_Toc7829"/>
      <w:r>
        <w:rPr>
          <w:rFonts w:hint="eastAsia" w:ascii="宋体" w:hAnsi="宋体" w:cs="宋体"/>
          <w:b w:val="0"/>
          <w:bCs w:val="0"/>
          <w:kern w:val="2"/>
          <w:sz w:val="28"/>
          <w:szCs w:val="28"/>
          <w:lang w:val="en-US" w:eastAsia="zh-CN"/>
        </w:rPr>
        <w:t>三</w:t>
      </w:r>
      <w:r>
        <w:rPr>
          <w:rFonts w:hint="eastAsia" w:ascii="宋体" w:hAnsi="宋体" w:cs="宋体"/>
          <w:b w:val="0"/>
          <w:bCs w:val="0"/>
          <w:kern w:val="2"/>
          <w:sz w:val="28"/>
          <w:szCs w:val="28"/>
        </w:rPr>
        <w:t>、</w:t>
      </w:r>
      <w:bookmarkEnd w:id="99"/>
      <w:r>
        <w:rPr>
          <w:rFonts w:hint="eastAsia" w:ascii="宋体" w:hAnsi="宋体" w:cs="宋体"/>
          <w:b w:val="0"/>
          <w:bCs w:val="0"/>
          <w:kern w:val="2"/>
          <w:sz w:val="28"/>
          <w:szCs w:val="28"/>
        </w:rPr>
        <w:t>开标一览表</w:t>
      </w:r>
      <w:bookmarkEnd w:id="100"/>
      <w:bookmarkEnd w:id="101"/>
    </w:p>
    <w:p w14:paraId="71A6EF86">
      <w:pPr>
        <w:adjustRightInd w:val="0"/>
        <w:snapToGrid w:val="0"/>
        <w:spacing w:line="360" w:lineRule="auto"/>
        <w:ind w:left="-88" w:leftChars="-42"/>
        <w:rPr>
          <w:rFonts w:ascii="宋体"/>
          <w:color w:val="000000"/>
          <w:sz w:val="22"/>
          <w:szCs w:val="22"/>
        </w:rPr>
      </w:pPr>
    </w:p>
    <w:p w14:paraId="407FF4B2">
      <w:pPr>
        <w:spacing w:line="360" w:lineRule="auto"/>
        <w:rPr>
          <w:rFonts w:hint="eastAsia" w:ascii="宋体" w:hAnsi="宋体"/>
          <w:color w:val="auto"/>
          <w:sz w:val="22"/>
          <w:szCs w:val="22"/>
        </w:rPr>
      </w:pPr>
      <w:r>
        <w:rPr>
          <w:rFonts w:hint="eastAsia" w:ascii="宋体" w:hAnsi="宋体"/>
          <w:color w:val="auto"/>
          <w:sz w:val="22"/>
          <w:szCs w:val="22"/>
        </w:rPr>
        <w:t xml:space="preserve">投标人名称： </w:t>
      </w:r>
    </w:p>
    <w:p w14:paraId="3B50EAE8">
      <w:pPr>
        <w:spacing w:line="360" w:lineRule="auto"/>
        <w:rPr>
          <w:rFonts w:hint="eastAsia" w:ascii="宋体" w:hAnsi="宋体"/>
          <w:color w:val="auto"/>
          <w:sz w:val="22"/>
          <w:szCs w:val="22"/>
        </w:rPr>
      </w:pPr>
      <w:r>
        <w:rPr>
          <w:rFonts w:hint="eastAsia" w:ascii="宋体" w:hAnsi="宋体"/>
          <w:color w:val="auto"/>
          <w:sz w:val="22"/>
          <w:szCs w:val="22"/>
        </w:rPr>
        <w:t xml:space="preserve">项目名称：        </w:t>
      </w:r>
    </w:p>
    <w:p w14:paraId="4EC17227">
      <w:pPr>
        <w:spacing w:line="360" w:lineRule="auto"/>
        <w:rPr>
          <w:rFonts w:hint="eastAsia" w:ascii="宋体" w:hAnsi="宋体"/>
          <w:color w:val="auto"/>
          <w:sz w:val="22"/>
          <w:szCs w:val="22"/>
        </w:rPr>
      </w:pPr>
      <w:r>
        <w:rPr>
          <w:rFonts w:hint="eastAsia" w:ascii="宋体" w:hAnsi="宋体"/>
          <w:color w:val="auto"/>
          <w:sz w:val="22"/>
          <w:szCs w:val="22"/>
        </w:rPr>
        <w:t xml:space="preserve">招标文件编号：                          </w:t>
      </w:r>
      <w:r>
        <w:rPr>
          <w:rFonts w:hint="eastAsia" w:hAnsi="宋体"/>
          <w:color w:val="auto"/>
          <w:sz w:val="22"/>
          <w:szCs w:val="22"/>
          <w:lang w:val="en-US" w:eastAsia="zh-CN"/>
        </w:rPr>
        <w:t xml:space="preserve">         </w:t>
      </w:r>
      <w:r>
        <w:rPr>
          <w:rFonts w:hint="eastAsia" w:ascii="宋体" w:hAnsi="宋体"/>
          <w:color w:val="auto"/>
          <w:sz w:val="22"/>
          <w:szCs w:val="22"/>
        </w:rPr>
        <w:t xml:space="preserve">包号： </w:t>
      </w:r>
      <w:r>
        <w:rPr>
          <w:rFonts w:hint="eastAsia" w:ascii="宋体" w:hAnsi="宋体"/>
          <w:color w:val="auto"/>
          <w:sz w:val="22"/>
          <w:szCs w:val="22"/>
          <w:lang w:val="en-US" w:eastAsia="zh-CN"/>
        </w:rPr>
        <w:t>/</w:t>
      </w:r>
      <w:r>
        <w:rPr>
          <w:rFonts w:hint="eastAsia" w:ascii="宋体" w:hAnsi="宋体"/>
          <w:color w:val="auto"/>
          <w:sz w:val="22"/>
          <w:szCs w:val="22"/>
        </w:rPr>
        <w:t xml:space="preserve">     </w:t>
      </w:r>
    </w:p>
    <w:p w14:paraId="16D7CC2B">
      <w:pPr>
        <w:spacing w:line="360" w:lineRule="auto"/>
        <w:rPr>
          <w:rFonts w:hint="eastAsia" w:ascii="宋体" w:hAnsi="宋体"/>
          <w:color w:val="auto"/>
          <w:sz w:val="22"/>
          <w:szCs w:val="22"/>
        </w:rPr>
      </w:pPr>
      <w:r>
        <w:rPr>
          <w:rFonts w:hint="eastAsia" w:ascii="宋体" w:hAnsi="宋体"/>
          <w:color w:val="auto"/>
          <w:sz w:val="22"/>
          <w:szCs w:val="22"/>
        </w:rPr>
        <w:t>币种：人民币</w:t>
      </w:r>
    </w:p>
    <w:tbl>
      <w:tblPr>
        <w:tblStyle w:val="46"/>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436"/>
        <w:gridCol w:w="1231"/>
        <w:gridCol w:w="1350"/>
        <w:gridCol w:w="1669"/>
        <w:gridCol w:w="1194"/>
      </w:tblGrid>
      <w:tr w14:paraId="7029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21A195DD">
            <w:pPr>
              <w:spacing w:line="460" w:lineRule="exact"/>
              <w:jc w:val="center"/>
              <w:rPr>
                <w:color w:val="auto"/>
                <w:sz w:val="22"/>
                <w:szCs w:val="20"/>
              </w:rPr>
            </w:pPr>
            <w:r>
              <w:rPr>
                <w:rFonts w:hint="eastAsia"/>
                <w:color w:val="auto"/>
                <w:sz w:val="22"/>
                <w:szCs w:val="20"/>
                <w:lang w:eastAsia="zh-CN"/>
              </w:rPr>
              <w:t>序</w:t>
            </w:r>
            <w:r>
              <w:rPr>
                <w:color w:val="auto"/>
                <w:sz w:val="22"/>
                <w:szCs w:val="20"/>
              </w:rPr>
              <w:t>号</w:t>
            </w:r>
          </w:p>
        </w:tc>
        <w:tc>
          <w:tcPr>
            <w:tcW w:w="1436" w:type="dxa"/>
            <w:vAlign w:val="center"/>
          </w:tcPr>
          <w:p w14:paraId="79BF40B0">
            <w:pPr>
              <w:spacing w:line="460" w:lineRule="exact"/>
              <w:jc w:val="center"/>
              <w:rPr>
                <w:color w:val="auto"/>
                <w:sz w:val="22"/>
                <w:szCs w:val="20"/>
              </w:rPr>
            </w:pPr>
            <w:r>
              <w:rPr>
                <w:rFonts w:hint="eastAsia"/>
                <w:color w:val="auto"/>
                <w:sz w:val="22"/>
                <w:szCs w:val="20"/>
                <w:lang w:eastAsia="zh-CN"/>
              </w:rPr>
              <w:t>货物</w:t>
            </w:r>
            <w:r>
              <w:rPr>
                <w:color w:val="auto"/>
                <w:sz w:val="22"/>
                <w:szCs w:val="20"/>
              </w:rPr>
              <w:t>名称</w:t>
            </w:r>
          </w:p>
        </w:tc>
        <w:tc>
          <w:tcPr>
            <w:tcW w:w="1231" w:type="dxa"/>
            <w:vAlign w:val="center"/>
          </w:tcPr>
          <w:p w14:paraId="7CCE58FB">
            <w:pPr>
              <w:spacing w:line="460" w:lineRule="exact"/>
              <w:jc w:val="center"/>
              <w:rPr>
                <w:color w:val="auto"/>
                <w:sz w:val="22"/>
                <w:szCs w:val="20"/>
              </w:rPr>
            </w:pPr>
            <w:r>
              <w:rPr>
                <w:color w:val="auto"/>
                <w:sz w:val="22"/>
                <w:szCs w:val="20"/>
              </w:rPr>
              <w:t>品牌</w:t>
            </w:r>
          </w:p>
        </w:tc>
        <w:tc>
          <w:tcPr>
            <w:tcW w:w="1350" w:type="dxa"/>
            <w:vAlign w:val="center"/>
          </w:tcPr>
          <w:p w14:paraId="10D7753B">
            <w:pPr>
              <w:spacing w:line="460" w:lineRule="exact"/>
              <w:jc w:val="center"/>
              <w:rPr>
                <w:rFonts w:hint="eastAsia" w:eastAsia="宋体"/>
                <w:color w:val="auto"/>
                <w:sz w:val="22"/>
                <w:szCs w:val="20"/>
                <w:lang w:eastAsia="zh-CN"/>
              </w:rPr>
            </w:pPr>
            <w:r>
              <w:rPr>
                <w:rFonts w:hint="eastAsia"/>
                <w:color w:val="auto"/>
                <w:sz w:val="22"/>
                <w:szCs w:val="20"/>
                <w:lang w:eastAsia="zh-CN"/>
              </w:rPr>
              <w:t>数量</w:t>
            </w:r>
          </w:p>
        </w:tc>
        <w:tc>
          <w:tcPr>
            <w:tcW w:w="1669" w:type="dxa"/>
            <w:vAlign w:val="center"/>
          </w:tcPr>
          <w:p w14:paraId="18645D74">
            <w:pPr>
              <w:spacing w:line="460" w:lineRule="exact"/>
              <w:jc w:val="center"/>
              <w:rPr>
                <w:color w:val="auto"/>
                <w:sz w:val="22"/>
                <w:szCs w:val="20"/>
              </w:rPr>
            </w:pPr>
            <w:r>
              <w:rPr>
                <w:color w:val="auto"/>
                <w:sz w:val="22"/>
                <w:szCs w:val="20"/>
              </w:rPr>
              <w:t>交货期</w:t>
            </w:r>
          </w:p>
        </w:tc>
        <w:tc>
          <w:tcPr>
            <w:tcW w:w="1194" w:type="dxa"/>
            <w:vAlign w:val="center"/>
          </w:tcPr>
          <w:p w14:paraId="37B1F7B9">
            <w:pPr>
              <w:spacing w:line="460" w:lineRule="exact"/>
              <w:jc w:val="center"/>
              <w:rPr>
                <w:color w:val="auto"/>
                <w:sz w:val="22"/>
                <w:szCs w:val="20"/>
              </w:rPr>
            </w:pPr>
            <w:r>
              <w:rPr>
                <w:color w:val="auto"/>
                <w:sz w:val="22"/>
                <w:szCs w:val="20"/>
              </w:rPr>
              <w:t>备注</w:t>
            </w:r>
          </w:p>
        </w:tc>
      </w:tr>
      <w:tr w14:paraId="53EA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7B9F00C8">
            <w:pPr>
              <w:spacing w:line="460" w:lineRule="exact"/>
              <w:jc w:val="center"/>
              <w:rPr>
                <w:color w:val="auto"/>
                <w:sz w:val="22"/>
                <w:szCs w:val="20"/>
              </w:rPr>
            </w:pPr>
            <w:r>
              <w:rPr>
                <w:color w:val="auto"/>
                <w:sz w:val="22"/>
                <w:szCs w:val="20"/>
              </w:rPr>
              <w:t>1</w:t>
            </w:r>
          </w:p>
        </w:tc>
        <w:tc>
          <w:tcPr>
            <w:tcW w:w="1436" w:type="dxa"/>
            <w:vAlign w:val="center"/>
          </w:tcPr>
          <w:p w14:paraId="491B1FA7">
            <w:pPr>
              <w:spacing w:line="460" w:lineRule="exact"/>
              <w:jc w:val="center"/>
              <w:rPr>
                <w:color w:val="auto"/>
                <w:sz w:val="22"/>
                <w:szCs w:val="20"/>
              </w:rPr>
            </w:pPr>
          </w:p>
        </w:tc>
        <w:tc>
          <w:tcPr>
            <w:tcW w:w="1231" w:type="dxa"/>
            <w:vAlign w:val="center"/>
          </w:tcPr>
          <w:p w14:paraId="6F00186F">
            <w:pPr>
              <w:spacing w:line="460" w:lineRule="exact"/>
              <w:jc w:val="center"/>
              <w:rPr>
                <w:color w:val="auto"/>
                <w:sz w:val="22"/>
                <w:szCs w:val="20"/>
              </w:rPr>
            </w:pPr>
          </w:p>
        </w:tc>
        <w:tc>
          <w:tcPr>
            <w:tcW w:w="1350" w:type="dxa"/>
            <w:vAlign w:val="center"/>
          </w:tcPr>
          <w:p w14:paraId="772263BA">
            <w:pPr>
              <w:spacing w:line="460" w:lineRule="exact"/>
              <w:jc w:val="center"/>
              <w:rPr>
                <w:color w:val="auto"/>
                <w:sz w:val="22"/>
                <w:szCs w:val="20"/>
              </w:rPr>
            </w:pPr>
          </w:p>
        </w:tc>
        <w:tc>
          <w:tcPr>
            <w:tcW w:w="1669" w:type="dxa"/>
            <w:vAlign w:val="center"/>
          </w:tcPr>
          <w:p w14:paraId="00BC2CB0">
            <w:pPr>
              <w:spacing w:line="460" w:lineRule="exact"/>
              <w:jc w:val="center"/>
              <w:rPr>
                <w:color w:val="auto"/>
                <w:sz w:val="22"/>
                <w:szCs w:val="20"/>
              </w:rPr>
            </w:pPr>
          </w:p>
        </w:tc>
        <w:tc>
          <w:tcPr>
            <w:tcW w:w="1194" w:type="dxa"/>
            <w:vAlign w:val="center"/>
          </w:tcPr>
          <w:p w14:paraId="1D4B6E53">
            <w:pPr>
              <w:spacing w:line="460" w:lineRule="exact"/>
              <w:jc w:val="center"/>
              <w:rPr>
                <w:color w:val="auto"/>
                <w:sz w:val="22"/>
                <w:szCs w:val="20"/>
              </w:rPr>
            </w:pPr>
          </w:p>
        </w:tc>
      </w:tr>
      <w:tr w14:paraId="2A43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6B352085">
            <w:pPr>
              <w:spacing w:line="460" w:lineRule="exact"/>
              <w:jc w:val="center"/>
              <w:rPr>
                <w:color w:val="auto"/>
                <w:sz w:val="22"/>
                <w:szCs w:val="20"/>
              </w:rPr>
            </w:pPr>
            <w:r>
              <w:rPr>
                <w:rFonts w:hint="eastAsia"/>
                <w:color w:val="auto"/>
                <w:sz w:val="22"/>
                <w:szCs w:val="20"/>
              </w:rPr>
              <w:t>2</w:t>
            </w:r>
          </w:p>
        </w:tc>
        <w:tc>
          <w:tcPr>
            <w:tcW w:w="1436" w:type="dxa"/>
            <w:vAlign w:val="center"/>
          </w:tcPr>
          <w:p w14:paraId="5857684B">
            <w:pPr>
              <w:spacing w:line="460" w:lineRule="exact"/>
              <w:jc w:val="center"/>
              <w:rPr>
                <w:color w:val="auto"/>
                <w:sz w:val="22"/>
                <w:szCs w:val="20"/>
              </w:rPr>
            </w:pPr>
          </w:p>
        </w:tc>
        <w:tc>
          <w:tcPr>
            <w:tcW w:w="1231" w:type="dxa"/>
            <w:vAlign w:val="center"/>
          </w:tcPr>
          <w:p w14:paraId="02F8908C">
            <w:pPr>
              <w:spacing w:line="460" w:lineRule="exact"/>
              <w:jc w:val="center"/>
              <w:rPr>
                <w:color w:val="auto"/>
                <w:sz w:val="22"/>
                <w:szCs w:val="20"/>
              </w:rPr>
            </w:pPr>
          </w:p>
        </w:tc>
        <w:tc>
          <w:tcPr>
            <w:tcW w:w="1350" w:type="dxa"/>
            <w:vAlign w:val="center"/>
          </w:tcPr>
          <w:p w14:paraId="303DEC3B">
            <w:pPr>
              <w:spacing w:line="460" w:lineRule="exact"/>
              <w:jc w:val="center"/>
              <w:rPr>
                <w:color w:val="auto"/>
                <w:sz w:val="22"/>
                <w:szCs w:val="20"/>
              </w:rPr>
            </w:pPr>
          </w:p>
        </w:tc>
        <w:tc>
          <w:tcPr>
            <w:tcW w:w="1669" w:type="dxa"/>
            <w:vAlign w:val="center"/>
          </w:tcPr>
          <w:p w14:paraId="118A5F1D">
            <w:pPr>
              <w:spacing w:line="460" w:lineRule="exact"/>
              <w:jc w:val="center"/>
              <w:rPr>
                <w:color w:val="auto"/>
                <w:sz w:val="22"/>
                <w:szCs w:val="20"/>
              </w:rPr>
            </w:pPr>
          </w:p>
        </w:tc>
        <w:tc>
          <w:tcPr>
            <w:tcW w:w="1194" w:type="dxa"/>
            <w:vAlign w:val="center"/>
          </w:tcPr>
          <w:p w14:paraId="24531D5E">
            <w:pPr>
              <w:spacing w:line="460" w:lineRule="exact"/>
              <w:jc w:val="center"/>
              <w:rPr>
                <w:color w:val="auto"/>
                <w:sz w:val="22"/>
                <w:szCs w:val="20"/>
              </w:rPr>
            </w:pPr>
          </w:p>
        </w:tc>
      </w:tr>
      <w:tr w14:paraId="29E7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2699B417">
            <w:pPr>
              <w:spacing w:line="460" w:lineRule="exact"/>
              <w:jc w:val="center"/>
              <w:rPr>
                <w:color w:val="auto"/>
                <w:sz w:val="22"/>
                <w:szCs w:val="20"/>
              </w:rPr>
            </w:pPr>
          </w:p>
        </w:tc>
        <w:tc>
          <w:tcPr>
            <w:tcW w:w="1436" w:type="dxa"/>
            <w:vAlign w:val="center"/>
          </w:tcPr>
          <w:p w14:paraId="6976CD96">
            <w:pPr>
              <w:spacing w:line="460" w:lineRule="exact"/>
              <w:jc w:val="center"/>
              <w:rPr>
                <w:color w:val="auto"/>
                <w:sz w:val="22"/>
                <w:szCs w:val="20"/>
              </w:rPr>
            </w:pPr>
          </w:p>
        </w:tc>
        <w:tc>
          <w:tcPr>
            <w:tcW w:w="1231" w:type="dxa"/>
            <w:vAlign w:val="center"/>
          </w:tcPr>
          <w:p w14:paraId="5FEEC1B0">
            <w:pPr>
              <w:spacing w:line="460" w:lineRule="exact"/>
              <w:jc w:val="center"/>
              <w:rPr>
                <w:color w:val="auto"/>
                <w:sz w:val="22"/>
                <w:szCs w:val="20"/>
              </w:rPr>
            </w:pPr>
          </w:p>
        </w:tc>
        <w:tc>
          <w:tcPr>
            <w:tcW w:w="1350" w:type="dxa"/>
            <w:vAlign w:val="center"/>
          </w:tcPr>
          <w:p w14:paraId="434114DD">
            <w:pPr>
              <w:spacing w:line="460" w:lineRule="exact"/>
              <w:jc w:val="center"/>
              <w:rPr>
                <w:color w:val="auto"/>
                <w:sz w:val="22"/>
                <w:szCs w:val="20"/>
              </w:rPr>
            </w:pPr>
          </w:p>
        </w:tc>
        <w:tc>
          <w:tcPr>
            <w:tcW w:w="1669" w:type="dxa"/>
            <w:vAlign w:val="center"/>
          </w:tcPr>
          <w:p w14:paraId="774BD931">
            <w:pPr>
              <w:spacing w:line="460" w:lineRule="exact"/>
              <w:jc w:val="center"/>
              <w:rPr>
                <w:color w:val="auto"/>
                <w:sz w:val="22"/>
                <w:szCs w:val="20"/>
              </w:rPr>
            </w:pPr>
          </w:p>
        </w:tc>
        <w:tc>
          <w:tcPr>
            <w:tcW w:w="1194" w:type="dxa"/>
            <w:vAlign w:val="center"/>
          </w:tcPr>
          <w:p w14:paraId="122A2B15">
            <w:pPr>
              <w:spacing w:line="460" w:lineRule="exact"/>
              <w:jc w:val="center"/>
              <w:rPr>
                <w:color w:val="auto"/>
                <w:sz w:val="22"/>
                <w:szCs w:val="20"/>
              </w:rPr>
            </w:pPr>
          </w:p>
        </w:tc>
      </w:tr>
      <w:tr w14:paraId="59E2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56C03DAC">
            <w:pPr>
              <w:spacing w:line="460" w:lineRule="exact"/>
              <w:jc w:val="center"/>
              <w:rPr>
                <w:color w:val="auto"/>
                <w:sz w:val="22"/>
                <w:szCs w:val="20"/>
              </w:rPr>
            </w:pPr>
          </w:p>
        </w:tc>
        <w:tc>
          <w:tcPr>
            <w:tcW w:w="1436" w:type="dxa"/>
            <w:vAlign w:val="center"/>
          </w:tcPr>
          <w:p w14:paraId="34A718FB">
            <w:pPr>
              <w:spacing w:line="460" w:lineRule="exact"/>
              <w:jc w:val="center"/>
              <w:rPr>
                <w:color w:val="auto"/>
                <w:sz w:val="22"/>
                <w:szCs w:val="20"/>
              </w:rPr>
            </w:pPr>
          </w:p>
        </w:tc>
        <w:tc>
          <w:tcPr>
            <w:tcW w:w="1231" w:type="dxa"/>
            <w:vAlign w:val="center"/>
          </w:tcPr>
          <w:p w14:paraId="5A19DEB5">
            <w:pPr>
              <w:spacing w:line="460" w:lineRule="exact"/>
              <w:jc w:val="center"/>
              <w:rPr>
                <w:color w:val="auto"/>
                <w:sz w:val="22"/>
                <w:szCs w:val="20"/>
              </w:rPr>
            </w:pPr>
          </w:p>
        </w:tc>
        <w:tc>
          <w:tcPr>
            <w:tcW w:w="1350" w:type="dxa"/>
            <w:vAlign w:val="center"/>
          </w:tcPr>
          <w:p w14:paraId="2D9E9D4A">
            <w:pPr>
              <w:spacing w:line="460" w:lineRule="exact"/>
              <w:jc w:val="center"/>
              <w:rPr>
                <w:color w:val="auto"/>
                <w:sz w:val="22"/>
                <w:szCs w:val="20"/>
              </w:rPr>
            </w:pPr>
          </w:p>
        </w:tc>
        <w:tc>
          <w:tcPr>
            <w:tcW w:w="1669" w:type="dxa"/>
            <w:vAlign w:val="center"/>
          </w:tcPr>
          <w:p w14:paraId="686C3E78">
            <w:pPr>
              <w:spacing w:line="460" w:lineRule="exact"/>
              <w:jc w:val="center"/>
              <w:rPr>
                <w:color w:val="auto"/>
                <w:sz w:val="22"/>
                <w:szCs w:val="20"/>
              </w:rPr>
            </w:pPr>
          </w:p>
        </w:tc>
        <w:tc>
          <w:tcPr>
            <w:tcW w:w="1194" w:type="dxa"/>
            <w:vAlign w:val="center"/>
          </w:tcPr>
          <w:p w14:paraId="3CD7F727">
            <w:pPr>
              <w:spacing w:line="460" w:lineRule="exact"/>
              <w:jc w:val="center"/>
              <w:rPr>
                <w:color w:val="auto"/>
                <w:sz w:val="22"/>
                <w:szCs w:val="20"/>
              </w:rPr>
            </w:pPr>
          </w:p>
        </w:tc>
      </w:tr>
      <w:tr w14:paraId="7008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5A3B069A">
            <w:pPr>
              <w:spacing w:line="460" w:lineRule="exact"/>
              <w:jc w:val="center"/>
              <w:rPr>
                <w:color w:val="auto"/>
                <w:sz w:val="22"/>
                <w:szCs w:val="20"/>
              </w:rPr>
            </w:pPr>
          </w:p>
        </w:tc>
        <w:tc>
          <w:tcPr>
            <w:tcW w:w="1436" w:type="dxa"/>
            <w:vAlign w:val="center"/>
          </w:tcPr>
          <w:p w14:paraId="026389D8">
            <w:pPr>
              <w:spacing w:line="460" w:lineRule="exact"/>
              <w:jc w:val="center"/>
              <w:rPr>
                <w:color w:val="auto"/>
                <w:sz w:val="22"/>
                <w:szCs w:val="20"/>
              </w:rPr>
            </w:pPr>
          </w:p>
        </w:tc>
        <w:tc>
          <w:tcPr>
            <w:tcW w:w="1231" w:type="dxa"/>
            <w:vAlign w:val="center"/>
          </w:tcPr>
          <w:p w14:paraId="778381E3">
            <w:pPr>
              <w:spacing w:line="460" w:lineRule="exact"/>
              <w:jc w:val="center"/>
              <w:rPr>
                <w:color w:val="auto"/>
                <w:sz w:val="22"/>
                <w:szCs w:val="20"/>
              </w:rPr>
            </w:pPr>
          </w:p>
        </w:tc>
        <w:tc>
          <w:tcPr>
            <w:tcW w:w="1350" w:type="dxa"/>
            <w:vAlign w:val="center"/>
          </w:tcPr>
          <w:p w14:paraId="1463AC19">
            <w:pPr>
              <w:spacing w:line="460" w:lineRule="exact"/>
              <w:jc w:val="center"/>
              <w:rPr>
                <w:color w:val="auto"/>
                <w:sz w:val="22"/>
                <w:szCs w:val="20"/>
              </w:rPr>
            </w:pPr>
          </w:p>
        </w:tc>
        <w:tc>
          <w:tcPr>
            <w:tcW w:w="1669" w:type="dxa"/>
            <w:vAlign w:val="center"/>
          </w:tcPr>
          <w:p w14:paraId="052C7EBD">
            <w:pPr>
              <w:spacing w:line="460" w:lineRule="exact"/>
              <w:jc w:val="center"/>
              <w:rPr>
                <w:color w:val="auto"/>
                <w:sz w:val="22"/>
                <w:szCs w:val="20"/>
              </w:rPr>
            </w:pPr>
          </w:p>
        </w:tc>
        <w:tc>
          <w:tcPr>
            <w:tcW w:w="1194" w:type="dxa"/>
            <w:vAlign w:val="center"/>
          </w:tcPr>
          <w:p w14:paraId="6CBD7562">
            <w:pPr>
              <w:spacing w:line="460" w:lineRule="exact"/>
              <w:jc w:val="center"/>
              <w:rPr>
                <w:color w:val="auto"/>
                <w:sz w:val="22"/>
                <w:szCs w:val="20"/>
              </w:rPr>
            </w:pPr>
          </w:p>
        </w:tc>
      </w:tr>
      <w:tr w14:paraId="00EA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3149FF7B">
            <w:pPr>
              <w:spacing w:line="460" w:lineRule="exact"/>
              <w:jc w:val="center"/>
              <w:rPr>
                <w:color w:val="auto"/>
                <w:sz w:val="22"/>
                <w:szCs w:val="20"/>
              </w:rPr>
            </w:pPr>
            <w:r>
              <w:rPr>
                <w:color w:val="auto"/>
                <w:sz w:val="22"/>
                <w:szCs w:val="20"/>
              </w:rPr>
              <w:t>…</w:t>
            </w:r>
          </w:p>
        </w:tc>
        <w:tc>
          <w:tcPr>
            <w:tcW w:w="1436" w:type="dxa"/>
            <w:vAlign w:val="center"/>
          </w:tcPr>
          <w:p w14:paraId="46B93934">
            <w:pPr>
              <w:spacing w:line="460" w:lineRule="exact"/>
              <w:jc w:val="center"/>
              <w:rPr>
                <w:color w:val="auto"/>
                <w:sz w:val="22"/>
                <w:szCs w:val="20"/>
              </w:rPr>
            </w:pPr>
          </w:p>
        </w:tc>
        <w:tc>
          <w:tcPr>
            <w:tcW w:w="1231" w:type="dxa"/>
            <w:vAlign w:val="center"/>
          </w:tcPr>
          <w:p w14:paraId="7C1997D4">
            <w:pPr>
              <w:spacing w:line="460" w:lineRule="exact"/>
              <w:jc w:val="center"/>
              <w:rPr>
                <w:color w:val="auto"/>
                <w:sz w:val="22"/>
                <w:szCs w:val="20"/>
              </w:rPr>
            </w:pPr>
          </w:p>
        </w:tc>
        <w:tc>
          <w:tcPr>
            <w:tcW w:w="1350" w:type="dxa"/>
            <w:vAlign w:val="center"/>
          </w:tcPr>
          <w:p w14:paraId="074444D8">
            <w:pPr>
              <w:spacing w:line="460" w:lineRule="exact"/>
              <w:jc w:val="center"/>
              <w:rPr>
                <w:color w:val="auto"/>
                <w:sz w:val="22"/>
                <w:szCs w:val="20"/>
              </w:rPr>
            </w:pPr>
          </w:p>
        </w:tc>
        <w:tc>
          <w:tcPr>
            <w:tcW w:w="1669" w:type="dxa"/>
            <w:vAlign w:val="center"/>
          </w:tcPr>
          <w:p w14:paraId="1D0EB93C">
            <w:pPr>
              <w:spacing w:line="460" w:lineRule="exact"/>
              <w:jc w:val="center"/>
              <w:rPr>
                <w:color w:val="auto"/>
                <w:sz w:val="22"/>
                <w:szCs w:val="20"/>
              </w:rPr>
            </w:pPr>
          </w:p>
        </w:tc>
        <w:tc>
          <w:tcPr>
            <w:tcW w:w="1194" w:type="dxa"/>
            <w:vAlign w:val="center"/>
          </w:tcPr>
          <w:p w14:paraId="1A841ADE">
            <w:pPr>
              <w:spacing w:line="460" w:lineRule="exact"/>
              <w:jc w:val="center"/>
              <w:rPr>
                <w:color w:val="auto"/>
                <w:sz w:val="22"/>
                <w:szCs w:val="20"/>
              </w:rPr>
            </w:pPr>
          </w:p>
        </w:tc>
      </w:tr>
      <w:tr w14:paraId="532C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gridSpan w:val="2"/>
            <w:vAlign w:val="center"/>
          </w:tcPr>
          <w:p w14:paraId="64AA024E">
            <w:pPr>
              <w:spacing w:line="460" w:lineRule="exact"/>
              <w:jc w:val="center"/>
              <w:rPr>
                <w:rFonts w:hint="eastAsia" w:eastAsia="宋体"/>
                <w:color w:val="auto"/>
                <w:sz w:val="22"/>
                <w:szCs w:val="20"/>
                <w:lang w:eastAsia="zh-CN"/>
              </w:rPr>
            </w:pPr>
            <w:r>
              <w:rPr>
                <w:rFonts w:hint="eastAsia"/>
                <w:color w:val="auto"/>
                <w:sz w:val="22"/>
                <w:szCs w:val="20"/>
                <w:lang w:eastAsia="zh-CN"/>
              </w:rPr>
              <w:t>投标总价（万元）</w:t>
            </w:r>
          </w:p>
        </w:tc>
        <w:tc>
          <w:tcPr>
            <w:tcW w:w="5444" w:type="dxa"/>
            <w:gridSpan w:val="4"/>
            <w:vAlign w:val="center"/>
          </w:tcPr>
          <w:p w14:paraId="5BA4F805">
            <w:pPr>
              <w:spacing w:line="460" w:lineRule="exact"/>
              <w:jc w:val="left"/>
              <w:rPr>
                <w:rFonts w:hint="eastAsia" w:eastAsia="宋体"/>
                <w:color w:val="auto"/>
                <w:sz w:val="22"/>
                <w:szCs w:val="20"/>
                <w:lang w:eastAsia="zh-CN"/>
              </w:rPr>
            </w:pPr>
            <w:r>
              <w:rPr>
                <w:rFonts w:hint="eastAsia"/>
                <w:color w:val="auto"/>
                <w:sz w:val="22"/>
                <w:szCs w:val="20"/>
                <w:lang w:eastAsia="zh-CN"/>
              </w:rPr>
              <w:t>小写：</w:t>
            </w:r>
            <w:r>
              <w:rPr>
                <w:rFonts w:hint="eastAsia"/>
                <w:color w:val="auto"/>
                <w:sz w:val="22"/>
                <w:szCs w:val="20"/>
                <w:lang w:val="en-US" w:eastAsia="zh-CN"/>
              </w:rPr>
              <w:t xml:space="preserve">                   大写：</w:t>
            </w:r>
          </w:p>
        </w:tc>
      </w:tr>
    </w:tbl>
    <w:p w14:paraId="4B77645C">
      <w:pPr>
        <w:spacing w:line="360" w:lineRule="auto"/>
        <w:rPr>
          <w:rFonts w:hint="eastAsia" w:ascii="宋体" w:hAnsi="宋体"/>
          <w:color w:val="auto"/>
          <w:sz w:val="22"/>
          <w:szCs w:val="22"/>
        </w:rPr>
      </w:pPr>
      <w:r>
        <w:rPr>
          <w:rFonts w:hint="eastAsia" w:ascii="宋体" w:hAnsi="宋体"/>
          <w:color w:val="auto"/>
          <w:sz w:val="22"/>
          <w:szCs w:val="22"/>
        </w:rPr>
        <w:t xml:space="preserve">                                                               </w:t>
      </w:r>
    </w:p>
    <w:p w14:paraId="67C361C7">
      <w:pPr>
        <w:adjustRightInd w:val="0"/>
        <w:spacing w:line="360" w:lineRule="auto"/>
        <w:jc w:val="left"/>
        <w:rPr>
          <w:rFonts w:hint="eastAsia" w:ascii="宋体" w:hAnsi="宋体"/>
          <w:color w:val="auto"/>
          <w:sz w:val="22"/>
          <w:szCs w:val="22"/>
        </w:rPr>
      </w:pPr>
      <w:r>
        <w:rPr>
          <w:rFonts w:hint="eastAsia" w:hAnsi="宋体"/>
          <w:color w:val="auto"/>
          <w:sz w:val="22"/>
          <w:szCs w:val="22"/>
          <w:lang w:val="en-US" w:eastAsia="zh-CN"/>
        </w:rPr>
        <w:t xml:space="preserve">   </w:t>
      </w:r>
      <w:r>
        <w:rPr>
          <w:rFonts w:hint="eastAsia" w:ascii="宋体" w:hAnsi="宋体"/>
          <w:color w:val="auto"/>
          <w:sz w:val="22"/>
          <w:szCs w:val="22"/>
        </w:rPr>
        <w:t>投标人（</w:t>
      </w:r>
      <w:r>
        <w:rPr>
          <w:rFonts w:hint="eastAsia" w:hAnsi="宋体"/>
          <w:color w:val="auto"/>
          <w:sz w:val="22"/>
          <w:szCs w:val="22"/>
          <w:lang w:eastAsia="zh-CN"/>
        </w:rPr>
        <w:t>公</w:t>
      </w:r>
      <w:r>
        <w:rPr>
          <w:rFonts w:hint="eastAsia" w:ascii="宋体" w:hAnsi="宋体"/>
          <w:color w:val="auto"/>
          <w:sz w:val="22"/>
          <w:szCs w:val="22"/>
        </w:rPr>
        <w:t xml:space="preserve">章）：        </w:t>
      </w:r>
    </w:p>
    <w:p w14:paraId="243BFC83">
      <w:pPr>
        <w:adjustRightInd w:val="0"/>
        <w:spacing w:line="360" w:lineRule="auto"/>
        <w:jc w:val="left"/>
        <w:rPr>
          <w:rFonts w:hint="eastAsia" w:ascii="宋体" w:hAnsi="宋体"/>
          <w:color w:val="auto"/>
          <w:sz w:val="22"/>
          <w:szCs w:val="22"/>
        </w:rPr>
      </w:pPr>
      <w:r>
        <w:rPr>
          <w:rFonts w:hint="eastAsia" w:hAnsi="宋体"/>
          <w:color w:val="auto"/>
          <w:sz w:val="22"/>
          <w:szCs w:val="22"/>
          <w:lang w:val="en-US" w:eastAsia="zh-CN"/>
        </w:rPr>
        <w:t xml:space="preserve">   </w:t>
      </w:r>
      <w:r>
        <w:rPr>
          <w:rFonts w:hint="eastAsia" w:ascii="宋体" w:hAnsi="宋体"/>
          <w:color w:val="auto"/>
          <w:sz w:val="22"/>
          <w:szCs w:val="22"/>
        </w:rPr>
        <w:t>法定代表人或</w:t>
      </w:r>
      <w:r>
        <w:rPr>
          <w:rFonts w:hint="eastAsia" w:hAnsi="宋体"/>
          <w:color w:val="auto"/>
          <w:sz w:val="22"/>
          <w:szCs w:val="22"/>
          <w:lang w:eastAsia="zh-CN"/>
        </w:rPr>
        <w:t>授权代表</w:t>
      </w:r>
      <w:r>
        <w:rPr>
          <w:rFonts w:hint="eastAsia" w:ascii="宋体" w:hAnsi="宋体"/>
          <w:color w:val="auto"/>
          <w:sz w:val="22"/>
          <w:szCs w:val="22"/>
        </w:rPr>
        <w:t>（签字</w:t>
      </w:r>
      <w:r>
        <w:rPr>
          <w:rFonts w:hint="eastAsia" w:hAnsi="宋体"/>
          <w:color w:val="auto"/>
          <w:sz w:val="22"/>
          <w:szCs w:val="22"/>
          <w:lang w:eastAsia="zh-CN"/>
        </w:rPr>
        <w:t>或盖章</w:t>
      </w:r>
      <w:r>
        <w:rPr>
          <w:rFonts w:hint="eastAsia" w:ascii="宋体" w:hAnsi="宋体"/>
          <w:color w:val="auto"/>
          <w:sz w:val="22"/>
          <w:szCs w:val="22"/>
        </w:rPr>
        <w:t>）：</w:t>
      </w:r>
    </w:p>
    <w:p w14:paraId="71D8FC16">
      <w:pPr>
        <w:spacing w:line="360" w:lineRule="auto"/>
        <w:jc w:val="left"/>
        <w:rPr>
          <w:rFonts w:hint="eastAsia" w:ascii="宋体" w:hAnsi="宋体"/>
          <w:color w:val="auto"/>
          <w:sz w:val="22"/>
          <w:szCs w:val="22"/>
        </w:rPr>
      </w:pPr>
      <w:r>
        <w:rPr>
          <w:rFonts w:hint="eastAsia" w:hAnsi="宋体"/>
          <w:color w:val="auto"/>
          <w:sz w:val="22"/>
          <w:szCs w:val="22"/>
          <w:lang w:val="en-US" w:eastAsia="zh-CN"/>
        </w:rPr>
        <w:t xml:space="preserve">   </w:t>
      </w:r>
      <w:r>
        <w:rPr>
          <w:rFonts w:hint="eastAsia" w:ascii="宋体" w:hAnsi="宋体"/>
          <w:color w:val="auto"/>
          <w:sz w:val="22"/>
          <w:szCs w:val="22"/>
        </w:rPr>
        <w:t>日  期：</w:t>
      </w:r>
      <w:r>
        <w:rPr>
          <w:rFonts w:hint="eastAsia" w:ascii="宋体" w:hAnsi="宋体"/>
          <w:color w:val="auto"/>
          <w:sz w:val="22"/>
          <w:szCs w:val="22"/>
          <w:u w:val="single"/>
        </w:rPr>
        <w:t xml:space="preserve">     </w:t>
      </w:r>
      <w:r>
        <w:rPr>
          <w:rFonts w:hint="eastAsia" w:ascii="宋体" w:hAnsi="宋体"/>
          <w:color w:val="auto"/>
          <w:sz w:val="22"/>
          <w:szCs w:val="22"/>
        </w:rPr>
        <w:t>年</w:t>
      </w:r>
      <w:r>
        <w:rPr>
          <w:rFonts w:hint="eastAsia" w:ascii="宋体" w:hAnsi="宋体"/>
          <w:color w:val="auto"/>
          <w:sz w:val="22"/>
          <w:szCs w:val="22"/>
          <w:u w:val="single"/>
        </w:rPr>
        <w:t xml:space="preserve">    </w:t>
      </w:r>
      <w:r>
        <w:rPr>
          <w:rFonts w:hint="eastAsia" w:ascii="宋体" w:hAnsi="宋体"/>
          <w:color w:val="auto"/>
          <w:sz w:val="22"/>
          <w:szCs w:val="22"/>
        </w:rPr>
        <w:t>月</w:t>
      </w:r>
      <w:r>
        <w:rPr>
          <w:rFonts w:hint="eastAsia" w:ascii="宋体" w:hAnsi="宋体"/>
          <w:color w:val="auto"/>
          <w:sz w:val="22"/>
          <w:szCs w:val="22"/>
          <w:u w:val="single"/>
        </w:rPr>
        <w:t xml:space="preserve">     </w:t>
      </w:r>
      <w:r>
        <w:rPr>
          <w:rFonts w:hint="eastAsia" w:ascii="宋体" w:hAnsi="宋体"/>
          <w:color w:val="auto"/>
          <w:sz w:val="22"/>
          <w:szCs w:val="22"/>
        </w:rPr>
        <w:t>日</w:t>
      </w:r>
    </w:p>
    <w:p w14:paraId="3E5F4DEA">
      <w:pPr>
        <w:adjustRightInd w:val="0"/>
        <w:snapToGrid w:val="0"/>
        <w:spacing w:line="360" w:lineRule="auto"/>
        <w:ind w:firstLine="440" w:firstLineChars="200"/>
        <w:rPr>
          <w:rFonts w:hint="eastAsia" w:ascii="宋体" w:hAnsi="宋体"/>
          <w:color w:val="auto"/>
          <w:sz w:val="22"/>
          <w:szCs w:val="22"/>
        </w:rPr>
      </w:pPr>
    </w:p>
    <w:p w14:paraId="16E42E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0" w:firstLineChars="200"/>
        <w:jc w:val="both"/>
        <w:textAlignment w:val="auto"/>
        <w:outlineLvl w:val="9"/>
        <w:rPr>
          <w:rFonts w:hint="eastAsia" w:ascii="宋体" w:hAnsi="宋体"/>
          <w:color w:val="auto"/>
          <w:sz w:val="22"/>
          <w:szCs w:val="22"/>
        </w:rPr>
      </w:pPr>
      <w:r>
        <w:rPr>
          <w:rFonts w:hint="eastAsia" w:ascii="宋体" w:hAnsi="宋体"/>
          <w:color w:val="auto"/>
          <w:sz w:val="22"/>
          <w:szCs w:val="22"/>
        </w:rPr>
        <w:t>说明：</w:t>
      </w:r>
      <w:r>
        <w:rPr>
          <w:rFonts w:ascii="宋体" w:hAnsi="宋体"/>
          <w:color w:val="auto"/>
          <w:sz w:val="22"/>
          <w:szCs w:val="22"/>
        </w:rPr>
        <w:t>1</w:t>
      </w:r>
      <w:r>
        <w:rPr>
          <w:rFonts w:hint="eastAsia" w:ascii="宋体" w:hAnsi="宋体"/>
          <w:color w:val="auto"/>
          <w:sz w:val="22"/>
          <w:szCs w:val="22"/>
        </w:rPr>
        <w:t>. 报价应是最终用户验收合格后的总价，包括设备运输、保险、代理、安装调试、培训、税费</w:t>
      </w:r>
      <w:r>
        <w:rPr>
          <w:rFonts w:hint="eastAsia" w:ascii="宋体" w:hAnsi="宋体"/>
          <w:color w:val="auto"/>
          <w:sz w:val="22"/>
          <w:szCs w:val="22"/>
          <w:lang w:eastAsia="zh-CN"/>
        </w:rPr>
        <w:t>等</w:t>
      </w:r>
      <w:r>
        <w:rPr>
          <w:rFonts w:hint="eastAsia" w:ascii="宋体" w:hAnsi="宋体"/>
          <w:color w:val="auto"/>
          <w:sz w:val="22"/>
          <w:szCs w:val="22"/>
        </w:rPr>
        <w:t>和招标文件规定的其它费用。</w:t>
      </w:r>
    </w:p>
    <w:p w14:paraId="48DE92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0" w:firstLineChars="200"/>
        <w:jc w:val="both"/>
        <w:textAlignment w:val="auto"/>
        <w:outlineLvl w:val="9"/>
        <w:rPr>
          <w:rFonts w:hint="eastAsia" w:ascii="宋体" w:hAnsi="宋体"/>
          <w:b w:val="0"/>
          <w:bCs w:val="0"/>
          <w:color w:val="auto"/>
          <w:sz w:val="22"/>
          <w:szCs w:val="22"/>
        </w:rPr>
      </w:pPr>
      <w:r>
        <w:rPr>
          <w:rFonts w:hint="eastAsia" w:ascii="宋体" w:hAnsi="宋体"/>
          <w:color w:val="auto"/>
          <w:sz w:val="22"/>
          <w:szCs w:val="22"/>
          <w:lang w:val="en-US" w:eastAsia="zh-CN"/>
        </w:rPr>
        <w:t xml:space="preserve"> </w:t>
      </w:r>
      <w:r>
        <w:rPr>
          <w:rFonts w:hint="eastAsia" w:ascii="宋体" w:hAnsi="宋体"/>
          <w:b w:val="0"/>
          <w:bCs w:val="0"/>
          <w:color w:val="auto"/>
          <w:sz w:val="22"/>
          <w:szCs w:val="22"/>
          <w:lang w:val="en-US" w:eastAsia="zh-CN"/>
        </w:rPr>
        <w:t>2.</w:t>
      </w:r>
      <w:r>
        <w:rPr>
          <w:rFonts w:hint="eastAsia" w:ascii="宋体" w:hAnsi="宋体"/>
          <w:b w:val="0"/>
          <w:bCs w:val="0"/>
          <w:color w:val="auto"/>
          <w:sz w:val="22"/>
          <w:szCs w:val="22"/>
        </w:rPr>
        <w:t>“开标一览表”</w:t>
      </w:r>
      <w:r>
        <w:rPr>
          <w:rFonts w:hint="eastAsia" w:ascii="宋体" w:hAnsi="宋体"/>
          <w:b w:val="0"/>
          <w:bCs w:val="0"/>
          <w:color w:val="auto"/>
          <w:sz w:val="22"/>
          <w:szCs w:val="22"/>
          <w:lang w:eastAsia="zh-CN"/>
        </w:rPr>
        <w:t>必须</w:t>
      </w:r>
      <w:r>
        <w:rPr>
          <w:rFonts w:hint="eastAsia" w:hAnsi="宋体"/>
          <w:b w:val="0"/>
          <w:bCs w:val="0"/>
          <w:color w:val="auto"/>
          <w:sz w:val="22"/>
          <w:szCs w:val="22"/>
          <w:lang w:eastAsia="zh-CN"/>
        </w:rPr>
        <w:t>签字或盖章，</w:t>
      </w:r>
      <w:r>
        <w:rPr>
          <w:rFonts w:hint="eastAsia" w:ascii="宋体" w:hAnsi="宋体"/>
          <w:b w:val="0"/>
          <w:bCs w:val="0"/>
          <w:color w:val="auto"/>
          <w:sz w:val="22"/>
          <w:szCs w:val="22"/>
        </w:rPr>
        <w:t>否则为无效投标</w:t>
      </w:r>
      <w:r>
        <w:rPr>
          <w:rFonts w:hint="eastAsia" w:hAnsi="宋体"/>
          <w:b w:val="0"/>
          <w:bCs w:val="0"/>
          <w:color w:val="auto"/>
          <w:sz w:val="22"/>
          <w:szCs w:val="22"/>
          <w:lang w:eastAsia="zh-CN"/>
        </w:rPr>
        <w:t>，可以逐页签字或盖章也可以在落款处签字或盖章。</w:t>
      </w:r>
    </w:p>
    <w:p w14:paraId="52B5CB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b w:val="0"/>
          <w:bCs w:val="0"/>
          <w:color w:val="auto"/>
          <w:sz w:val="22"/>
          <w:szCs w:val="22"/>
        </w:rPr>
      </w:pPr>
      <w:r>
        <w:rPr>
          <w:rFonts w:hint="eastAsia" w:ascii="宋体" w:hAnsi="宋体"/>
          <w:b w:val="0"/>
          <w:bCs w:val="0"/>
          <w:color w:val="auto"/>
          <w:sz w:val="22"/>
          <w:szCs w:val="22"/>
          <w:lang w:val="en-US" w:eastAsia="zh-CN"/>
        </w:rPr>
        <w:t xml:space="preserve">     3</w:t>
      </w:r>
      <w:r>
        <w:rPr>
          <w:rFonts w:hint="eastAsia" w:ascii="宋体" w:hAnsi="宋体"/>
          <w:b w:val="0"/>
          <w:bCs w:val="0"/>
          <w:color w:val="auto"/>
          <w:sz w:val="22"/>
          <w:szCs w:val="22"/>
          <w:lang w:eastAsia="zh-CN"/>
        </w:rPr>
        <w:t>.</w:t>
      </w:r>
      <w:r>
        <w:rPr>
          <w:rFonts w:hint="eastAsia" w:ascii="宋体" w:hAnsi="宋体"/>
          <w:b w:val="0"/>
          <w:bCs w:val="0"/>
          <w:color w:val="auto"/>
          <w:sz w:val="22"/>
          <w:szCs w:val="22"/>
        </w:rPr>
        <w:t>“开标一览表”</w:t>
      </w:r>
      <w:r>
        <w:rPr>
          <w:rFonts w:hint="eastAsia" w:hAnsi="宋体"/>
          <w:b w:val="0"/>
          <w:bCs w:val="0"/>
          <w:color w:val="auto"/>
          <w:sz w:val="22"/>
          <w:szCs w:val="22"/>
          <w:lang w:eastAsia="zh-CN"/>
        </w:rPr>
        <w:t>按</w:t>
      </w:r>
      <w:r>
        <w:rPr>
          <w:rFonts w:hint="eastAsia" w:ascii="宋体" w:hAnsi="宋体"/>
          <w:b w:val="0"/>
          <w:bCs w:val="0"/>
          <w:color w:val="auto"/>
          <w:sz w:val="22"/>
          <w:szCs w:val="22"/>
        </w:rPr>
        <w:t>包</w:t>
      </w:r>
      <w:r>
        <w:rPr>
          <w:rFonts w:hint="eastAsia" w:hAnsi="宋体"/>
          <w:b w:val="0"/>
          <w:bCs w:val="0"/>
          <w:color w:val="auto"/>
          <w:sz w:val="22"/>
          <w:szCs w:val="22"/>
          <w:lang w:eastAsia="zh-CN"/>
        </w:rPr>
        <w:t>分别</w:t>
      </w:r>
      <w:r>
        <w:rPr>
          <w:rFonts w:hint="eastAsia" w:ascii="宋体" w:hAnsi="宋体"/>
          <w:b w:val="0"/>
          <w:bCs w:val="0"/>
          <w:color w:val="auto"/>
          <w:sz w:val="22"/>
          <w:szCs w:val="22"/>
        </w:rPr>
        <w:t>填写。</w:t>
      </w:r>
    </w:p>
    <w:p w14:paraId="4B5D1190">
      <w:pPr>
        <w:adjustRightInd w:val="0"/>
        <w:snapToGrid w:val="0"/>
        <w:spacing w:line="360" w:lineRule="auto"/>
        <w:ind w:left="-88" w:leftChars="-42"/>
        <w:rPr>
          <w:rFonts w:ascii="宋体"/>
          <w:color w:val="000000"/>
          <w:sz w:val="22"/>
          <w:szCs w:val="22"/>
        </w:rPr>
      </w:pPr>
    </w:p>
    <w:p w14:paraId="6DF60025">
      <w:pPr>
        <w:adjustRightInd w:val="0"/>
        <w:snapToGrid w:val="0"/>
        <w:spacing w:line="360" w:lineRule="auto"/>
        <w:rPr>
          <w:rFonts w:ascii="宋体"/>
          <w:sz w:val="22"/>
          <w:szCs w:val="22"/>
        </w:rPr>
      </w:pPr>
    </w:p>
    <w:p w14:paraId="63836816">
      <w:pPr>
        <w:pStyle w:val="5"/>
        <w:pageBreakBefore/>
        <w:adjustRightInd/>
        <w:spacing w:before="0" w:after="0" w:line="360" w:lineRule="auto"/>
        <w:jc w:val="center"/>
        <w:textAlignment w:val="auto"/>
        <w:outlineLvl w:val="1"/>
        <w:rPr>
          <w:rFonts w:ascii="宋体"/>
          <w:b w:val="0"/>
          <w:bCs w:val="0"/>
          <w:kern w:val="2"/>
          <w:sz w:val="28"/>
          <w:szCs w:val="28"/>
        </w:rPr>
      </w:pPr>
      <w:bookmarkStart w:id="102" w:name="_Toc385671125"/>
      <w:bookmarkStart w:id="103" w:name="_Toc28483"/>
      <w:bookmarkStart w:id="104" w:name="_Toc6666"/>
      <w:bookmarkStart w:id="105" w:name="_Toc2708"/>
      <w:bookmarkStart w:id="106" w:name="_Toc30813"/>
      <w:bookmarkStart w:id="107" w:name="_Toc11384"/>
      <w:bookmarkStart w:id="108" w:name="_Toc385671128"/>
      <w:r>
        <w:rPr>
          <w:rFonts w:hint="eastAsia" w:ascii="宋体" w:hAnsi="宋体" w:cs="宋体"/>
          <w:b w:val="0"/>
          <w:bCs w:val="0"/>
          <w:kern w:val="2"/>
          <w:sz w:val="28"/>
          <w:szCs w:val="28"/>
          <w:lang w:val="en-US" w:eastAsia="zh-CN"/>
        </w:rPr>
        <w:t>四</w:t>
      </w:r>
      <w:r>
        <w:rPr>
          <w:rFonts w:hint="eastAsia" w:ascii="宋体" w:hAnsi="宋体" w:cs="宋体"/>
          <w:b w:val="0"/>
          <w:bCs w:val="0"/>
          <w:kern w:val="2"/>
          <w:sz w:val="28"/>
          <w:szCs w:val="28"/>
        </w:rPr>
        <w:t>、</w:t>
      </w:r>
      <w:r>
        <w:rPr>
          <w:rFonts w:hint="eastAsia" w:ascii="宋体" w:hAnsi="宋体" w:cs="宋体"/>
          <w:b w:val="0"/>
          <w:bCs w:val="0"/>
          <w:kern w:val="2"/>
          <w:sz w:val="28"/>
          <w:szCs w:val="28"/>
          <w:lang w:val="en-US" w:eastAsia="zh-CN"/>
        </w:rPr>
        <w:t>报价明细</w:t>
      </w:r>
      <w:r>
        <w:rPr>
          <w:rFonts w:hint="eastAsia" w:ascii="宋体" w:hAnsi="宋体" w:cs="宋体"/>
          <w:b w:val="0"/>
          <w:bCs w:val="0"/>
          <w:kern w:val="2"/>
          <w:sz w:val="28"/>
          <w:szCs w:val="28"/>
        </w:rPr>
        <w:t>表</w:t>
      </w:r>
      <w:bookmarkEnd w:id="102"/>
      <w:bookmarkEnd w:id="103"/>
      <w:bookmarkEnd w:id="104"/>
      <w:bookmarkEnd w:id="105"/>
      <w:bookmarkEnd w:id="106"/>
    </w:p>
    <w:p w14:paraId="2E2A540F">
      <w:pPr>
        <w:rPr>
          <w:rFonts w:ascii="宋体"/>
        </w:rPr>
      </w:pPr>
    </w:p>
    <w:p w14:paraId="52AD4FB0">
      <w:pPr>
        <w:pStyle w:val="37"/>
        <w:rPr>
          <w:rFonts w:hAnsi="宋体" w:cs="Times New Roman"/>
        </w:rPr>
      </w:pPr>
    </w:p>
    <w:p w14:paraId="1CA88360">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color w:val="auto"/>
          <w:sz w:val="24"/>
          <w:highlight w:val="none"/>
        </w:rPr>
      </w:pPr>
      <w:bookmarkStart w:id="109" w:name="_Toc25187"/>
      <w:r>
        <w:rPr>
          <w:color w:val="auto"/>
          <w:sz w:val="24"/>
          <w:highlight w:val="none"/>
        </w:rPr>
        <w:t>项目名称：</w:t>
      </w:r>
    </w:p>
    <w:p w14:paraId="6333E2A6">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color w:val="auto"/>
          <w:sz w:val="24"/>
          <w:highlight w:val="none"/>
        </w:rPr>
      </w:pPr>
      <w:r>
        <w:rPr>
          <w:rFonts w:hint="eastAsia"/>
          <w:color w:val="auto"/>
          <w:sz w:val="24"/>
          <w:highlight w:val="none"/>
        </w:rPr>
        <w:t>招标文件</w:t>
      </w:r>
      <w:r>
        <w:rPr>
          <w:color w:val="auto"/>
          <w:sz w:val="24"/>
          <w:highlight w:val="none"/>
        </w:rPr>
        <w:t>编号：</w:t>
      </w:r>
    </w:p>
    <w:p w14:paraId="79CE3A09">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color w:val="auto"/>
          <w:sz w:val="24"/>
          <w:highlight w:val="none"/>
        </w:rPr>
      </w:pPr>
      <w:r>
        <w:rPr>
          <w:rFonts w:hint="eastAsia"/>
          <w:color w:val="auto"/>
          <w:sz w:val="24"/>
          <w:highlight w:val="none"/>
          <w:lang w:val="en-US" w:eastAsia="zh-CN"/>
        </w:rPr>
        <w:t xml:space="preserve">  </w:t>
      </w:r>
      <w:r>
        <w:rPr>
          <w:rFonts w:hint="eastAsia"/>
          <w:color w:val="auto"/>
          <w:sz w:val="24"/>
          <w:highlight w:val="none"/>
        </w:rPr>
        <w:t>包    号：</w:t>
      </w:r>
      <w:r>
        <w:rPr>
          <w:rFonts w:hint="eastAsia"/>
          <w:color w:val="auto"/>
          <w:sz w:val="24"/>
          <w:highlight w:val="none"/>
          <w:lang w:val="en-US" w:eastAsia="zh-CN"/>
        </w:rPr>
        <w:t xml:space="preserve">/                                            </w:t>
      </w:r>
      <w:r>
        <w:rPr>
          <w:color w:val="auto"/>
          <w:sz w:val="24"/>
          <w:highlight w:val="none"/>
        </w:rPr>
        <w:t>单位：</w:t>
      </w:r>
      <w:r>
        <w:rPr>
          <w:rFonts w:hint="eastAsia"/>
          <w:color w:val="auto"/>
          <w:sz w:val="24"/>
          <w:highlight w:val="none"/>
          <w:lang w:eastAsia="zh-CN"/>
        </w:rPr>
        <w:t>万</w:t>
      </w:r>
      <w:r>
        <w:rPr>
          <w:color w:val="auto"/>
          <w:sz w:val="24"/>
          <w:highlight w:val="none"/>
        </w:rPr>
        <w:t>元</w:t>
      </w:r>
    </w:p>
    <w:tbl>
      <w:tblPr>
        <w:tblStyle w:val="46"/>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436"/>
        <w:gridCol w:w="787"/>
        <w:gridCol w:w="875"/>
        <w:gridCol w:w="1037"/>
        <w:gridCol w:w="888"/>
        <w:gridCol w:w="962"/>
        <w:gridCol w:w="895"/>
      </w:tblGrid>
      <w:tr w14:paraId="7771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685E619F">
            <w:pPr>
              <w:spacing w:line="460" w:lineRule="exact"/>
              <w:jc w:val="center"/>
              <w:rPr>
                <w:color w:val="auto"/>
                <w:sz w:val="24"/>
                <w:highlight w:val="none"/>
              </w:rPr>
            </w:pPr>
            <w:r>
              <w:rPr>
                <w:rFonts w:hint="eastAsia"/>
                <w:color w:val="auto"/>
                <w:sz w:val="24"/>
                <w:highlight w:val="none"/>
              </w:rPr>
              <w:t>序</w:t>
            </w:r>
            <w:r>
              <w:rPr>
                <w:color w:val="auto"/>
                <w:sz w:val="24"/>
                <w:highlight w:val="none"/>
              </w:rPr>
              <w:t>号</w:t>
            </w:r>
          </w:p>
        </w:tc>
        <w:tc>
          <w:tcPr>
            <w:tcW w:w="1436" w:type="dxa"/>
            <w:vAlign w:val="center"/>
          </w:tcPr>
          <w:p w14:paraId="13D9C603">
            <w:pPr>
              <w:spacing w:line="460" w:lineRule="exact"/>
              <w:jc w:val="center"/>
              <w:rPr>
                <w:color w:val="auto"/>
                <w:sz w:val="24"/>
                <w:highlight w:val="none"/>
              </w:rPr>
            </w:pPr>
            <w:r>
              <w:rPr>
                <w:rFonts w:hint="eastAsia"/>
                <w:color w:val="auto"/>
                <w:sz w:val="24"/>
                <w:highlight w:val="none"/>
              </w:rPr>
              <w:t>货物</w:t>
            </w:r>
            <w:r>
              <w:rPr>
                <w:color w:val="auto"/>
                <w:sz w:val="24"/>
                <w:highlight w:val="none"/>
              </w:rPr>
              <w:t>名称</w:t>
            </w:r>
          </w:p>
        </w:tc>
        <w:tc>
          <w:tcPr>
            <w:tcW w:w="787" w:type="dxa"/>
            <w:vAlign w:val="center"/>
          </w:tcPr>
          <w:p w14:paraId="4BD21832">
            <w:pPr>
              <w:spacing w:line="460" w:lineRule="exact"/>
              <w:jc w:val="center"/>
              <w:rPr>
                <w:color w:val="auto"/>
                <w:sz w:val="24"/>
                <w:highlight w:val="none"/>
              </w:rPr>
            </w:pPr>
            <w:r>
              <w:rPr>
                <w:color w:val="auto"/>
                <w:sz w:val="24"/>
                <w:highlight w:val="none"/>
              </w:rPr>
              <w:t>品牌</w:t>
            </w:r>
          </w:p>
        </w:tc>
        <w:tc>
          <w:tcPr>
            <w:tcW w:w="875" w:type="dxa"/>
            <w:vAlign w:val="center"/>
          </w:tcPr>
          <w:p w14:paraId="38D85965">
            <w:pPr>
              <w:spacing w:line="460" w:lineRule="exact"/>
              <w:jc w:val="center"/>
              <w:rPr>
                <w:color w:val="auto"/>
                <w:sz w:val="24"/>
                <w:highlight w:val="none"/>
              </w:rPr>
            </w:pPr>
            <w:r>
              <w:rPr>
                <w:rFonts w:hint="eastAsia"/>
                <w:color w:val="auto"/>
                <w:sz w:val="24"/>
                <w:highlight w:val="none"/>
              </w:rPr>
              <w:t>数量</w:t>
            </w:r>
          </w:p>
        </w:tc>
        <w:tc>
          <w:tcPr>
            <w:tcW w:w="1037" w:type="dxa"/>
            <w:vAlign w:val="center"/>
          </w:tcPr>
          <w:p w14:paraId="1D1B53B8">
            <w:pPr>
              <w:spacing w:line="460" w:lineRule="exact"/>
              <w:jc w:val="center"/>
              <w:rPr>
                <w:color w:val="auto"/>
                <w:sz w:val="24"/>
                <w:highlight w:val="none"/>
              </w:rPr>
            </w:pPr>
            <w:r>
              <w:rPr>
                <w:color w:val="auto"/>
                <w:sz w:val="24"/>
                <w:highlight w:val="none"/>
              </w:rPr>
              <w:t>交货期</w:t>
            </w:r>
          </w:p>
        </w:tc>
        <w:tc>
          <w:tcPr>
            <w:tcW w:w="888" w:type="dxa"/>
            <w:vAlign w:val="center"/>
          </w:tcPr>
          <w:p w14:paraId="2EC4DFD1">
            <w:pPr>
              <w:spacing w:line="460" w:lineRule="exact"/>
              <w:jc w:val="center"/>
              <w:rPr>
                <w:rFonts w:hint="eastAsia" w:eastAsia="宋体"/>
                <w:color w:val="auto"/>
                <w:sz w:val="24"/>
                <w:highlight w:val="none"/>
                <w:lang w:eastAsia="zh-CN"/>
              </w:rPr>
            </w:pPr>
            <w:r>
              <w:rPr>
                <w:rFonts w:hint="eastAsia"/>
                <w:color w:val="auto"/>
                <w:sz w:val="24"/>
                <w:highlight w:val="none"/>
                <w:lang w:eastAsia="zh-CN"/>
              </w:rPr>
              <w:t>单价</w:t>
            </w:r>
          </w:p>
        </w:tc>
        <w:tc>
          <w:tcPr>
            <w:tcW w:w="962" w:type="dxa"/>
            <w:vAlign w:val="center"/>
          </w:tcPr>
          <w:p w14:paraId="79B21D3D">
            <w:pPr>
              <w:spacing w:line="460" w:lineRule="exact"/>
              <w:jc w:val="center"/>
              <w:rPr>
                <w:rFonts w:hint="eastAsia" w:eastAsia="宋体"/>
                <w:color w:val="auto"/>
                <w:sz w:val="24"/>
                <w:highlight w:val="none"/>
                <w:lang w:eastAsia="zh-CN"/>
              </w:rPr>
            </w:pPr>
            <w:r>
              <w:rPr>
                <w:rFonts w:hint="eastAsia"/>
                <w:color w:val="auto"/>
                <w:sz w:val="24"/>
                <w:highlight w:val="none"/>
                <w:lang w:eastAsia="zh-CN"/>
              </w:rPr>
              <w:t>总价</w:t>
            </w:r>
          </w:p>
        </w:tc>
        <w:tc>
          <w:tcPr>
            <w:tcW w:w="895" w:type="dxa"/>
            <w:vAlign w:val="center"/>
          </w:tcPr>
          <w:p w14:paraId="1A297598">
            <w:pPr>
              <w:spacing w:line="460" w:lineRule="exact"/>
              <w:jc w:val="center"/>
              <w:rPr>
                <w:color w:val="auto"/>
                <w:sz w:val="24"/>
                <w:highlight w:val="none"/>
              </w:rPr>
            </w:pPr>
            <w:r>
              <w:rPr>
                <w:color w:val="auto"/>
                <w:sz w:val="24"/>
                <w:highlight w:val="none"/>
              </w:rPr>
              <w:t>备注</w:t>
            </w:r>
          </w:p>
        </w:tc>
      </w:tr>
      <w:tr w14:paraId="4562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12384009">
            <w:pPr>
              <w:spacing w:line="460" w:lineRule="exact"/>
              <w:jc w:val="center"/>
              <w:rPr>
                <w:color w:val="auto"/>
                <w:sz w:val="24"/>
                <w:highlight w:val="none"/>
              </w:rPr>
            </w:pPr>
            <w:r>
              <w:rPr>
                <w:color w:val="auto"/>
                <w:sz w:val="24"/>
                <w:highlight w:val="none"/>
              </w:rPr>
              <w:t>1</w:t>
            </w:r>
          </w:p>
        </w:tc>
        <w:tc>
          <w:tcPr>
            <w:tcW w:w="1436" w:type="dxa"/>
            <w:vAlign w:val="center"/>
          </w:tcPr>
          <w:p w14:paraId="0E813173">
            <w:pPr>
              <w:spacing w:line="460" w:lineRule="exact"/>
              <w:jc w:val="center"/>
              <w:rPr>
                <w:color w:val="auto"/>
                <w:sz w:val="24"/>
                <w:highlight w:val="none"/>
              </w:rPr>
            </w:pPr>
          </w:p>
        </w:tc>
        <w:tc>
          <w:tcPr>
            <w:tcW w:w="787" w:type="dxa"/>
            <w:vAlign w:val="center"/>
          </w:tcPr>
          <w:p w14:paraId="2722F590">
            <w:pPr>
              <w:spacing w:line="460" w:lineRule="exact"/>
              <w:jc w:val="center"/>
              <w:rPr>
                <w:color w:val="auto"/>
                <w:sz w:val="24"/>
                <w:highlight w:val="none"/>
              </w:rPr>
            </w:pPr>
          </w:p>
        </w:tc>
        <w:tc>
          <w:tcPr>
            <w:tcW w:w="875" w:type="dxa"/>
            <w:vAlign w:val="center"/>
          </w:tcPr>
          <w:p w14:paraId="757E9532">
            <w:pPr>
              <w:spacing w:line="460" w:lineRule="exact"/>
              <w:jc w:val="center"/>
              <w:rPr>
                <w:color w:val="auto"/>
                <w:sz w:val="24"/>
                <w:highlight w:val="none"/>
              </w:rPr>
            </w:pPr>
          </w:p>
        </w:tc>
        <w:tc>
          <w:tcPr>
            <w:tcW w:w="1037" w:type="dxa"/>
            <w:vAlign w:val="center"/>
          </w:tcPr>
          <w:p w14:paraId="5617E9A6">
            <w:pPr>
              <w:spacing w:line="460" w:lineRule="exact"/>
              <w:jc w:val="center"/>
              <w:rPr>
                <w:color w:val="auto"/>
                <w:sz w:val="24"/>
                <w:highlight w:val="none"/>
              </w:rPr>
            </w:pPr>
          </w:p>
        </w:tc>
        <w:tc>
          <w:tcPr>
            <w:tcW w:w="888" w:type="dxa"/>
            <w:vAlign w:val="center"/>
          </w:tcPr>
          <w:p w14:paraId="436CF47E">
            <w:pPr>
              <w:spacing w:line="460" w:lineRule="exact"/>
              <w:jc w:val="center"/>
              <w:rPr>
                <w:color w:val="auto"/>
                <w:sz w:val="24"/>
                <w:highlight w:val="none"/>
              </w:rPr>
            </w:pPr>
          </w:p>
        </w:tc>
        <w:tc>
          <w:tcPr>
            <w:tcW w:w="962" w:type="dxa"/>
            <w:vAlign w:val="center"/>
          </w:tcPr>
          <w:p w14:paraId="008411C7">
            <w:pPr>
              <w:spacing w:line="460" w:lineRule="exact"/>
              <w:jc w:val="center"/>
              <w:rPr>
                <w:color w:val="auto"/>
                <w:sz w:val="24"/>
                <w:highlight w:val="none"/>
              </w:rPr>
            </w:pPr>
          </w:p>
        </w:tc>
        <w:tc>
          <w:tcPr>
            <w:tcW w:w="895" w:type="dxa"/>
            <w:vAlign w:val="center"/>
          </w:tcPr>
          <w:p w14:paraId="4A2D1CCC">
            <w:pPr>
              <w:spacing w:line="460" w:lineRule="exact"/>
              <w:jc w:val="center"/>
              <w:rPr>
                <w:color w:val="auto"/>
                <w:sz w:val="24"/>
                <w:highlight w:val="none"/>
              </w:rPr>
            </w:pPr>
          </w:p>
        </w:tc>
      </w:tr>
      <w:tr w14:paraId="0B58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471DE16D">
            <w:pPr>
              <w:spacing w:line="460" w:lineRule="exact"/>
              <w:jc w:val="center"/>
              <w:rPr>
                <w:color w:val="auto"/>
                <w:sz w:val="24"/>
                <w:highlight w:val="none"/>
              </w:rPr>
            </w:pPr>
            <w:r>
              <w:rPr>
                <w:rFonts w:hint="eastAsia"/>
                <w:color w:val="auto"/>
                <w:sz w:val="24"/>
                <w:highlight w:val="none"/>
              </w:rPr>
              <w:t>2</w:t>
            </w:r>
          </w:p>
        </w:tc>
        <w:tc>
          <w:tcPr>
            <w:tcW w:w="1436" w:type="dxa"/>
            <w:vAlign w:val="center"/>
          </w:tcPr>
          <w:p w14:paraId="71E74F88">
            <w:pPr>
              <w:spacing w:line="460" w:lineRule="exact"/>
              <w:jc w:val="center"/>
              <w:rPr>
                <w:color w:val="auto"/>
                <w:sz w:val="24"/>
                <w:highlight w:val="none"/>
              </w:rPr>
            </w:pPr>
          </w:p>
        </w:tc>
        <w:tc>
          <w:tcPr>
            <w:tcW w:w="787" w:type="dxa"/>
            <w:vAlign w:val="center"/>
          </w:tcPr>
          <w:p w14:paraId="3B9A79D7">
            <w:pPr>
              <w:spacing w:line="460" w:lineRule="exact"/>
              <w:jc w:val="center"/>
              <w:rPr>
                <w:color w:val="auto"/>
                <w:sz w:val="24"/>
                <w:highlight w:val="none"/>
              </w:rPr>
            </w:pPr>
          </w:p>
        </w:tc>
        <w:tc>
          <w:tcPr>
            <w:tcW w:w="875" w:type="dxa"/>
            <w:vAlign w:val="center"/>
          </w:tcPr>
          <w:p w14:paraId="76DED492">
            <w:pPr>
              <w:spacing w:line="460" w:lineRule="exact"/>
              <w:jc w:val="center"/>
              <w:rPr>
                <w:color w:val="auto"/>
                <w:sz w:val="24"/>
                <w:highlight w:val="none"/>
              </w:rPr>
            </w:pPr>
          </w:p>
        </w:tc>
        <w:tc>
          <w:tcPr>
            <w:tcW w:w="1037" w:type="dxa"/>
            <w:vAlign w:val="center"/>
          </w:tcPr>
          <w:p w14:paraId="5557EB14">
            <w:pPr>
              <w:spacing w:line="460" w:lineRule="exact"/>
              <w:jc w:val="center"/>
              <w:rPr>
                <w:color w:val="auto"/>
                <w:sz w:val="24"/>
                <w:highlight w:val="none"/>
              </w:rPr>
            </w:pPr>
          </w:p>
        </w:tc>
        <w:tc>
          <w:tcPr>
            <w:tcW w:w="888" w:type="dxa"/>
            <w:vAlign w:val="center"/>
          </w:tcPr>
          <w:p w14:paraId="4A6522B7">
            <w:pPr>
              <w:spacing w:line="460" w:lineRule="exact"/>
              <w:jc w:val="center"/>
              <w:rPr>
                <w:color w:val="auto"/>
                <w:sz w:val="24"/>
                <w:highlight w:val="none"/>
              </w:rPr>
            </w:pPr>
          </w:p>
        </w:tc>
        <w:tc>
          <w:tcPr>
            <w:tcW w:w="962" w:type="dxa"/>
            <w:vAlign w:val="center"/>
          </w:tcPr>
          <w:p w14:paraId="0D3E01A5">
            <w:pPr>
              <w:spacing w:line="460" w:lineRule="exact"/>
              <w:jc w:val="center"/>
              <w:rPr>
                <w:color w:val="auto"/>
                <w:sz w:val="24"/>
                <w:highlight w:val="none"/>
              </w:rPr>
            </w:pPr>
          </w:p>
        </w:tc>
        <w:tc>
          <w:tcPr>
            <w:tcW w:w="895" w:type="dxa"/>
            <w:vAlign w:val="center"/>
          </w:tcPr>
          <w:p w14:paraId="47B3829F">
            <w:pPr>
              <w:spacing w:line="460" w:lineRule="exact"/>
              <w:jc w:val="center"/>
              <w:rPr>
                <w:color w:val="auto"/>
                <w:sz w:val="24"/>
                <w:highlight w:val="none"/>
              </w:rPr>
            </w:pPr>
          </w:p>
        </w:tc>
      </w:tr>
      <w:tr w14:paraId="7416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4E475021">
            <w:pPr>
              <w:spacing w:line="460" w:lineRule="exact"/>
              <w:jc w:val="center"/>
              <w:rPr>
                <w:color w:val="auto"/>
                <w:sz w:val="24"/>
                <w:highlight w:val="none"/>
              </w:rPr>
            </w:pPr>
          </w:p>
        </w:tc>
        <w:tc>
          <w:tcPr>
            <w:tcW w:w="1436" w:type="dxa"/>
            <w:vAlign w:val="center"/>
          </w:tcPr>
          <w:p w14:paraId="05B7B382">
            <w:pPr>
              <w:spacing w:line="460" w:lineRule="exact"/>
              <w:jc w:val="center"/>
              <w:rPr>
                <w:color w:val="auto"/>
                <w:sz w:val="24"/>
                <w:highlight w:val="none"/>
              </w:rPr>
            </w:pPr>
          </w:p>
        </w:tc>
        <w:tc>
          <w:tcPr>
            <w:tcW w:w="787" w:type="dxa"/>
            <w:vAlign w:val="center"/>
          </w:tcPr>
          <w:p w14:paraId="1F674B1F">
            <w:pPr>
              <w:spacing w:line="460" w:lineRule="exact"/>
              <w:jc w:val="center"/>
              <w:rPr>
                <w:color w:val="auto"/>
                <w:sz w:val="24"/>
                <w:highlight w:val="none"/>
              </w:rPr>
            </w:pPr>
          </w:p>
        </w:tc>
        <w:tc>
          <w:tcPr>
            <w:tcW w:w="875" w:type="dxa"/>
            <w:vAlign w:val="center"/>
          </w:tcPr>
          <w:p w14:paraId="7A2C3B0B">
            <w:pPr>
              <w:spacing w:line="460" w:lineRule="exact"/>
              <w:jc w:val="center"/>
              <w:rPr>
                <w:color w:val="auto"/>
                <w:sz w:val="24"/>
                <w:highlight w:val="none"/>
              </w:rPr>
            </w:pPr>
          </w:p>
        </w:tc>
        <w:tc>
          <w:tcPr>
            <w:tcW w:w="1037" w:type="dxa"/>
            <w:vAlign w:val="center"/>
          </w:tcPr>
          <w:p w14:paraId="68A033BF">
            <w:pPr>
              <w:spacing w:line="460" w:lineRule="exact"/>
              <w:jc w:val="center"/>
              <w:rPr>
                <w:color w:val="auto"/>
                <w:sz w:val="24"/>
                <w:highlight w:val="none"/>
              </w:rPr>
            </w:pPr>
          </w:p>
        </w:tc>
        <w:tc>
          <w:tcPr>
            <w:tcW w:w="888" w:type="dxa"/>
            <w:vAlign w:val="center"/>
          </w:tcPr>
          <w:p w14:paraId="5E97E1FB">
            <w:pPr>
              <w:spacing w:line="460" w:lineRule="exact"/>
              <w:jc w:val="center"/>
              <w:rPr>
                <w:color w:val="auto"/>
                <w:sz w:val="24"/>
                <w:highlight w:val="none"/>
              </w:rPr>
            </w:pPr>
          </w:p>
        </w:tc>
        <w:tc>
          <w:tcPr>
            <w:tcW w:w="962" w:type="dxa"/>
            <w:vAlign w:val="center"/>
          </w:tcPr>
          <w:p w14:paraId="632F179A">
            <w:pPr>
              <w:spacing w:line="460" w:lineRule="exact"/>
              <w:jc w:val="center"/>
              <w:rPr>
                <w:color w:val="auto"/>
                <w:sz w:val="24"/>
                <w:highlight w:val="none"/>
              </w:rPr>
            </w:pPr>
          </w:p>
        </w:tc>
        <w:tc>
          <w:tcPr>
            <w:tcW w:w="895" w:type="dxa"/>
            <w:vAlign w:val="center"/>
          </w:tcPr>
          <w:p w14:paraId="49B7A6AF">
            <w:pPr>
              <w:spacing w:line="460" w:lineRule="exact"/>
              <w:jc w:val="center"/>
              <w:rPr>
                <w:color w:val="auto"/>
                <w:sz w:val="24"/>
                <w:highlight w:val="none"/>
              </w:rPr>
            </w:pPr>
          </w:p>
        </w:tc>
      </w:tr>
      <w:tr w14:paraId="467A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48A41834">
            <w:pPr>
              <w:spacing w:line="460" w:lineRule="exact"/>
              <w:jc w:val="center"/>
              <w:rPr>
                <w:color w:val="auto"/>
                <w:sz w:val="24"/>
                <w:highlight w:val="none"/>
              </w:rPr>
            </w:pPr>
          </w:p>
        </w:tc>
        <w:tc>
          <w:tcPr>
            <w:tcW w:w="1436" w:type="dxa"/>
            <w:vAlign w:val="center"/>
          </w:tcPr>
          <w:p w14:paraId="7F6AD794">
            <w:pPr>
              <w:spacing w:line="460" w:lineRule="exact"/>
              <w:jc w:val="center"/>
              <w:rPr>
                <w:color w:val="auto"/>
                <w:sz w:val="24"/>
                <w:highlight w:val="none"/>
              </w:rPr>
            </w:pPr>
          </w:p>
        </w:tc>
        <w:tc>
          <w:tcPr>
            <w:tcW w:w="787" w:type="dxa"/>
            <w:vAlign w:val="center"/>
          </w:tcPr>
          <w:p w14:paraId="42E27B57">
            <w:pPr>
              <w:spacing w:line="460" w:lineRule="exact"/>
              <w:jc w:val="center"/>
              <w:rPr>
                <w:color w:val="auto"/>
                <w:sz w:val="24"/>
                <w:highlight w:val="none"/>
              </w:rPr>
            </w:pPr>
          </w:p>
        </w:tc>
        <w:tc>
          <w:tcPr>
            <w:tcW w:w="875" w:type="dxa"/>
            <w:vAlign w:val="center"/>
          </w:tcPr>
          <w:p w14:paraId="42D00945">
            <w:pPr>
              <w:spacing w:line="460" w:lineRule="exact"/>
              <w:jc w:val="center"/>
              <w:rPr>
                <w:color w:val="auto"/>
                <w:sz w:val="24"/>
                <w:highlight w:val="none"/>
              </w:rPr>
            </w:pPr>
          </w:p>
        </w:tc>
        <w:tc>
          <w:tcPr>
            <w:tcW w:w="1037" w:type="dxa"/>
            <w:vAlign w:val="center"/>
          </w:tcPr>
          <w:p w14:paraId="4A13DDF3">
            <w:pPr>
              <w:spacing w:line="460" w:lineRule="exact"/>
              <w:jc w:val="center"/>
              <w:rPr>
                <w:color w:val="auto"/>
                <w:sz w:val="24"/>
                <w:highlight w:val="none"/>
              </w:rPr>
            </w:pPr>
          </w:p>
        </w:tc>
        <w:tc>
          <w:tcPr>
            <w:tcW w:w="888" w:type="dxa"/>
            <w:vAlign w:val="center"/>
          </w:tcPr>
          <w:p w14:paraId="72497FB5">
            <w:pPr>
              <w:spacing w:line="460" w:lineRule="exact"/>
              <w:jc w:val="center"/>
              <w:rPr>
                <w:color w:val="auto"/>
                <w:sz w:val="24"/>
                <w:highlight w:val="none"/>
              </w:rPr>
            </w:pPr>
          </w:p>
        </w:tc>
        <w:tc>
          <w:tcPr>
            <w:tcW w:w="962" w:type="dxa"/>
            <w:vAlign w:val="center"/>
          </w:tcPr>
          <w:p w14:paraId="0CC1C882">
            <w:pPr>
              <w:spacing w:line="460" w:lineRule="exact"/>
              <w:jc w:val="center"/>
              <w:rPr>
                <w:color w:val="auto"/>
                <w:sz w:val="24"/>
                <w:highlight w:val="none"/>
              </w:rPr>
            </w:pPr>
          </w:p>
        </w:tc>
        <w:tc>
          <w:tcPr>
            <w:tcW w:w="895" w:type="dxa"/>
            <w:vAlign w:val="center"/>
          </w:tcPr>
          <w:p w14:paraId="1B4ED490">
            <w:pPr>
              <w:spacing w:line="460" w:lineRule="exact"/>
              <w:jc w:val="center"/>
              <w:rPr>
                <w:color w:val="auto"/>
                <w:sz w:val="24"/>
                <w:highlight w:val="none"/>
              </w:rPr>
            </w:pPr>
          </w:p>
        </w:tc>
      </w:tr>
      <w:tr w14:paraId="00AA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49716DE7">
            <w:pPr>
              <w:spacing w:line="460" w:lineRule="exact"/>
              <w:jc w:val="center"/>
              <w:rPr>
                <w:color w:val="auto"/>
                <w:sz w:val="24"/>
                <w:highlight w:val="none"/>
              </w:rPr>
            </w:pPr>
          </w:p>
        </w:tc>
        <w:tc>
          <w:tcPr>
            <w:tcW w:w="1436" w:type="dxa"/>
            <w:vAlign w:val="center"/>
          </w:tcPr>
          <w:p w14:paraId="07C08703">
            <w:pPr>
              <w:spacing w:line="460" w:lineRule="exact"/>
              <w:jc w:val="center"/>
              <w:rPr>
                <w:color w:val="auto"/>
                <w:sz w:val="24"/>
                <w:highlight w:val="none"/>
              </w:rPr>
            </w:pPr>
          </w:p>
        </w:tc>
        <w:tc>
          <w:tcPr>
            <w:tcW w:w="787" w:type="dxa"/>
            <w:vAlign w:val="center"/>
          </w:tcPr>
          <w:p w14:paraId="3078AB7C">
            <w:pPr>
              <w:spacing w:line="460" w:lineRule="exact"/>
              <w:jc w:val="center"/>
              <w:rPr>
                <w:color w:val="auto"/>
                <w:sz w:val="24"/>
                <w:highlight w:val="none"/>
              </w:rPr>
            </w:pPr>
          </w:p>
        </w:tc>
        <w:tc>
          <w:tcPr>
            <w:tcW w:w="875" w:type="dxa"/>
            <w:vAlign w:val="center"/>
          </w:tcPr>
          <w:p w14:paraId="34AAA1BC">
            <w:pPr>
              <w:spacing w:line="460" w:lineRule="exact"/>
              <w:jc w:val="center"/>
              <w:rPr>
                <w:color w:val="auto"/>
                <w:sz w:val="24"/>
                <w:highlight w:val="none"/>
              </w:rPr>
            </w:pPr>
          </w:p>
        </w:tc>
        <w:tc>
          <w:tcPr>
            <w:tcW w:w="1037" w:type="dxa"/>
            <w:vAlign w:val="center"/>
          </w:tcPr>
          <w:p w14:paraId="59910028">
            <w:pPr>
              <w:spacing w:line="460" w:lineRule="exact"/>
              <w:jc w:val="center"/>
              <w:rPr>
                <w:color w:val="auto"/>
                <w:sz w:val="24"/>
                <w:highlight w:val="none"/>
              </w:rPr>
            </w:pPr>
          </w:p>
        </w:tc>
        <w:tc>
          <w:tcPr>
            <w:tcW w:w="888" w:type="dxa"/>
            <w:vAlign w:val="center"/>
          </w:tcPr>
          <w:p w14:paraId="2A40170C">
            <w:pPr>
              <w:spacing w:line="460" w:lineRule="exact"/>
              <w:jc w:val="center"/>
              <w:rPr>
                <w:color w:val="auto"/>
                <w:sz w:val="24"/>
                <w:highlight w:val="none"/>
              </w:rPr>
            </w:pPr>
          </w:p>
        </w:tc>
        <w:tc>
          <w:tcPr>
            <w:tcW w:w="962" w:type="dxa"/>
            <w:vAlign w:val="center"/>
          </w:tcPr>
          <w:p w14:paraId="7502512A">
            <w:pPr>
              <w:spacing w:line="460" w:lineRule="exact"/>
              <w:jc w:val="center"/>
              <w:rPr>
                <w:color w:val="auto"/>
                <w:sz w:val="24"/>
                <w:highlight w:val="none"/>
              </w:rPr>
            </w:pPr>
          </w:p>
        </w:tc>
        <w:tc>
          <w:tcPr>
            <w:tcW w:w="895" w:type="dxa"/>
            <w:vAlign w:val="center"/>
          </w:tcPr>
          <w:p w14:paraId="21395AF5">
            <w:pPr>
              <w:spacing w:line="460" w:lineRule="exact"/>
              <w:jc w:val="center"/>
              <w:rPr>
                <w:color w:val="auto"/>
                <w:sz w:val="24"/>
                <w:highlight w:val="none"/>
              </w:rPr>
            </w:pPr>
          </w:p>
        </w:tc>
      </w:tr>
      <w:tr w14:paraId="435F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5342579D">
            <w:pPr>
              <w:spacing w:line="460" w:lineRule="exact"/>
              <w:jc w:val="center"/>
              <w:rPr>
                <w:color w:val="auto"/>
                <w:sz w:val="24"/>
                <w:highlight w:val="none"/>
              </w:rPr>
            </w:pPr>
          </w:p>
        </w:tc>
        <w:tc>
          <w:tcPr>
            <w:tcW w:w="1436" w:type="dxa"/>
            <w:vAlign w:val="center"/>
          </w:tcPr>
          <w:p w14:paraId="2FB5D3B9">
            <w:pPr>
              <w:spacing w:line="460" w:lineRule="exact"/>
              <w:jc w:val="center"/>
              <w:rPr>
                <w:color w:val="auto"/>
                <w:sz w:val="24"/>
                <w:highlight w:val="none"/>
              </w:rPr>
            </w:pPr>
          </w:p>
        </w:tc>
        <w:tc>
          <w:tcPr>
            <w:tcW w:w="787" w:type="dxa"/>
            <w:vAlign w:val="center"/>
          </w:tcPr>
          <w:p w14:paraId="44F2FAB4">
            <w:pPr>
              <w:spacing w:line="460" w:lineRule="exact"/>
              <w:jc w:val="center"/>
              <w:rPr>
                <w:color w:val="auto"/>
                <w:sz w:val="24"/>
                <w:highlight w:val="none"/>
              </w:rPr>
            </w:pPr>
          </w:p>
        </w:tc>
        <w:tc>
          <w:tcPr>
            <w:tcW w:w="875" w:type="dxa"/>
            <w:vAlign w:val="center"/>
          </w:tcPr>
          <w:p w14:paraId="3E4D2FDB">
            <w:pPr>
              <w:spacing w:line="460" w:lineRule="exact"/>
              <w:jc w:val="center"/>
              <w:rPr>
                <w:color w:val="auto"/>
                <w:sz w:val="24"/>
                <w:highlight w:val="none"/>
              </w:rPr>
            </w:pPr>
          </w:p>
        </w:tc>
        <w:tc>
          <w:tcPr>
            <w:tcW w:w="1037" w:type="dxa"/>
            <w:vAlign w:val="center"/>
          </w:tcPr>
          <w:p w14:paraId="713B506B">
            <w:pPr>
              <w:spacing w:line="460" w:lineRule="exact"/>
              <w:jc w:val="center"/>
              <w:rPr>
                <w:color w:val="auto"/>
                <w:sz w:val="24"/>
                <w:highlight w:val="none"/>
              </w:rPr>
            </w:pPr>
          </w:p>
        </w:tc>
        <w:tc>
          <w:tcPr>
            <w:tcW w:w="888" w:type="dxa"/>
            <w:vAlign w:val="center"/>
          </w:tcPr>
          <w:p w14:paraId="306FDC78">
            <w:pPr>
              <w:spacing w:line="460" w:lineRule="exact"/>
              <w:jc w:val="center"/>
              <w:rPr>
                <w:color w:val="auto"/>
                <w:sz w:val="24"/>
                <w:highlight w:val="none"/>
              </w:rPr>
            </w:pPr>
          </w:p>
        </w:tc>
        <w:tc>
          <w:tcPr>
            <w:tcW w:w="962" w:type="dxa"/>
            <w:vAlign w:val="center"/>
          </w:tcPr>
          <w:p w14:paraId="451D5129">
            <w:pPr>
              <w:spacing w:line="460" w:lineRule="exact"/>
              <w:jc w:val="center"/>
              <w:rPr>
                <w:color w:val="auto"/>
                <w:sz w:val="24"/>
                <w:highlight w:val="none"/>
              </w:rPr>
            </w:pPr>
          </w:p>
        </w:tc>
        <w:tc>
          <w:tcPr>
            <w:tcW w:w="895" w:type="dxa"/>
            <w:vAlign w:val="center"/>
          </w:tcPr>
          <w:p w14:paraId="50419DAA">
            <w:pPr>
              <w:spacing w:line="460" w:lineRule="exact"/>
              <w:jc w:val="center"/>
              <w:rPr>
                <w:color w:val="auto"/>
                <w:sz w:val="24"/>
                <w:highlight w:val="none"/>
              </w:rPr>
            </w:pPr>
          </w:p>
        </w:tc>
      </w:tr>
      <w:tr w14:paraId="0FF0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706F2ACF">
            <w:pPr>
              <w:spacing w:line="460" w:lineRule="exact"/>
              <w:jc w:val="center"/>
              <w:rPr>
                <w:color w:val="auto"/>
                <w:sz w:val="24"/>
                <w:highlight w:val="none"/>
              </w:rPr>
            </w:pPr>
            <w:r>
              <w:rPr>
                <w:color w:val="auto"/>
                <w:sz w:val="24"/>
                <w:highlight w:val="none"/>
              </w:rPr>
              <w:t>…</w:t>
            </w:r>
          </w:p>
        </w:tc>
        <w:tc>
          <w:tcPr>
            <w:tcW w:w="1436" w:type="dxa"/>
            <w:vAlign w:val="center"/>
          </w:tcPr>
          <w:p w14:paraId="7D46B425">
            <w:pPr>
              <w:spacing w:line="460" w:lineRule="exact"/>
              <w:jc w:val="center"/>
              <w:rPr>
                <w:color w:val="auto"/>
                <w:sz w:val="24"/>
                <w:highlight w:val="none"/>
              </w:rPr>
            </w:pPr>
          </w:p>
        </w:tc>
        <w:tc>
          <w:tcPr>
            <w:tcW w:w="787" w:type="dxa"/>
            <w:vAlign w:val="center"/>
          </w:tcPr>
          <w:p w14:paraId="285D2184">
            <w:pPr>
              <w:spacing w:line="460" w:lineRule="exact"/>
              <w:jc w:val="center"/>
              <w:rPr>
                <w:color w:val="auto"/>
                <w:sz w:val="24"/>
                <w:highlight w:val="none"/>
              </w:rPr>
            </w:pPr>
          </w:p>
        </w:tc>
        <w:tc>
          <w:tcPr>
            <w:tcW w:w="875" w:type="dxa"/>
            <w:vAlign w:val="center"/>
          </w:tcPr>
          <w:p w14:paraId="2481931B">
            <w:pPr>
              <w:spacing w:line="460" w:lineRule="exact"/>
              <w:jc w:val="center"/>
              <w:rPr>
                <w:color w:val="auto"/>
                <w:sz w:val="24"/>
                <w:highlight w:val="none"/>
              </w:rPr>
            </w:pPr>
          </w:p>
        </w:tc>
        <w:tc>
          <w:tcPr>
            <w:tcW w:w="1037" w:type="dxa"/>
            <w:vAlign w:val="center"/>
          </w:tcPr>
          <w:p w14:paraId="1C14C5A7">
            <w:pPr>
              <w:spacing w:line="460" w:lineRule="exact"/>
              <w:jc w:val="center"/>
              <w:rPr>
                <w:color w:val="auto"/>
                <w:sz w:val="24"/>
                <w:highlight w:val="none"/>
              </w:rPr>
            </w:pPr>
          </w:p>
        </w:tc>
        <w:tc>
          <w:tcPr>
            <w:tcW w:w="888" w:type="dxa"/>
            <w:vAlign w:val="center"/>
          </w:tcPr>
          <w:p w14:paraId="25F08A20">
            <w:pPr>
              <w:spacing w:line="460" w:lineRule="exact"/>
              <w:jc w:val="center"/>
              <w:rPr>
                <w:color w:val="auto"/>
                <w:sz w:val="24"/>
                <w:highlight w:val="none"/>
              </w:rPr>
            </w:pPr>
          </w:p>
        </w:tc>
        <w:tc>
          <w:tcPr>
            <w:tcW w:w="962" w:type="dxa"/>
            <w:vAlign w:val="center"/>
          </w:tcPr>
          <w:p w14:paraId="73B6BD0C">
            <w:pPr>
              <w:spacing w:line="460" w:lineRule="exact"/>
              <w:jc w:val="center"/>
              <w:rPr>
                <w:color w:val="auto"/>
                <w:sz w:val="24"/>
                <w:highlight w:val="none"/>
              </w:rPr>
            </w:pPr>
          </w:p>
        </w:tc>
        <w:tc>
          <w:tcPr>
            <w:tcW w:w="895" w:type="dxa"/>
            <w:vAlign w:val="center"/>
          </w:tcPr>
          <w:p w14:paraId="0D3E8326">
            <w:pPr>
              <w:spacing w:line="460" w:lineRule="exact"/>
              <w:jc w:val="center"/>
              <w:rPr>
                <w:color w:val="auto"/>
                <w:sz w:val="24"/>
                <w:highlight w:val="none"/>
              </w:rPr>
            </w:pPr>
          </w:p>
        </w:tc>
      </w:tr>
      <w:tr w14:paraId="6FA9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gridSpan w:val="2"/>
            <w:vAlign w:val="center"/>
          </w:tcPr>
          <w:p w14:paraId="3AE32180">
            <w:pPr>
              <w:spacing w:line="460" w:lineRule="exact"/>
              <w:jc w:val="center"/>
              <w:rPr>
                <w:color w:val="auto"/>
                <w:sz w:val="24"/>
                <w:highlight w:val="none"/>
              </w:rPr>
            </w:pPr>
            <w:r>
              <w:rPr>
                <w:rFonts w:hint="eastAsia"/>
                <w:color w:val="auto"/>
                <w:sz w:val="24"/>
                <w:highlight w:val="none"/>
              </w:rPr>
              <w:t>投标总价</w:t>
            </w:r>
            <w:r>
              <w:rPr>
                <w:rFonts w:hint="eastAsia"/>
                <w:color w:val="auto"/>
                <w:sz w:val="24"/>
                <w:highlight w:val="none"/>
                <w:lang w:eastAsia="zh-CN"/>
              </w:rPr>
              <w:t>（万元）</w:t>
            </w:r>
          </w:p>
        </w:tc>
        <w:tc>
          <w:tcPr>
            <w:tcW w:w="5444" w:type="dxa"/>
            <w:gridSpan w:val="6"/>
            <w:vAlign w:val="center"/>
          </w:tcPr>
          <w:p w14:paraId="50E1B21F">
            <w:pPr>
              <w:spacing w:line="460" w:lineRule="exact"/>
              <w:jc w:val="left"/>
              <w:rPr>
                <w:color w:val="auto"/>
                <w:sz w:val="24"/>
                <w:highlight w:val="none"/>
              </w:rPr>
            </w:pPr>
            <w:r>
              <w:rPr>
                <w:rFonts w:hint="eastAsia"/>
                <w:color w:val="auto"/>
                <w:sz w:val="24"/>
                <w:highlight w:val="none"/>
              </w:rPr>
              <w:t xml:space="preserve">小写：        </w:t>
            </w:r>
            <w:r>
              <w:rPr>
                <w:rFonts w:hint="eastAsia"/>
                <w:color w:val="auto"/>
                <w:sz w:val="24"/>
                <w:highlight w:val="none"/>
                <w:lang w:val="en-US" w:eastAsia="zh-CN"/>
              </w:rPr>
              <w:t xml:space="preserve">       </w:t>
            </w:r>
            <w:r>
              <w:rPr>
                <w:rFonts w:hint="eastAsia"/>
                <w:color w:val="auto"/>
                <w:sz w:val="24"/>
                <w:highlight w:val="none"/>
              </w:rPr>
              <w:t xml:space="preserve"> 大写：</w:t>
            </w:r>
          </w:p>
        </w:tc>
      </w:tr>
    </w:tbl>
    <w:p w14:paraId="51593242">
      <w:pPr>
        <w:ind w:left="180"/>
        <w:rPr>
          <w:color w:val="auto"/>
          <w:sz w:val="24"/>
          <w:highlight w:val="none"/>
        </w:rPr>
      </w:pPr>
    </w:p>
    <w:p w14:paraId="46FFF6B9">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sz w:val="24"/>
          <w:szCs w:val="24"/>
          <w:highlight w:val="none"/>
        </w:rPr>
      </w:pPr>
      <w:r>
        <w:rPr>
          <w:color w:val="auto"/>
          <w:sz w:val="24"/>
          <w:szCs w:val="24"/>
          <w:highlight w:val="none"/>
        </w:rPr>
        <w:t xml:space="preserve">注：1.  </w:t>
      </w:r>
      <w:r>
        <w:rPr>
          <w:rFonts w:hint="eastAsia"/>
          <w:color w:val="auto"/>
          <w:sz w:val="24"/>
          <w:szCs w:val="24"/>
          <w:highlight w:val="none"/>
        </w:rPr>
        <w:t>报价明细</w:t>
      </w:r>
      <w:r>
        <w:rPr>
          <w:color w:val="auto"/>
          <w:sz w:val="24"/>
          <w:szCs w:val="24"/>
          <w:highlight w:val="none"/>
        </w:rPr>
        <w:t>表中应列明开标一览表中每项的分项内容。</w:t>
      </w:r>
    </w:p>
    <w:p w14:paraId="6F580DD9">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sz w:val="24"/>
          <w:szCs w:val="24"/>
          <w:highlight w:val="none"/>
        </w:rPr>
      </w:pPr>
      <w:r>
        <w:rPr>
          <w:rFonts w:hint="eastAsia"/>
          <w:color w:val="auto"/>
          <w:sz w:val="24"/>
          <w:szCs w:val="24"/>
          <w:highlight w:val="none"/>
        </w:rPr>
        <w:t xml:space="preserve">    2. 如国产产品，产地精确到省级行政区域。如进口产品，产地精确到国家。</w:t>
      </w:r>
    </w:p>
    <w:p w14:paraId="733FEE34">
      <w:pPr>
        <w:spacing w:line="360" w:lineRule="auto"/>
        <w:ind w:left="181"/>
        <w:rPr>
          <w:rFonts w:hAnsi="宋体"/>
          <w:color w:val="auto"/>
          <w:sz w:val="24"/>
          <w:szCs w:val="24"/>
          <w:highlight w:val="none"/>
        </w:rPr>
      </w:pPr>
      <w:r>
        <w:rPr>
          <w:rFonts w:hint="eastAsia"/>
          <w:color w:val="auto"/>
          <w:sz w:val="24"/>
          <w:szCs w:val="24"/>
          <w:highlight w:val="none"/>
        </w:rPr>
        <w:t xml:space="preserve">  </w:t>
      </w:r>
    </w:p>
    <w:p w14:paraId="743898E4">
      <w:pPr>
        <w:adjustRightInd w:val="0"/>
        <w:spacing w:line="360" w:lineRule="auto"/>
        <w:jc w:val="left"/>
        <w:rPr>
          <w:rFonts w:hAnsi="宋体"/>
          <w:color w:val="auto"/>
          <w:sz w:val="24"/>
          <w:szCs w:val="24"/>
          <w:highlight w:val="none"/>
        </w:rPr>
      </w:pPr>
      <w:r>
        <w:rPr>
          <w:rFonts w:hint="eastAsia" w:hAnsi="宋体"/>
          <w:color w:val="auto"/>
          <w:sz w:val="24"/>
          <w:szCs w:val="24"/>
          <w:highlight w:val="none"/>
        </w:rPr>
        <w:t xml:space="preserve"> 投标人（公章）：        </w:t>
      </w:r>
    </w:p>
    <w:p w14:paraId="07DCECE5">
      <w:pPr>
        <w:adjustRightInd w:val="0"/>
        <w:spacing w:line="360" w:lineRule="auto"/>
        <w:jc w:val="left"/>
        <w:rPr>
          <w:rFonts w:hAnsi="宋体"/>
          <w:color w:val="auto"/>
          <w:sz w:val="24"/>
          <w:szCs w:val="24"/>
          <w:highlight w:val="none"/>
        </w:rPr>
      </w:pPr>
      <w:r>
        <w:rPr>
          <w:rFonts w:hint="eastAsia" w:hAnsi="宋体"/>
          <w:color w:val="auto"/>
          <w:sz w:val="24"/>
          <w:szCs w:val="24"/>
          <w:highlight w:val="none"/>
        </w:rPr>
        <w:t xml:space="preserve"> 法定代表人或</w:t>
      </w:r>
      <w:r>
        <w:rPr>
          <w:rFonts w:hint="eastAsia" w:hAnsi="宋体"/>
          <w:color w:val="auto"/>
          <w:sz w:val="24"/>
          <w:szCs w:val="24"/>
          <w:highlight w:val="none"/>
          <w:lang w:eastAsia="zh-CN"/>
        </w:rPr>
        <w:t>授权代表</w:t>
      </w:r>
      <w:r>
        <w:rPr>
          <w:rFonts w:hint="eastAsia" w:hAnsi="宋体"/>
          <w:color w:val="auto"/>
          <w:sz w:val="24"/>
          <w:szCs w:val="24"/>
          <w:highlight w:val="none"/>
        </w:rPr>
        <w:t>（签字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76861C00">
      <w:pPr>
        <w:spacing w:line="360" w:lineRule="auto"/>
        <w:jc w:val="left"/>
        <w:rPr>
          <w:rFonts w:hAnsi="宋体"/>
          <w:color w:val="auto"/>
          <w:sz w:val="24"/>
          <w:szCs w:val="24"/>
          <w:highlight w:val="none"/>
        </w:rPr>
      </w:pPr>
      <w:r>
        <w:rPr>
          <w:rFonts w:hint="eastAsia" w:hAnsi="宋体"/>
          <w:color w:val="auto"/>
          <w:sz w:val="24"/>
          <w:szCs w:val="24"/>
          <w:highlight w:val="none"/>
        </w:rPr>
        <w:t xml:space="preserve"> 日  期：年</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14:paraId="26361788">
      <w:pPr>
        <w:pStyle w:val="5"/>
        <w:pageBreakBefore/>
        <w:adjustRightInd/>
        <w:spacing w:before="0" w:after="0" w:line="360" w:lineRule="auto"/>
        <w:jc w:val="center"/>
        <w:textAlignment w:val="auto"/>
        <w:outlineLvl w:val="1"/>
        <w:rPr>
          <w:rFonts w:ascii="宋体"/>
          <w:b w:val="0"/>
          <w:bCs w:val="0"/>
          <w:kern w:val="2"/>
          <w:sz w:val="28"/>
          <w:szCs w:val="28"/>
        </w:rPr>
      </w:pPr>
      <w:bookmarkStart w:id="110" w:name="_Toc12979"/>
      <w:r>
        <w:rPr>
          <w:rFonts w:hint="eastAsia" w:ascii="宋体" w:hAnsi="宋体" w:cs="宋体"/>
          <w:b w:val="0"/>
          <w:bCs w:val="0"/>
          <w:kern w:val="2"/>
          <w:sz w:val="28"/>
          <w:szCs w:val="28"/>
          <w:lang w:val="en-US" w:eastAsia="zh-CN"/>
        </w:rPr>
        <w:t>五</w:t>
      </w:r>
      <w:r>
        <w:rPr>
          <w:rFonts w:hint="eastAsia" w:ascii="宋体" w:hAnsi="宋体" w:cs="宋体"/>
          <w:b w:val="0"/>
          <w:bCs w:val="0"/>
          <w:kern w:val="2"/>
          <w:sz w:val="28"/>
          <w:szCs w:val="28"/>
        </w:rPr>
        <w:t>、投标人资格证明文件</w:t>
      </w:r>
      <w:bookmarkEnd w:id="107"/>
      <w:bookmarkEnd w:id="108"/>
      <w:bookmarkEnd w:id="109"/>
      <w:bookmarkEnd w:id="110"/>
    </w:p>
    <w:p w14:paraId="76D28E87">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hAnsi="宋体" w:eastAsia="宋体"/>
          <w:b/>
          <w:color w:val="auto"/>
          <w:sz w:val="24"/>
          <w:szCs w:val="24"/>
          <w:highlight w:val="none"/>
          <w:lang w:val="en-US" w:eastAsia="zh-CN"/>
        </w:rPr>
      </w:pPr>
      <w:r>
        <w:rPr>
          <w:rFonts w:hint="eastAsia" w:hAnsi="宋体"/>
          <w:b/>
          <w:color w:val="auto"/>
          <w:sz w:val="24"/>
          <w:szCs w:val="24"/>
          <w:highlight w:val="none"/>
        </w:rPr>
        <w:t>一、投标人有效的营业执照，或事业单位法人证书，或自然人身份证明，或其他非企业组织证明独立承担民事责任能力的文件</w:t>
      </w:r>
      <w:r>
        <w:rPr>
          <w:rFonts w:hint="eastAsia" w:hAnsi="宋体"/>
          <w:b/>
          <w:color w:val="auto"/>
          <w:sz w:val="24"/>
          <w:szCs w:val="24"/>
          <w:highlight w:val="none"/>
          <w:lang w:eastAsia="zh-CN"/>
        </w:rPr>
        <w:t>彩色</w:t>
      </w:r>
      <w:r>
        <w:rPr>
          <w:rFonts w:hint="eastAsia" w:hAnsi="宋体"/>
          <w:b/>
          <w:color w:val="auto"/>
          <w:sz w:val="24"/>
          <w:szCs w:val="24"/>
          <w:highlight w:val="none"/>
        </w:rPr>
        <w:t>扫描件</w:t>
      </w:r>
      <w:r>
        <w:rPr>
          <w:rFonts w:hint="eastAsia" w:hAnsi="宋体"/>
          <w:b/>
          <w:color w:val="auto"/>
          <w:sz w:val="24"/>
          <w:szCs w:val="24"/>
          <w:highlight w:val="none"/>
          <w:lang w:eastAsia="zh-CN"/>
        </w:rPr>
        <w:t>。</w:t>
      </w:r>
    </w:p>
    <w:p w14:paraId="15BAFBFE">
      <w:pPr>
        <w:keepNext w:val="0"/>
        <w:keepLines w:val="0"/>
        <w:pageBreakBefore w:val="0"/>
        <w:widowControl w:val="0"/>
        <w:kinsoku/>
        <w:wordWrap/>
        <w:overflowPunct/>
        <w:topLinePunct w:val="0"/>
        <w:bidi w:val="0"/>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二、投标人提供投标截止日前18个月内经第三方审计的财务报告原件扫描件，或银行出具的资信证明扫描件。（以出报告日期为准）</w:t>
      </w:r>
    </w:p>
    <w:p w14:paraId="4FD46E59">
      <w:pPr>
        <w:keepNext w:val="0"/>
        <w:keepLines w:val="0"/>
        <w:pageBreakBefore w:val="0"/>
        <w:widowControl w:val="0"/>
        <w:kinsoku/>
        <w:wordWrap/>
        <w:overflowPunct/>
        <w:topLinePunct w:val="0"/>
        <w:bidi w:val="0"/>
        <w:snapToGrid/>
        <w:spacing w:line="360" w:lineRule="auto"/>
        <w:textAlignment w:val="auto"/>
        <w:rPr>
          <w:rFonts w:hint="eastAsia" w:hAnsi="宋体" w:eastAsia="宋体"/>
          <w:b/>
          <w:color w:val="auto"/>
          <w:sz w:val="24"/>
          <w:szCs w:val="24"/>
          <w:highlight w:val="none"/>
          <w:lang w:val="en-US" w:eastAsia="zh-CN"/>
        </w:rPr>
      </w:pPr>
      <w:r>
        <w:rPr>
          <w:rFonts w:hint="eastAsia" w:hAnsi="宋体"/>
          <w:b/>
          <w:color w:val="auto"/>
          <w:sz w:val="24"/>
          <w:szCs w:val="24"/>
          <w:highlight w:val="none"/>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三、投标人需提供投标截止日前缴纳的</w:t>
      </w:r>
      <w:r>
        <w:rPr>
          <w:rFonts w:hint="eastAsia" w:hAnsi="宋体"/>
          <w:b/>
          <w:color w:val="auto"/>
          <w:sz w:val="24"/>
          <w:szCs w:val="24"/>
          <w:highlight w:val="none"/>
          <w:lang w:val="en-US" w:eastAsia="zh-CN"/>
        </w:rPr>
        <w:t>6个月内</w:t>
      </w:r>
      <w:r>
        <w:rPr>
          <w:rFonts w:hint="eastAsia" w:hAnsi="宋体"/>
          <w:b/>
          <w:color w:val="auto"/>
          <w:sz w:val="24"/>
          <w:szCs w:val="24"/>
          <w:highlight w:val="none"/>
        </w:rPr>
        <w:t>任意一个月的增值税或企业所得税的凭据，依法免税的投标人，应提供相应的证明文件扫描件</w:t>
      </w:r>
      <w:r>
        <w:rPr>
          <w:rFonts w:hint="eastAsia" w:hAnsi="宋体"/>
          <w:b/>
          <w:color w:val="auto"/>
          <w:sz w:val="24"/>
          <w:szCs w:val="24"/>
          <w:highlight w:val="none"/>
          <w:lang w:val="en-US" w:eastAsia="zh-CN"/>
        </w:rPr>
        <w:t>。</w:t>
      </w:r>
    </w:p>
    <w:p w14:paraId="2EA42271">
      <w:pPr>
        <w:keepNext w:val="0"/>
        <w:keepLines w:val="0"/>
        <w:pageBreakBefore w:val="0"/>
        <w:widowControl w:val="0"/>
        <w:kinsoku/>
        <w:wordWrap/>
        <w:overflowPunct/>
        <w:topLinePunct w:val="0"/>
        <w:bidi w:val="0"/>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四、社会保障资金缴纳记录（投标人逐月缴纳社会保障资金的，须提供投标截止日</w:t>
      </w:r>
      <w:r>
        <w:rPr>
          <w:rFonts w:hint="eastAsia" w:hAnsi="宋体"/>
          <w:b/>
          <w:bCs w:val="0"/>
          <w:color w:val="auto"/>
          <w:sz w:val="24"/>
          <w:szCs w:val="24"/>
          <w:highlight w:val="none"/>
        </w:rPr>
        <w:t>前</w:t>
      </w:r>
      <w:r>
        <w:rPr>
          <w:rFonts w:hint="eastAsia" w:hAnsi="宋体"/>
          <w:b/>
          <w:bCs w:val="0"/>
          <w:color w:val="auto"/>
          <w:sz w:val="24"/>
          <w:szCs w:val="24"/>
          <w:highlight w:val="none"/>
          <w:lang w:val="en-US" w:eastAsia="zh-CN"/>
        </w:rPr>
        <w:t>6个月内</w:t>
      </w:r>
      <w:r>
        <w:rPr>
          <w:rFonts w:hint="eastAsia" w:hAnsi="宋体"/>
          <w:b/>
          <w:bCs w:val="0"/>
          <w:color w:val="auto"/>
          <w:sz w:val="24"/>
          <w:szCs w:val="24"/>
          <w:highlight w:val="none"/>
        </w:rPr>
        <w:t>至</w:t>
      </w:r>
      <w:r>
        <w:rPr>
          <w:rFonts w:hint="eastAsia" w:hAnsi="宋体"/>
          <w:b/>
          <w:color w:val="auto"/>
          <w:sz w:val="24"/>
          <w:szCs w:val="24"/>
          <w:highlight w:val="none"/>
        </w:rPr>
        <w:t>少一个月的缴纳社会保障资金的入账票据凭证扫描件）。</w:t>
      </w:r>
    </w:p>
    <w:p w14:paraId="753670E3">
      <w:pPr>
        <w:pStyle w:val="111"/>
        <w:keepNext w:val="0"/>
        <w:keepLines w:val="0"/>
        <w:pageBreakBefore w:val="0"/>
        <w:widowControl w:val="0"/>
        <w:kinsoku/>
        <w:wordWrap/>
        <w:overflowPunct/>
        <w:topLinePunct w:val="0"/>
        <w:bidi w:val="0"/>
        <w:snapToGrid/>
        <w:spacing w:line="360" w:lineRule="auto"/>
        <w:ind w:firstLine="482" w:firstLineChars="200"/>
        <w:jc w:val="both"/>
        <w:textAlignment w:val="auto"/>
        <w:rPr>
          <w:rFonts w:ascii="Times New Roman" w:hAnsi="Times New Roman" w:eastAsia="宋体" w:cs="Times New Roman"/>
          <w:color w:val="auto"/>
          <w:highlight w:val="none"/>
        </w:rPr>
      </w:pPr>
      <w:r>
        <w:rPr>
          <w:rFonts w:hint="eastAsia" w:ascii="宋体" w:hAnsi="宋体" w:eastAsia="宋体" w:cs="Times New Roman"/>
          <w:b/>
          <w:color w:val="auto"/>
          <w:sz w:val="24"/>
          <w:szCs w:val="24"/>
          <w:highlight w:val="none"/>
          <w:lang w:val="en-US" w:eastAsia="zh-CN" w:bidi="ar-SA"/>
        </w:rPr>
        <w:t>五、参加政府采购活动前3年内在经营活动中没有重大违法记录的书面声明（原件彩色扫描件）。</w:t>
      </w:r>
      <w:r>
        <w:rPr>
          <w:rFonts w:hint="eastAsia" w:ascii="宋体" w:hAnsi="宋体"/>
          <w:b/>
          <w:color w:val="auto"/>
          <w:highlight w:val="none"/>
        </w:rPr>
        <w:t>（</w:t>
      </w:r>
      <w:r>
        <w:rPr>
          <w:rFonts w:hint="eastAsia" w:ascii="Times New Roman" w:hAnsi="Times New Roman" w:eastAsia="宋体" w:cs="Times New Roman"/>
          <w:color w:val="auto"/>
          <w:highlight w:val="none"/>
        </w:rPr>
        <w:t>截至开标日成立不足3年的供应商可提供自成立以来无重大违法记录的书面声明）。</w:t>
      </w:r>
    </w:p>
    <w:p w14:paraId="552D1911">
      <w:pPr>
        <w:ind w:firstLine="179"/>
        <w:jc w:val="center"/>
        <w:rPr>
          <w:rFonts w:hAnsi="宋体"/>
          <w:bCs/>
          <w:color w:val="auto"/>
          <w:sz w:val="24"/>
          <w:szCs w:val="24"/>
          <w:highlight w:val="none"/>
        </w:rPr>
      </w:pPr>
    </w:p>
    <w:p w14:paraId="7C3757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jc w:val="center"/>
        <w:textAlignment w:val="auto"/>
        <w:outlineLvl w:val="9"/>
        <w:rPr>
          <w:rFonts w:hint="eastAsia" w:hAnsi="宋体"/>
          <w:bCs/>
          <w:color w:val="auto"/>
          <w:sz w:val="24"/>
          <w:szCs w:val="24"/>
          <w:highlight w:val="none"/>
        </w:rPr>
      </w:pPr>
      <w:r>
        <w:rPr>
          <w:rFonts w:hint="eastAsia" w:hAnsi="宋体"/>
          <w:bCs/>
          <w:color w:val="auto"/>
          <w:sz w:val="24"/>
          <w:szCs w:val="24"/>
          <w:highlight w:val="none"/>
        </w:rPr>
        <w:t>无</w:t>
      </w:r>
      <w:r>
        <w:rPr>
          <w:rFonts w:hint="eastAsia" w:hAnsi="宋体"/>
          <w:bCs/>
          <w:color w:val="auto"/>
          <w:sz w:val="24"/>
          <w:szCs w:val="24"/>
          <w:highlight w:val="none"/>
          <w:lang w:eastAsia="zh-CN"/>
        </w:rPr>
        <w:t>重大</w:t>
      </w:r>
      <w:r>
        <w:rPr>
          <w:rFonts w:hint="eastAsia" w:hAnsi="宋体"/>
          <w:bCs/>
          <w:color w:val="auto"/>
          <w:sz w:val="24"/>
          <w:szCs w:val="24"/>
          <w:highlight w:val="none"/>
        </w:rPr>
        <w:t>违法记录声明（格式）</w:t>
      </w:r>
    </w:p>
    <w:p w14:paraId="383C74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Ansi="宋体"/>
          <w:bCs/>
          <w:color w:val="auto"/>
          <w:sz w:val="24"/>
          <w:szCs w:val="24"/>
          <w:highlight w:val="none"/>
        </w:rPr>
      </w:pP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lang w:val="en-US" w:eastAsia="zh-CN"/>
        </w:rPr>
        <w:t>（采购人名称）</w:t>
      </w:r>
      <w:r>
        <w:rPr>
          <w:rFonts w:hint="eastAsia" w:hAnsi="宋体"/>
          <w:bCs/>
          <w:color w:val="auto"/>
          <w:sz w:val="24"/>
          <w:szCs w:val="24"/>
          <w:highlight w:val="none"/>
        </w:rPr>
        <w:t>：</w:t>
      </w:r>
    </w:p>
    <w:p w14:paraId="4CA567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本投标人现参与</w:t>
      </w:r>
      <w:r>
        <w:rPr>
          <w:rFonts w:hint="default" w:hAnsi="宋体"/>
          <w:bCs/>
          <w:color w:val="auto"/>
          <w:sz w:val="24"/>
          <w:szCs w:val="24"/>
          <w:highlight w:val="none"/>
          <w:u w:val="single"/>
          <w:lang w:val="en"/>
        </w:rPr>
        <w:t xml:space="preserve">                 </w:t>
      </w:r>
      <w:r>
        <w:rPr>
          <w:rFonts w:hint="eastAsia" w:hAnsi="宋体"/>
          <w:bCs/>
          <w:color w:val="auto"/>
          <w:sz w:val="24"/>
          <w:szCs w:val="24"/>
          <w:highlight w:val="none"/>
        </w:rPr>
        <w:t>项目（招标文件编号：</w:t>
      </w:r>
      <w:r>
        <w:rPr>
          <w:rFonts w:hint="default" w:hAnsi="宋体"/>
          <w:bCs/>
          <w:color w:val="auto"/>
          <w:sz w:val="24"/>
          <w:szCs w:val="24"/>
          <w:highlight w:val="none"/>
          <w:u w:val="single"/>
          <w:lang w:val="en"/>
        </w:rPr>
        <w:t xml:space="preserve">       </w:t>
      </w:r>
      <w:r>
        <w:rPr>
          <w:rFonts w:hint="eastAsia" w:hAnsi="宋体"/>
          <w:bCs/>
          <w:color w:val="auto"/>
          <w:sz w:val="24"/>
          <w:szCs w:val="24"/>
          <w:highlight w:val="none"/>
        </w:rPr>
        <w:t>）的采购活动，在参加本次政府采购活动前三年内，在经营活动中没有重大违法记录。</w:t>
      </w:r>
    </w:p>
    <w:p w14:paraId="558A19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如上述声明不真实，愿意按照政府采购有关法律法规的规定接受处罚。</w:t>
      </w:r>
    </w:p>
    <w:p w14:paraId="2668EC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特此声明。</w:t>
      </w:r>
    </w:p>
    <w:p w14:paraId="44295393">
      <w:pPr>
        <w:ind w:firstLine="179"/>
        <w:rPr>
          <w:rFonts w:hAnsi="宋体"/>
          <w:bCs/>
          <w:color w:val="auto"/>
          <w:sz w:val="24"/>
          <w:szCs w:val="24"/>
          <w:highlight w:val="none"/>
          <w:u w:val="single"/>
        </w:rPr>
      </w:pP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投标人（</w:t>
      </w:r>
      <w:r>
        <w:rPr>
          <w:rFonts w:hint="eastAsia" w:hAnsi="宋体"/>
          <w:bCs/>
          <w:color w:val="auto"/>
          <w:sz w:val="24"/>
          <w:szCs w:val="24"/>
          <w:highlight w:val="none"/>
          <w:lang w:eastAsia="zh-CN"/>
        </w:rPr>
        <w:t>公</w:t>
      </w:r>
      <w:r>
        <w:rPr>
          <w:rFonts w:hint="eastAsia" w:hAnsi="宋体"/>
          <w:bCs/>
          <w:color w:val="auto"/>
          <w:sz w:val="24"/>
          <w:szCs w:val="24"/>
          <w:highlight w:val="none"/>
        </w:rPr>
        <w:t>章）：</w:t>
      </w:r>
    </w:p>
    <w:p w14:paraId="47B52D31">
      <w:pPr>
        <w:ind w:firstLine="179"/>
        <w:rPr>
          <w:rFonts w:hAnsi="宋体"/>
          <w:bCs/>
          <w:color w:val="auto"/>
          <w:sz w:val="24"/>
          <w:szCs w:val="24"/>
          <w:highlight w:val="none"/>
        </w:rPr>
      </w:pPr>
      <w:r>
        <w:rPr>
          <w:rFonts w:hint="eastAsia" w:hAnsi="宋体"/>
          <w:bCs/>
          <w:color w:val="auto"/>
          <w:sz w:val="24"/>
          <w:szCs w:val="24"/>
          <w:highlight w:val="none"/>
        </w:rPr>
        <w:t xml:space="preserve">  </w:t>
      </w: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年     月     日</w:t>
      </w:r>
    </w:p>
    <w:p w14:paraId="688CFD49">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w:t>
      </w:r>
      <w:r>
        <w:rPr>
          <w:rFonts w:hint="default" w:hAnsi="宋体"/>
          <w:b/>
          <w:color w:val="auto"/>
          <w:sz w:val="24"/>
          <w:szCs w:val="24"/>
          <w:highlight w:val="none"/>
          <w:lang w:val="en"/>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六、信用记录：供应商未被列入“信用中国”网站(www.creditchina.gov.cn)记录失信被执行人或重大税收违法案件当事人名单；不处于中国政府采购网(www.ccgp.gov.cn)政府采购严重违法失信行为记录名单中的禁止参加政府采购活动期间的方可参加本项目的投标。投标截止日当天，由资格审查小组根据以上要求对各供应商信用记录进行查询，有以上行为的视为无效投标。（投标人无需在其资格证明文件中提供信用记录的查询结果）</w:t>
      </w:r>
    </w:p>
    <w:p w14:paraId="6554692C">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七、法定代表人身份证明（原件</w:t>
      </w:r>
      <w:r>
        <w:rPr>
          <w:rFonts w:hint="eastAsia" w:hAnsi="宋体"/>
          <w:b/>
          <w:color w:val="auto"/>
          <w:sz w:val="24"/>
          <w:szCs w:val="24"/>
          <w:highlight w:val="none"/>
          <w:lang w:eastAsia="zh-CN"/>
        </w:rPr>
        <w:t>彩色</w:t>
      </w:r>
      <w:r>
        <w:rPr>
          <w:rFonts w:hint="eastAsia" w:hAnsi="宋体"/>
          <w:b/>
          <w:color w:val="auto"/>
          <w:sz w:val="24"/>
          <w:szCs w:val="24"/>
          <w:highlight w:val="none"/>
        </w:rPr>
        <w:t>扫描件）或法定代表人授权书（原件</w:t>
      </w:r>
      <w:r>
        <w:rPr>
          <w:rFonts w:hint="eastAsia" w:hAnsi="宋体"/>
          <w:b/>
          <w:color w:val="auto"/>
          <w:sz w:val="24"/>
          <w:szCs w:val="24"/>
          <w:highlight w:val="none"/>
          <w:lang w:eastAsia="zh-CN"/>
        </w:rPr>
        <w:t>彩色</w:t>
      </w:r>
      <w:r>
        <w:rPr>
          <w:rFonts w:hint="eastAsia" w:hAnsi="宋体"/>
          <w:b/>
          <w:color w:val="auto"/>
          <w:sz w:val="24"/>
          <w:szCs w:val="24"/>
          <w:highlight w:val="none"/>
        </w:rPr>
        <w:t>扫描件）</w:t>
      </w:r>
    </w:p>
    <w:p w14:paraId="1291B44E">
      <w:pPr>
        <w:spacing w:line="360" w:lineRule="auto"/>
        <w:jc w:val="center"/>
        <w:rPr>
          <w:rFonts w:hint="eastAsia" w:hAnsi="宋体"/>
          <w:b/>
          <w:color w:val="auto"/>
          <w:sz w:val="24"/>
          <w:szCs w:val="24"/>
          <w:highlight w:val="none"/>
        </w:rPr>
      </w:pPr>
    </w:p>
    <w:p w14:paraId="620C0952">
      <w:pPr>
        <w:keepNext w:val="0"/>
        <w:keepLines w:val="0"/>
        <w:pageBreakBefore w:val="0"/>
        <w:widowControl w:val="0"/>
        <w:kinsoku/>
        <w:wordWrap/>
        <w:overflowPunct/>
        <w:topLinePunct w:val="0"/>
        <w:bidi w:val="0"/>
        <w:spacing w:line="360" w:lineRule="auto"/>
        <w:jc w:val="center"/>
        <w:textAlignment w:val="auto"/>
        <w:rPr>
          <w:rFonts w:hAnsi="宋体"/>
          <w:b/>
          <w:color w:val="auto"/>
          <w:sz w:val="24"/>
          <w:szCs w:val="24"/>
          <w:highlight w:val="none"/>
        </w:rPr>
      </w:pPr>
      <w:r>
        <w:rPr>
          <w:rFonts w:hint="eastAsia" w:hAnsi="宋体"/>
          <w:b/>
          <w:color w:val="auto"/>
          <w:sz w:val="24"/>
          <w:szCs w:val="24"/>
          <w:highlight w:val="none"/>
        </w:rPr>
        <w:t>法定代表人身份证明(法定代表人参加投标)</w:t>
      </w:r>
    </w:p>
    <w:p w14:paraId="58BFA47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olor w:val="auto"/>
          <w:sz w:val="24"/>
          <w:szCs w:val="24"/>
          <w:highlight w:val="none"/>
        </w:rPr>
        <w:t>投标人</w:t>
      </w:r>
      <w:r>
        <w:rPr>
          <w:rFonts w:hint="eastAsia" w:hAnsi="宋体" w:cs="宋体"/>
          <w:color w:val="auto"/>
          <w:sz w:val="24"/>
          <w:szCs w:val="24"/>
          <w:highlight w:val="none"/>
        </w:rPr>
        <w:t>名称：</w:t>
      </w:r>
    </w:p>
    <w:p w14:paraId="13A2514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注册号：</w:t>
      </w:r>
    </w:p>
    <w:p w14:paraId="2F77A8B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注册地址：</w:t>
      </w:r>
    </w:p>
    <w:p w14:paraId="388E406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成立时间： 年 月 日</w:t>
      </w:r>
    </w:p>
    <w:p w14:paraId="62D7CA2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u w:val="single"/>
        </w:rPr>
      </w:pPr>
      <w:r>
        <w:rPr>
          <w:rFonts w:hint="eastAsia" w:hAnsi="宋体" w:cs="宋体"/>
          <w:color w:val="auto"/>
          <w:sz w:val="24"/>
          <w:szCs w:val="24"/>
          <w:highlight w:val="none"/>
        </w:rPr>
        <w:t>经营期限：</w:t>
      </w:r>
    </w:p>
    <w:p w14:paraId="16CAA05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u w:val="single"/>
        </w:rPr>
      </w:pPr>
      <w:r>
        <w:rPr>
          <w:rFonts w:hint="eastAsia" w:hAnsi="宋体" w:cs="宋体"/>
          <w:color w:val="auto"/>
          <w:sz w:val="24"/>
          <w:szCs w:val="24"/>
          <w:highlight w:val="none"/>
        </w:rPr>
        <w:t>经营范围：</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主营：</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；兼营：</w:t>
      </w:r>
      <w:r>
        <w:rPr>
          <w:rFonts w:hint="eastAsia" w:hAnsi="宋体" w:cs="宋体"/>
          <w:color w:val="auto"/>
          <w:sz w:val="24"/>
          <w:szCs w:val="24"/>
          <w:highlight w:val="none"/>
          <w:u w:val="single"/>
          <w:lang w:val="en-US" w:eastAsia="zh-CN"/>
        </w:rPr>
        <w:t xml:space="preserve">          </w:t>
      </w:r>
    </w:p>
    <w:p w14:paraId="28CA98D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性别：</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系</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w:t>
      </w:r>
      <w:r>
        <w:rPr>
          <w:rFonts w:hint="eastAsia" w:hAnsi="宋体"/>
          <w:color w:val="auto"/>
          <w:sz w:val="24"/>
          <w:szCs w:val="24"/>
          <w:highlight w:val="none"/>
        </w:rPr>
        <w:t>投标人</w:t>
      </w:r>
      <w:r>
        <w:rPr>
          <w:rFonts w:hint="eastAsia" w:hAnsi="宋体" w:cs="宋体"/>
          <w:color w:val="auto"/>
          <w:sz w:val="24"/>
          <w:szCs w:val="24"/>
          <w:highlight w:val="none"/>
        </w:rPr>
        <w:t>名称）的法定代表人。</w:t>
      </w:r>
    </w:p>
    <w:p w14:paraId="1E46C1BD">
      <w:pPr>
        <w:keepNext w:val="0"/>
        <w:keepLines w:val="0"/>
        <w:pageBreakBefore w:val="0"/>
        <w:widowControl w:val="0"/>
        <w:kinsoku/>
        <w:wordWrap/>
        <w:overflowPunct/>
        <w:topLinePunct w:val="0"/>
        <w:autoSpaceDE w:val="0"/>
        <w:autoSpaceDN w:val="0"/>
        <w:bidi w:val="0"/>
        <w:adjustRightInd w:val="0"/>
        <w:snapToGrid w:val="0"/>
        <w:spacing w:line="360" w:lineRule="auto"/>
        <w:ind w:firstLine="360" w:firstLineChars="150"/>
        <w:jc w:val="left"/>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特此证明</w:t>
      </w:r>
    </w:p>
    <w:p w14:paraId="35346876">
      <w:pPr>
        <w:autoSpaceDE w:val="0"/>
        <w:autoSpaceDN w:val="0"/>
        <w:adjustRightInd w:val="0"/>
        <w:snapToGrid w:val="0"/>
        <w:spacing w:line="360" w:lineRule="auto"/>
        <w:ind w:firstLine="480" w:firstLineChars="200"/>
        <w:jc w:val="left"/>
        <w:rPr>
          <w:rFonts w:hint="eastAsia" w:hAnsi="宋体"/>
          <w:color w:val="auto"/>
          <w:sz w:val="24"/>
          <w:szCs w:val="24"/>
          <w:highlight w:val="none"/>
          <w:lang w:eastAsia="zh-CN"/>
        </w:rPr>
      </w:pPr>
    </w:p>
    <w:p w14:paraId="74D23D51">
      <w:pPr>
        <w:autoSpaceDE w:val="0"/>
        <w:autoSpaceDN w:val="0"/>
        <w:adjustRightInd w:val="0"/>
        <w:snapToGrid w:val="0"/>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lang w:eastAsia="zh-CN"/>
        </w:rPr>
        <w:t>附件：</w:t>
      </w:r>
      <w:r>
        <w:rPr>
          <w:rFonts w:hint="eastAsia" w:hAnsi="宋体"/>
          <w:color w:val="auto"/>
          <w:sz w:val="24"/>
          <w:szCs w:val="24"/>
          <w:highlight w:val="none"/>
        </w:rPr>
        <w:t>法定代表人身份证</w:t>
      </w:r>
      <w:r>
        <w:rPr>
          <w:rFonts w:hint="eastAsia" w:hAnsi="宋体"/>
          <w:color w:val="auto"/>
          <w:sz w:val="24"/>
          <w:szCs w:val="24"/>
          <w:highlight w:val="none"/>
          <w:lang w:eastAsia="zh-CN"/>
        </w:rPr>
        <w:t>原件</w:t>
      </w:r>
      <w:r>
        <w:rPr>
          <w:rFonts w:hint="eastAsia" w:hAnsi="宋体"/>
          <w:color w:val="auto"/>
          <w:sz w:val="24"/>
          <w:szCs w:val="24"/>
          <w:highlight w:val="none"/>
        </w:rPr>
        <w:t>（正</w:t>
      </w:r>
      <w:r>
        <w:rPr>
          <w:rFonts w:hint="eastAsia" w:hAnsi="宋体"/>
          <w:color w:val="auto"/>
          <w:sz w:val="24"/>
          <w:szCs w:val="24"/>
          <w:highlight w:val="none"/>
          <w:lang w:eastAsia="zh-CN"/>
        </w:rPr>
        <w:t>、</w:t>
      </w:r>
      <w:r>
        <w:rPr>
          <w:rFonts w:hint="eastAsia" w:hAnsi="宋体"/>
          <w:color w:val="auto"/>
          <w:sz w:val="24"/>
          <w:szCs w:val="24"/>
          <w:highlight w:val="none"/>
        </w:rPr>
        <w:t>反面）</w:t>
      </w:r>
      <w:r>
        <w:rPr>
          <w:rFonts w:hint="eastAsia" w:hAnsi="宋体"/>
          <w:color w:val="auto"/>
          <w:sz w:val="24"/>
          <w:szCs w:val="24"/>
          <w:highlight w:val="none"/>
          <w:lang w:eastAsia="zh-CN"/>
        </w:rPr>
        <w:t>彩色扫描件</w:t>
      </w:r>
    </w:p>
    <w:p w14:paraId="16DA3824">
      <w:pPr>
        <w:spacing w:line="360" w:lineRule="auto"/>
        <w:ind w:firstLine="3360" w:firstLineChars="1400"/>
        <w:rPr>
          <w:rFonts w:hint="eastAsia" w:hAnsi="宋体"/>
          <w:color w:val="auto"/>
          <w:sz w:val="24"/>
          <w:szCs w:val="24"/>
          <w:highlight w:val="none"/>
        </w:rPr>
      </w:pPr>
    </w:p>
    <w:p w14:paraId="0232C9D7">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投标人（公章）：</w:t>
      </w:r>
    </w:p>
    <w:p w14:paraId="2D5F0D59">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法定代表人（签字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6AF1A3E8">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日   期：</w:t>
      </w:r>
      <w:r>
        <w:rPr>
          <w:rFonts w:hAnsi="宋体"/>
          <w:color w:val="auto"/>
          <w:sz w:val="24"/>
          <w:szCs w:val="24"/>
          <w:highlight w:val="none"/>
        </w:rPr>
        <w:t>年</w:t>
      </w:r>
      <w:r>
        <w:rPr>
          <w:rFonts w:hint="eastAsia" w:hAnsi="宋体"/>
          <w:color w:val="auto"/>
          <w:sz w:val="24"/>
          <w:szCs w:val="24"/>
          <w:highlight w:val="none"/>
          <w:lang w:val="en-US" w:eastAsia="zh-CN"/>
        </w:rPr>
        <w:t xml:space="preserve"> </w:t>
      </w:r>
      <w:r>
        <w:rPr>
          <w:rFonts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14:paraId="53994A6D">
      <w:pPr>
        <w:spacing w:line="360" w:lineRule="auto"/>
        <w:jc w:val="center"/>
        <w:rPr>
          <w:rFonts w:hAnsi="宋体"/>
          <w:b/>
          <w:color w:val="auto"/>
          <w:sz w:val="24"/>
          <w:szCs w:val="24"/>
          <w:highlight w:val="none"/>
        </w:rPr>
      </w:pPr>
    </w:p>
    <w:p w14:paraId="2E0B8CA7">
      <w:pPr>
        <w:spacing w:line="360" w:lineRule="auto"/>
        <w:jc w:val="center"/>
        <w:rPr>
          <w:rFonts w:hint="eastAsia" w:hAnsi="宋体"/>
          <w:b/>
          <w:color w:val="auto"/>
          <w:sz w:val="24"/>
          <w:szCs w:val="24"/>
          <w:highlight w:val="none"/>
        </w:rPr>
      </w:pPr>
    </w:p>
    <w:p w14:paraId="45352467">
      <w:pPr>
        <w:spacing w:line="360" w:lineRule="auto"/>
        <w:jc w:val="center"/>
        <w:rPr>
          <w:rFonts w:hint="eastAsia" w:hAnsi="宋体"/>
          <w:b/>
          <w:color w:val="auto"/>
          <w:sz w:val="24"/>
          <w:szCs w:val="24"/>
          <w:highlight w:val="none"/>
        </w:rPr>
      </w:pPr>
      <w:r>
        <w:rPr>
          <w:rFonts w:hint="eastAsia" w:hAnsi="宋体"/>
          <w:b/>
          <w:color w:val="auto"/>
          <w:sz w:val="24"/>
          <w:szCs w:val="24"/>
          <w:highlight w:val="none"/>
        </w:rPr>
        <w:t>法定代表人授权书</w:t>
      </w:r>
      <w:r>
        <w:rPr>
          <w:rFonts w:hint="eastAsia" w:hAnsi="宋体"/>
          <w:b/>
          <w:color w:val="auto"/>
          <w:sz w:val="24"/>
          <w:szCs w:val="24"/>
          <w:highlight w:val="none"/>
          <w:lang w:eastAsia="zh-CN"/>
        </w:rPr>
        <w:t>（授权代表</w:t>
      </w:r>
      <w:r>
        <w:rPr>
          <w:rFonts w:hint="eastAsia" w:hAnsi="宋体"/>
          <w:b/>
          <w:color w:val="auto"/>
          <w:sz w:val="24"/>
          <w:szCs w:val="24"/>
          <w:highlight w:val="none"/>
        </w:rPr>
        <w:t>参加投标</w:t>
      </w:r>
      <w:r>
        <w:rPr>
          <w:rFonts w:hint="eastAsia" w:hAnsi="宋体"/>
          <w:b/>
          <w:color w:val="auto"/>
          <w:sz w:val="24"/>
          <w:szCs w:val="24"/>
          <w:highlight w:val="none"/>
          <w:lang w:eastAsia="zh-CN"/>
        </w:rPr>
        <w:t>）</w:t>
      </w:r>
    </w:p>
    <w:p w14:paraId="03A0903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olor w:val="auto"/>
          <w:sz w:val="24"/>
          <w:szCs w:val="24"/>
          <w:highlight w:val="none"/>
        </w:rPr>
      </w:pPr>
      <w:r>
        <w:rPr>
          <w:rFonts w:hint="eastAsia" w:hAnsi="宋体"/>
          <w:color w:val="auto"/>
          <w:sz w:val="24"/>
          <w:szCs w:val="24"/>
          <w:highlight w:val="none"/>
        </w:rPr>
        <w:t>__________________（采购人名称）：</w:t>
      </w:r>
    </w:p>
    <w:p w14:paraId="590607F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rPr>
      </w:pPr>
      <w:r>
        <w:rPr>
          <w:rFonts w:hint="eastAsia" w:hAnsi="宋体"/>
          <w:color w:val="auto"/>
          <w:sz w:val="24"/>
          <w:szCs w:val="24"/>
          <w:highlight w:val="none"/>
        </w:rPr>
        <w:t>本授权声明：</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（投标人名称）</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（法定代表人姓名、职务）授权</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（被授权人姓名、职务）为我方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 项目（招标文件编号</w:t>
      </w:r>
      <w:r>
        <w:rPr>
          <w:rFonts w:hint="eastAsia" w:hAnsi="宋体"/>
          <w:color w:val="auto"/>
          <w:sz w:val="24"/>
          <w:szCs w:val="24"/>
          <w:highlight w:val="none"/>
          <w:lang w:val="en-US" w:eastAsia="zh-CN"/>
        </w:rPr>
        <w:t>:</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）投标活动的合法代表，以我方名义全权处理该项目有关投标、签订合同以及执行合同等一切事宜。</w:t>
      </w:r>
    </w:p>
    <w:p w14:paraId="79B9054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szCs w:val="24"/>
          <w:highlight w:val="none"/>
        </w:rPr>
      </w:pPr>
      <w:r>
        <w:rPr>
          <w:rFonts w:hint="eastAsia" w:hAnsi="宋体"/>
          <w:color w:val="auto"/>
          <w:sz w:val="24"/>
          <w:szCs w:val="24"/>
          <w:highlight w:val="none"/>
        </w:rPr>
        <w:t>特此声明。</w:t>
      </w:r>
    </w:p>
    <w:p w14:paraId="4BEB978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hAnsi="宋体"/>
          <w:color w:val="auto"/>
          <w:sz w:val="24"/>
          <w:szCs w:val="24"/>
          <w:highlight w:val="none"/>
        </w:rPr>
      </w:pPr>
      <w:r>
        <w:rPr>
          <w:rFonts w:hint="eastAsia"/>
          <w:color w:val="auto"/>
          <w:sz w:val="24"/>
          <w:szCs w:val="24"/>
          <w:highlight w:val="none"/>
          <w:lang w:val="en-US" w:eastAsia="zh-CN"/>
        </w:rPr>
        <w:t xml:space="preserve">  </w:t>
      </w:r>
      <w:r>
        <w:rPr>
          <w:rFonts w:hint="eastAsia" w:hAnsi="宋体"/>
          <w:color w:val="auto"/>
          <w:sz w:val="24"/>
          <w:szCs w:val="24"/>
          <w:highlight w:val="none"/>
          <w:lang w:val="en-US" w:eastAsia="zh-CN"/>
        </w:rPr>
        <w:t>附：</w:t>
      </w:r>
      <w:r>
        <w:rPr>
          <w:rFonts w:hint="eastAsia" w:hAnsi="宋体"/>
          <w:color w:val="auto"/>
          <w:sz w:val="24"/>
          <w:szCs w:val="24"/>
          <w:highlight w:val="none"/>
        </w:rPr>
        <w:t>法定代表人身份证</w:t>
      </w:r>
      <w:r>
        <w:rPr>
          <w:rFonts w:hint="eastAsia" w:hAnsi="宋体"/>
          <w:color w:val="auto"/>
          <w:sz w:val="24"/>
          <w:szCs w:val="24"/>
          <w:highlight w:val="none"/>
          <w:lang w:eastAsia="zh-CN"/>
        </w:rPr>
        <w:t>和授权代表</w:t>
      </w:r>
      <w:r>
        <w:rPr>
          <w:rFonts w:hint="eastAsia" w:hAnsi="宋体"/>
          <w:color w:val="auto"/>
          <w:sz w:val="24"/>
          <w:szCs w:val="24"/>
          <w:highlight w:val="none"/>
        </w:rPr>
        <w:t>身份证</w:t>
      </w:r>
      <w:r>
        <w:rPr>
          <w:rFonts w:hint="eastAsia" w:hAnsi="宋体"/>
          <w:color w:val="auto"/>
          <w:sz w:val="24"/>
          <w:szCs w:val="24"/>
          <w:highlight w:val="none"/>
          <w:lang w:eastAsia="zh-CN"/>
        </w:rPr>
        <w:t>原件</w:t>
      </w:r>
      <w:r>
        <w:rPr>
          <w:rFonts w:hint="eastAsia" w:hAnsi="宋体"/>
          <w:color w:val="auto"/>
          <w:sz w:val="24"/>
          <w:szCs w:val="24"/>
          <w:highlight w:val="none"/>
        </w:rPr>
        <w:t>（正</w:t>
      </w:r>
      <w:r>
        <w:rPr>
          <w:rFonts w:hint="eastAsia" w:hAnsi="宋体"/>
          <w:color w:val="auto"/>
          <w:sz w:val="24"/>
          <w:szCs w:val="24"/>
          <w:highlight w:val="none"/>
          <w:lang w:eastAsia="zh-CN"/>
        </w:rPr>
        <w:t>、</w:t>
      </w:r>
      <w:r>
        <w:rPr>
          <w:rFonts w:hint="eastAsia" w:hAnsi="宋体"/>
          <w:color w:val="auto"/>
          <w:sz w:val="24"/>
          <w:szCs w:val="24"/>
          <w:highlight w:val="none"/>
        </w:rPr>
        <w:t>反面）</w:t>
      </w:r>
      <w:r>
        <w:rPr>
          <w:rFonts w:hint="eastAsia" w:hAnsi="宋体"/>
          <w:color w:val="auto"/>
          <w:sz w:val="24"/>
          <w:szCs w:val="24"/>
          <w:highlight w:val="none"/>
          <w:lang w:eastAsia="zh-CN"/>
        </w:rPr>
        <w:t>彩色扫描件</w:t>
      </w:r>
    </w:p>
    <w:p w14:paraId="45ECB5A9">
      <w:pPr>
        <w:pStyle w:val="36"/>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textAlignment w:val="auto"/>
        <w:rPr>
          <w:rFonts w:hint="eastAsia" w:eastAsia="宋体"/>
          <w:color w:val="auto"/>
          <w:highlight w:val="none"/>
          <w:lang w:val="en-US" w:eastAsia="zh-CN"/>
        </w:rPr>
      </w:pPr>
    </w:p>
    <w:p w14:paraId="5CBBD7AC">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Ansi="宋体"/>
          <w:color w:val="auto"/>
          <w:sz w:val="24"/>
          <w:szCs w:val="24"/>
          <w:highlight w:val="none"/>
        </w:rPr>
      </w:pPr>
      <w:r>
        <w:rPr>
          <w:rFonts w:hint="eastAsia" w:hAnsi="宋体"/>
          <w:color w:val="auto"/>
          <w:sz w:val="24"/>
          <w:szCs w:val="24"/>
          <w:highlight w:val="none"/>
        </w:rPr>
        <w:t xml:space="preserve">投标人（公章）：         </w:t>
      </w:r>
    </w:p>
    <w:p w14:paraId="016E7C81">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Ansi="宋体"/>
          <w:color w:val="auto"/>
          <w:sz w:val="24"/>
          <w:szCs w:val="24"/>
          <w:highlight w:val="none"/>
        </w:rPr>
      </w:pPr>
      <w:r>
        <w:rPr>
          <w:rFonts w:hint="eastAsia" w:hAnsi="宋体"/>
          <w:color w:val="auto"/>
          <w:sz w:val="24"/>
          <w:szCs w:val="24"/>
          <w:highlight w:val="none"/>
        </w:rPr>
        <w:t>法定代表人（签字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5E04CB6E">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Ansi="宋体"/>
          <w:color w:val="auto"/>
          <w:sz w:val="24"/>
          <w:szCs w:val="24"/>
          <w:highlight w:val="none"/>
        </w:rPr>
      </w:pPr>
      <w:r>
        <w:rPr>
          <w:rFonts w:hint="eastAsia" w:hAnsi="宋体"/>
          <w:color w:val="auto"/>
          <w:sz w:val="24"/>
          <w:szCs w:val="24"/>
          <w:highlight w:val="none"/>
          <w:lang w:eastAsia="zh-CN"/>
        </w:rPr>
        <w:t>授权代表</w:t>
      </w:r>
      <w:r>
        <w:rPr>
          <w:rFonts w:hint="eastAsia" w:hAnsi="宋体"/>
          <w:color w:val="auto"/>
          <w:sz w:val="24"/>
          <w:szCs w:val="24"/>
          <w:highlight w:val="none"/>
        </w:rPr>
        <w:t>（签字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73941D48">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int="eastAsia" w:hAnsi="宋体"/>
          <w:color w:val="auto"/>
          <w:sz w:val="24"/>
          <w:szCs w:val="24"/>
          <w:highlight w:val="none"/>
        </w:rPr>
      </w:pPr>
      <w:r>
        <w:rPr>
          <w:rFonts w:hint="eastAsia" w:hAnsi="宋体"/>
          <w:color w:val="auto"/>
          <w:sz w:val="24"/>
          <w:szCs w:val="24"/>
          <w:highlight w:val="none"/>
        </w:rPr>
        <w:t>日   期：</w:t>
      </w:r>
      <w:r>
        <w:rPr>
          <w:rFonts w:hAnsi="宋体"/>
          <w:color w:val="auto"/>
          <w:sz w:val="24"/>
          <w:szCs w:val="24"/>
          <w:highlight w:val="none"/>
        </w:rPr>
        <w:t>年</w:t>
      </w:r>
      <w:r>
        <w:rPr>
          <w:rFonts w:hint="eastAsia" w:hAnsi="宋体"/>
          <w:color w:val="auto"/>
          <w:sz w:val="24"/>
          <w:szCs w:val="24"/>
          <w:highlight w:val="none"/>
          <w:lang w:val="en-US" w:eastAsia="zh-CN"/>
        </w:rPr>
        <w:t xml:space="preserve"> </w:t>
      </w:r>
      <w:r>
        <w:rPr>
          <w:rFonts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14:paraId="0172B29D">
      <w:pPr>
        <w:tabs>
          <w:tab w:val="left" w:pos="3600"/>
        </w:tabs>
        <w:adjustRightInd w:val="0"/>
        <w:snapToGrid w:val="0"/>
        <w:spacing w:line="360" w:lineRule="auto"/>
        <w:jc w:val="center"/>
        <w:rPr>
          <w:rFonts w:hint="eastAsia" w:hAnsi="宋体"/>
          <w:b/>
          <w:color w:val="auto"/>
          <w:sz w:val="28"/>
          <w:szCs w:val="28"/>
          <w:highlight w:val="none"/>
          <w:lang w:eastAsia="zh-CN"/>
        </w:rPr>
      </w:pPr>
    </w:p>
    <w:p w14:paraId="6A66C1D9">
      <w:pPr>
        <w:numPr>
          <w:ilvl w:val="0"/>
          <w:numId w:val="13"/>
        </w:numPr>
        <w:tabs>
          <w:tab w:val="left" w:pos="3600"/>
        </w:tabs>
        <w:adjustRightInd w:val="0"/>
        <w:snapToGrid w:val="0"/>
        <w:spacing w:line="360" w:lineRule="auto"/>
        <w:ind w:left="522" w:leftChars="0" w:firstLine="0" w:firstLineChars="0"/>
        <w:jc w:val="both"/>
        <w:outlineLvl w:val="9"/>
        <w:rPr>
          <w:rFonts w:hint="eastAsia" w:ascii="宋体" w:hAnsi="宋体" w:eastAsia="宋体"/>
          <w:b/>
          <w:color w:val="auto"/>
          <w:sz w:val="24"/>
          <w:szCs w:val="24"/>
          <w:highlight w:val="none"/>
          <w:lang w:eastAsia="zh-CN"/>
        </w:rPr>
      </w:pPr>
      <w:bookmarkStart w:id="111" w:name="_Toc7406"/>
      <w:r>
        <w:rPr>
          <w:rFonts w:hint="eastAsia" w:ascii="宋体" w:hAnsi="宋体" w:eastAsia="宋体"/>
          <w:b/>
          <w:color w:val="auto"/>
          <w:sz w:val="24"/>
          <w:szCs w:val="24"/>
          <w:highlight w:val="none"/>
        </w:rPr>
        <w:t>中小企业证明材料</w:t>
      </w:r>
      <w:r>
        <w:rPr>
          <w:rFonts w:hint="eastAsia" w:ascii="宋体" w:hAnsi="宋体" w:eastAsia="宋体"/>
          <w:b/>
          <w:color w:val="auto"/>
          <w:sz w:val="24"/>
          <w:szCs w:val="24"/>
          <w:highlight w:val="none"/>
          <w:lang w:eastAsia="zh-CN"/>
        </w:rPr>
        <w:t>（原件彩色扫描件）</w:t>
      </w:r>
      <w:bookmarkEnd w:id="111"/>
    </w:p>
    <w:p w14:paraId="039E1D41">
      <w:pPr>
        <w:tabs>
          <w:tab w:val="left" w:pos="3600"/>
        </w:tabs>
        <w:adjustRightInd w:val="0"/>
        <w:snapToGrid w:val="0"/>
        <w:spacing w:line="360" w:lineRule="auto"/>
        <w:rPr>
          <w:rFonts w:hAnsi="宋体"/>
          <w:b/>
          <w:color w:val="auto"/>
          <w:sz w:val="28"/>
          <w:szCs w:val="28"/>
          <w:highlight w:val="none"/>
        </w:rPr>
      </w:pPr>
    </w:p>
    <w:p w14:paraId="155F407F">
      <w:pPr>
        <w:tabs>
          <w:tab w:val="left" w:pos="3600"/>
        </w:tabs>
        <w:adjustRightInd w:val="0"/>
        <w:snapToGrid w:val="0"/>
        <w:spacing w:line="360" w:lineRule="auto"/>
        <w:jc w:val="center"/>
        <w:rPr>
          <w:rFonts w:hint="eastAsia" w:hAnsi="宋体"/>
          <w:b/>
          <w:bCs/>
          <w:color w:val="auto"/>
          <w:sz w:val="24"/>
          <w:szCs w:val="24"/>
          <w:highlight w:val="none"/>
        </w:rPr>
      </w:pPr>
    </w:p>
    <w:p w14:paraId="15B32678">
      <w:pPr>
        <w:tabs>
          <w:tab w:val="left" w:pos="3600"/>
        </w:tabs>
        <w:adjustRightInd w:val="0"/>
        <w:snapToGrid w:val="0"/>
        <w:spacing w:line="360" w:lineRule="auto"/>
        <w:jc w:val="center"/>
        <w:rPr>
          <w:rFonts w:hAnsi="宋体"/>
          <w:b/>
          <w:bCs/>
          <w:color w:val="auto"/>
          <w:sz w:val="24"/>
          <w:szCs w:val="24"/>
          <w:highlight w:val="none"/>
        </w:rPr>
      </w:pPr>
      <w:r>
        <w:rPr>
          <w:rFonts w:hint="eastAsia" w:hAnsi="宋体"/>
          <w:b/>
          <w:bCs/>
          <w:color w:val="auto"/>
          <w:sz w:val="24"/>
          <w:szCs w:val="24"/>
          <w:highlight w:val="none"/>
        </w:rPr>
        <w:t>中小企业声明函</w:t>
      </w:r>
    </w:p>
    <w:p w14:paraId="19FEC97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本公司（联合体）郑重声明，根据《政府采购促进中小企业发展管理办法》（财库〔</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46号</w:t>
      </w:r>
      <w:r>
        <w:rPr>
          <w:rFonts w:hint="eastAsia" w:asciiTheme="minorEastAsia" w:hAnsiTheme="minorEastAsia" w:eastAsiaTheme="minorEastAsia" w:cstheme="minorEastAsia"/>
          <w:color w:val="auto"/>
          <w:sz w:val="24"/>
          <w:szCs w:val="24"/>
          <w:highlight w:val="none"/>
          <w:lang w:eastAsia="zh-CN"/>
        </w:rPr>
        <w:t>）的规定，本公司（联合体）参加</w:t>
      </w:r>
      <w:r>
        <w:rPr>
          <w:rFonts w:hint="eastAsia" w:asciiTheme="minorEastAsia" w:hAnsiTheme="minorEastAsia" w:eastAsiaTheme="minorEastAsia" w:cstheme="minorEastAsia"/>
          <w:color w:val="auto"/>
          <w:sz w:val="24"/>
          <w:szCs w:val="24"/>
          <w:highlight w:val="none"/>
          <w:u w:val="single"/>
          <w:lang w:eastAsia="zh-CN"/>
        </w:rPr>
        <w:t>（单位名称）</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u w:val="single"/>
          <w:lang w:eastAsia="zh-CN"/>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采购活动，提供的货物全部由符合政策要求的中小企业制造。相关企业（含联合体中的中小企业、签订分包一项协议的中小企业）的具体情况如下：</w:t>
      </w:r>
    </w:p>
    <w:p w14:paraId="40181853">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（标的名称）</w:t>
      </w:r>
      <w:r>
        <w:rPr>
          <w:rFonts w:hint="eastAsia" w:asciiTheme="minorEastAsia" w:hAnsiTheme="minorEastAsia" w:eastAsiaTheme="minorEastAsia" w:cstheme="minorEastAsia"/>
          <w:color w:val="auto"/>
          <w:sz w:val="24"/>
          <w:szCs w:val="24"/>
          <w:highlight w:val="none"/>
          <w:lang w:val="en-US" w:eastAsia="zh-CN"/>
        </w:rPr>
        <w:t>，属于</w:t>
      </w:r>
      <w:r>
        <w:rPr>
          <w:rFonts w:hint="eastAsia" w:asciiTheme="minorEastAsia" w:hAnsiTheme="minorEastAsia" w:eastAsiaTheme="minorEastAsia" w:cstheme="minorEastAsia"/>
          <w:color w:val="auto"/>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sz w:val="24"/>
          <w:szCs w:val="24"/>
          <w:highlight w:val="none"/>
          <w:lang w:val="en-US" w:eastAsia="zh-CN"/>
        </w:rPr>
        <w:t>行业；制造商为</w:t>
      </w:r>
      <w:r>
        <w:rPr>
          <w:rFonts w:hint="eastAsia" w:asciiTheme="minorEastAsia" w:hAnsiTheme="minorEastAsia" w:eastAsiaTheme="minorEastAsia" w:cstheme="minorEastAsia"/>
          <w:color w:val="auto"/>
          <w:sz w:val="24"/>
          <w:szCs w:val="24"/>
          <w:highlight w:val="none"/>
          <w:u w:val="single"/>
          <w:lang w:val="en-US" w:eastAsia="zh-CN"/>
        </w:rPr>
        <w:t>（企业名称）</w:t>
      </w:r>
      <w:r>
        <w:rPr>
          <w:rFonts w:hint="eastAsia" w:asciiTheme="minorEastAsia" w:hAnsiTheme="minorEastAsia" w:eastAsiaTheme="minorEastAsia" w:cstheme="minorEastAsia"/>
          <w:color w:val="auto"/>
          <w:sz w:val="24"/>
          <w:szCs w:val="24"/>
          <w:highlight w:val="none"/>
          <w:lang w:val="en-US" w:eastAsia="zh-CN"/>
        </w:rPr>
        <w:t>，从业人员____人，营业收入为______万元，资产总额为____万元，属于</w:t>
      </w:r>
      <w:r>
        <w:rPr>
          <w:rFonts w:hint="eastAsia" w:asciiTheme="minorEastAsia" w:hAnsiTheme="minorEastAsia" w:eastAsiaTheme="minorEastAsia" w:cstheme="minorEastAsia"/>
          <w:color w:val="auto"/>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sz w:val="24"/>
          <w:szCs w:val="24"/>
          <w:highlight w:val="none"/>
          <w:lang w:val="en-US" w:eastAsia="zh-CN"/>
        </w:rPr>
        <w:t>；</w:t>
      </w:r>
    </w:p>
    <w:p w14:paraId="1C63B748">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val="en-US" w:eastAsia="zh-CN"/>
        </w:rPr>
        <w:t>（标的名称）</w:t>
      </w:r>
      <w:r>
        <w:rPr>
          <w:rFonts w:hint="eastAsia" w:asciiTheme="minorEastAsia" w:hAnsiTheme="minorEastAsia" w:eastAsiaTheme="minorEastAsia" w:cstheme="minorEastAsia"/>
          <w:color w:val="auto"/>
          <w:sz w:val="24"/>
          <w:szCs w:val="24"/>
          <w:highlight w:val="none"/>
          <w:lang w:val="en-US" w:eastAsia="zh-CN"/>
        </w:rPr>
        <w:t>，属于</w:t>
      </w:r>
      <w:r>
        <w:rPr>
          <w:rFonts w:hint="eastAsia" w:asciiTheme="minorEastAsia" w:hAnsiTheme="minorEastAsia" w:eastAsiaTheme="minorEastAsia" w:cstheme="minorEastAsia"/>
          <w:color w:val="auto"/>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sz w:val="24"/>
          <w:szCs w:val="24"/>
          <w:highlight w:val="none"/>
          <w:lang w:val="en-US" w:eastAsia="zh-CN"/>
        </w:rPr>
        <w:t>行业；制造商为</w:t>
      </w:r>
      <w:r>
        <w:rPr>
          <w:rFonts w:hint="eastAsia" w:asciiTheme="minorEastAsia" w:hAnsiTheme="minorEastAsia" w:eastAsiaTheme="minorEastAsia" w:cstheme="minorEastAsia"/>
          <w:color w:val="auto"/>
          <w:sz w:val="24"/>
          <w:szCs w:val="24"/>
          <w:highlight w:val="none"/>
          <w:u w:val="single"/>
          <w:lang w:val="en-US" w:eastAsia="zh-CN"/>
        </w:rPr>
        <w:t>（企业名称）</w:t>
      </w:r>
      <w:r>
        <w:rPr>
          <w:rFonts w:hint="eastAsia" w:asciiTheme="minorEastAsia" w:hAnsiTheme="minorEastAsia" w:eastAsiaTheme="minorEastAsia" w:cstheme="minorEastAsia"/>
          <w:color w:val="auto"/>
          <w:sz w:val="24"/>
          <w:szCs w:val="24"/>
          <w:highlight w:val="none"/>
          <w:lang w:val="en-US" w:eastAsia="zh-CN"/>
        </w:rPr>
        <w:t xml:space="preserve">，从业人员____人，营业收入为___万元，资产总额为___万元，属于             </w:t>
      </w:r>
      <w:r>
        <w:rPr>
          <w:rFonts w:hint="eastAsia" w:asciiTheme="minorEastAsia" w:hAnsiTheme="minorEastAsia" w:eastAsiaTheme="minorEastAsia" w:cstheme="minorEastAsia"/>
          <w:color w:val="auto"/>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sz w:val="24"/>
          <w:szCs w:val="24"/>
          <w:highlight w:val="none"/>
          <w:lang w:val="en-US" w:eastAsia="zh-CN"/>
        </w:rPr>
        <w:t>；</w:t>
      </w:r>
    </w:p>
    <w:p w14:paraId="49DDEEE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p>
    <w:p w14:paraId="1663F55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以上企业，不属于大企业的分支机构，不存在控股股东为大企业的情形，也不存在与大企业的负责人为同一人的情形。</w:t>
      </w:r>
    </w:p>
    <w:p w14:paraId="289F6DF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本企业对上述声明内容的真实性负责。如有虚假，将依法承担相应责任。</w:t>
      </w:r>
    </w:p>
    <w:p w14:paraId="1E6F18E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766AD1C">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企业名称（公章）：</w:t>
      </w:r>
    </w:p>
    <w:p w14:paraId="4FB72D68">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期：</w:t>
      </w:r>
    </w:p>
    <w:p w14:paraId="011AC4B6">
      <w:pPr>
        <w:autoSpaceDN w:val="0"/>
        <w:spacing w:line="360" w:lineRule="auto"/>
        <w:jc w:val="center"/>
        <w:rPr>
          <w:rFonts w:hint="eastAsia"/>
          <w:b/>
          <w:bCs/>
          <w:color w:val="auto"/>
          <w:sz w:val="24"/>
          <w:highlight w:val="none"/>
        </w:rPr>
      </w:pPr>
    </w:p>
    <w:p w14:paraId="771F3032">
      <w:pPr>
        <w:autoSpaceDN w:val="0"/>
        <w:spacing w:line="360" w:lineRule="auto"/>
        <w:jc w:val="center"/>
        <w:rPr>
          <w:rFonts w:hint="eastAsia"/>
          <w:b/>
          <w:bCs/>
          <w:color w:val="auto"/>
          <w:sz w:val="24"/>
          <w:highlight w:val="none"/>
        </w:rPr>
      </w:pPr>
    </w:p>
    <w:p w14:paraId="60090070">
      <w:pPr>
        <w:autoSpaceDN w:val="0"/>
        <w:spacing w:line="360" w:lineRule="auto"/>
        <w:jc w:val="center"/>
        <w:rPr>
          <w:b/>
          <w:bCs/>
          <w:color w:val="auto"/>
          <w:sz w:val="24"/>
          <w:highlight w:val="none"/>
        </w:rPr>
      </w:pPr>
      <w:r>
        <w:rPr>
          <w:rFonts w:hint="eastAsia"/>
          <w:b/>
          <w:bCs/>
          <w:color w:val="auto"/>
          <w:sz w:val="24"/>
          <w:highlight w:val="none"/>
        </w:rPr>
        <w:t>残疾人福利性单位声明函</w:t>
      </w:r>
    </w:p>
    <w:p w14:paraId="383225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szCs w:val="21"/>
          <w:highlight w:val="none"/>
        </w:rPr>
      </w:pPr>
      <w:r>
        <w:rPr>
          <w:rFonts w:hint="eastAsia"/>
          <w:color w:val="auto"/>
          <w:sz w:val="24"/>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64D3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1"/>
          <w:highlight w:val="none"/>
        </w:rPr>
      </w:pPr>
      <w:r>
        <w:rPr>
          <w:rFonts w:hint="eastAsia"/>
          <w:color w:val="auto"/>
          <w:sz w:val="24"/>
          <w:szCs w:val="21"/>
          <w:highlight w:val="none"/>
        </w:rPr>
        <w:t>本单位对上述声明的真实性负责。如有虚假，将依法承担相应责任。</w:t>
      </w:r>
    </w:p>
    <w:p w14:paraId="3EBD2E77">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rPr>
        <w:t xml:space="preserve"> </w:t>
      </w:r>
    </w:p>
    <w:p w14:paraId="6337E94C">
      <w:pPr>
        <w:snapToGrid w:val="0"/>
        <w:spacing w:line="360" w:lineRule="auto"/>
        <w:ind w:firstLine="480" w:firstLineChars="200"/>
        <w:rPr>
          <w:rFonts w:hint="eastAsia"/>
          <w:color w:val="auto"/>
          <w:sz w:val="24"/>
          <w:szCs w:val="21"/>
          <w:highlight w:val="none"/>
        </w:rPr>
      </w:pPr>
    </w:p>
    <w:p w14:paraId="6CD14850">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lang w:val="en-US" w:eastAsia="zh-CN"/>
        </w:rPr>
        <w:t xml:space="preserve">                                    </w:t>
      </w:r>
      <w:r>
        <w:rPr>
          <w:rFonts w:hint="eastAsia"/>
          <w:color w:val="auto"/>
          <w:sz w:val="24"/>
          <w:szCs w:val="21"/>
          <w:highlight w:val="none"/>
        </w:rPr>
        <w:t>单位名称（</w:t>
      </w:r>
      <w:r>
        <w:rPr>
          <w:rFonts w:hint="eastAsia"/>
          <w:color w:val="auto"/>
          <w:sz w:val="24"/>
          <w:szCs w:val="21"/>
          <w:highlight w:val="none"/>
          <w:lang w:eastAsia="zh-CN"/>
        </w:rPr>
        <w:t>公</w:t>
      </w:r>
      <w:r>
        <w:rPr>
          <w:rFonts w:hint="eastAsia"/>
          <w:color w:val="auto"/>
          <w:sz w:val="24"/>
          <w:szCs w:val="21"/>
          <w:highlight w:val="none"/>
        </w:rPr>
        <w:t>章）：</w:t>
      </w:r>
    </w:p>
    <w:p w14:paraId="431D7250">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rPr>
        <w:t xml:space="preserve">     </w:t>
      </w:r>
      <w:r>
        <w:rPr>
          <w:rFonts w:hint="eastAsia"/>
          <w:color w:val="auto"/>
          <w:sz w:val="24"/>
          <w:szCs w:val="21"/>
          <w:highlight w:val="none"/>
          <w:lang w:val="en-US" w:eastAsia="zh-CN"/>
        </w:rPr>
        <w:t xml:space="preserve">                             </w:t>
      </w:r>
      <w:r>
        <w:rPr>
          <w:rFonts w:hint="eastAsia"/>
          <w:color w:val="auto"/>
          <w:sz w:val="24"/>
          <w:szCs w:val="21"/>
          <w:highlight w:val="none"/>
        </w:rPr>
        <w:t xml:space="preserve">  日  期：</w:t>
      </w:r>
    </w:p>
    <w:p w14:paraId="7C033169">
      <w:pPr>
        <w:pStyle w:val="36"/>
        <w:tabs>
          <w:tab w:val="right" w:leader="dot" w:pos="8400"/>
        </w:tabs>
        <w:rPr>
          <w:rFonts w:hint="eastAsia"/>
          <w:color w:val="auto"/>
        </w:rPr>
      </w:pPr>
    </w:p>
    <w:p w14:paraId="69214C44">
      <w:pPr>
        <w:autoSpaceDN w:val="0"/>
        <w:spacing w:line="360" w:lineRule="auto"/>
        <w:jc w:val="center"/>
        <w:rPr>
          <w:rFonts w:hint="eastAsia"/>
          <w:b/>
          <w:bCs/>
          <w:color w:val="auto"/>
          <w:sz w:val="24"/>
          <w:highlight w:val="none"/>
        </w:rPr>
      </w:pPr>
      <w:r>
        <w:rPr>
          <w:rFonts w:hint="eastAsia"/>
          <w:b/>
          <w:bCs/>
          <w:color w:val="auto"/>
          <w:sz w:val="24"/>
          <w:highlight w:val="none"/>
        </w:rPr>
        <w:t>省级以上监狱管理局、戒毒管理局（含新疆生产建设兵团）出具的</w:t>
      </w:r>
    </w:p>
    <w:p w14:paraId="06DE90DF">
      <w:pPr>
        <w:autoSpaceDN w:val="0"/>
        <w:spacing w:line="360" w:lineRule="auto"/>
        <w:jc w:val="center"/>
        <w:rPr>
          <w:rFonts w:hint="eastAsia"/>
          <w:b/>
          <w:bCs/>
          <w:color w:val="auto"/>
          <w:sz w:val="24"/>
          <w:highlight w:val="none"/>
        </w:rPr>
      </w:pPr>
      <w:r>
        <w:rPr>
          <w:rFonts w:hint="eastAsia"/>
          <w:b/>
          <w:bCs/>
          <w:color w:val="auto"/>
          <w:sz w:val="24"/>
          <w:highlight w:val="none"/>
        </w:rPr>
        <w:t>属于监狱企业证明文件（</w:t>
      </w:r>
      <w:r>
        <w:rPr>
          <w:rFonts w:hint="eastAsia"/>
          <w:b/>
          <w:bCs/>
          <w:color w:val="auto"/>
          <w:sz w:val="24"/>
          <w:highlight w:val="none"/>
          <w:lang w:eastAsia="zh-CN"/>
        </w:rPr>
        <w:t>原件</w:t>
      </w:r>
      <w:r>
        <w:rPr>
          <w:rFonts w:hint="eastAsia"/>
          <w:b/>
          <w:bCs/>
          <w:color w:val="auto"/>
          <w:sz w:val="24"/>
          <w:highlight w:val="none"/>
        </w:rPr>
        <w:t>彩色扫描件）</w:t>
      </w:r>
      <w:r>
        <w:rPr>
          <w:rFonts w:hint="eastAsia"/>
          <w:b/>
          <w:bCs/>
          <w:color w:val="auto"/>
          <w:sz w:val="24"/>
          <w:highlight w:val="none"/>
          <w:lang w:eastAsia="zh-CN"/>
        </w:rPr>
        <w:t>（格式自拟）</w:t>
      </w:r>
    </w:p>
    <w:p w14:paraId="32F20E1F">
      <w:pPr>
        <w:numPr>
          <w:ilvl w:val="0"/>
          <w:numId w:val="0"/>
        </w:numPr>
        <w:tabs>
          <w:tab w:val="left" w:pos="3600"/>
        </w:tabs>
        <w:adjustRightInd w:val="0"/>
        <w:snapToGrid w:val="0"/>
        <w:spacing w:line="360" w:lineRule="auto"/>
        <w:ind w:left="522" w:leftChars="0"/>
        <w:jc w:val="both"/>
        <w:outlineLvl w:val="9"/>
        <w:rPr>
          <w:rFonts w:hint="default" w:ascii="宋体" w:hAnsi="宋体" w:eastAsia="宋体" w:cs="Times New Roman"/>
          <w:b/>
          <w:color w:val="auto"/>
          <w:sz w:val="24"/>
          <w:szCs w:val="24"/>
          <w:highlight w:val="none"/>
          <w:lang w:val="en-US" w:eastAsia="zh-CN"/>
        </w:rPr>
      </w:pPr>
      <w:bookmarkStart w:id="112" w:name="_Toc2568"/>
      <w:r>
        <w:rPr>
          <w:rFonts w:hint="eastAsia" w:ascii="宋体" w:hAnsi="宋体" w:eastAsia="宋体" w:cs="Times New Roman"/>
          <w:b/>
          <w:color w:val="auto"/>
          <w:sz w:val="24"/>
          <w:szCs w:val="24"/>
          <w:highlight w:val="none"/>
          <w:lang w:val="en-US" w:eastAsia="zh-CN"/>
        </w:rPr>
        <w:t>九、非联合体投标声明函（格式自拟）</w:t>
      </w:r>
      <w:bookmarkEnd w:id="112"/>
    </w:p>
    <w:p w14:paraId="5C809B53">
      <w:pPr>
        <w:pStyle w:val="36"/>
        <w:tabs>
          <w:tab w:val="right" w:leader="dot" w:pos="8400"/>
        </w:tabs>
        <w:rPr>
          <w:color w:val="auto"/>
        </w:rPr>
      </w:pPr>
    </w:p>
    <w:p w14:paraId="3C1BE6D0">
      <w:pPr>
        <w:keepNext w:val="0"/>
        <w:keepLines w:val="0"/>
        <w:pageBreakBefore/>
        <w:widowControl w:val="0"/>
        <w:kinsoku/>
        <w:wordWrap/>
        <w:overflowPunct/>
        <w:topLinePunct w:val="0"/>
        <w:autoSpaceDE/>
        <w:autoSpaceDN/>
        <w:bidi w:val="0"/>
        <w:adjustRightInd/>
        <w:snapToGrid/>
        <w:textAlignment w:val="auto"/>
        <w:rPr>
          <w:rFonts w:ascii="华文中宋" w:hAnsi="华文中宋" w:eastAsia="华文中宋"/>
          <w:color w:val="auto"/>
          <w:sz w:val="24"/>
          <w:szCs w:val="24"/>
          <w:highlight w:val="none"/>
        </w:rPr>
      </w:pPr>
      <w:r>
        <w:rPr>
          <w:rFonts w:hint="eastAsia" w:hAnsi="宋体"/>
          <w:b/>
          <w:color w:val="auto"/>
          <w:sz w:val="32"/>
          <w:szCs w:val="32"/>
          <w:highlight w:val="none"/>
        </w:rPr>
        <w:t xml:space="preserve">    以上所有资格全部为招标文件的实质性要求，有一项不符合即为无效投标。</w:t>
      </w:r>
    </w:p>
    <w:p w14:paraId="4FD2C1E0">
      <w:pPr>
        <w:snapToGrid w:val="0"/>
        <w:spacing w:line="360" w:lineRule="exact"/>
        <w:rPr>
          <w:rFonts w:hint="eastAsia" w:ascii="华文中宋" w:hAnsi="华文中宋" w:eastAsia="华文中宋"/>
          <w:color w:val="auto"/>
          <w:sz w:val="24"/>
          <w:szCs w:val="24"/>
          <w:highlight w:val="none"/>
        </w:rPr>
      </w:pPr>
    </w:p>
    <w:p w14:paraId="68A5A5B5">
      <w:pPr>
        <w:pageBreakBefore w:val="0"/>
        <w:widowControl w:val="0"/>
        <w:kinsoku/>
        <w:wordWrap/>
        <w:overflowPunct/>
        <w:topLinePunct w:val="0"/>
        <w:autoSpaceDE/>
        <w:autoSpaceDN/>
        <w:bidi w:val="0"/>
        <w:adjustRightInd/>
        <w:snapToGrid w:val="0"/>
        <w:spacing w:line="360" w:lineRule="auto"/>
        <w:textAlignment w:val="auto"/>
        <w:rPr>
          <w:rFonts w:hint="eastAsia"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rPr>
        <w:t>说明：</w:t>
      </w:r>
    </w:p>
    <w:p w14:paraId="55B98C0A">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华文中宋" w:hAnsi="华文中宋" w:eastAsia="华文中宋"/>
          <w:color w:val="auto"/>
          <w:sz w:val="24"/>
          <w:szCs w:val="24"/>
          <w:highlight w:val="none"/>
          <w:lang w:val="en-US" w:eastAsia="zh-CN"/>
        </w:rPr>
      </w:pPr>
      <w:r>
        <w:rPr>
          <w:rFonts w:hint="eastAsia" w:ascii="华文中宋" w:hAnsi="华文中宋" w:eastAsia="华文中宋"/>
          <w:color w:val="auto"/>
          <w:sz w:val="24"/>
          <w:szCs w:val="24"/>
          <w:highlight w:val="none"/>
          <w:lang w:val="en-US" w:eastAsia="zh-CN"/>
        </w:rPr>
        <w:t>1.所要求提供的资格证明文件必须在每一项资料的扫描件首页或逐页加盖投标人公章。</w:t>
      </w:r>
    </w:p>
    <w:p w14:paraId="1FE8A9F9">
      <w:pPr>
        <w:pageBreakBefore w:val="0"/>
        <w:widowControl w:val="0"/>
        <w:kinsoku/>
        <w:wordWrap/>
        <w:overflowPunct/>
        <w:topLinePunct w:val="0"/>
        <w:autoSpaceDE/>
        <w:autoSpaceDN/>
        <w:bidi w:val="0"/>
        <w:adjustRightInd/>
        <w:snapToGrid w:val="0"/>
        <w:spacing w:line="360" w:lineRule="auto"/>
        <w:ind w:firstLine="480"/>
        <w:textAlignment w:val="auto"/>
        <w:rPr>
          <w:rFonts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2.</w:t>
      </w:r>
      <w:r>
        <w:rPr>
          <w:rFonts w:hint="eastAsia" w:ascii="华文中宋" w:hAnsi="华文中宋" w:eastAsia="华文中宋"/>
          <w:color w:val="auto"/>
          <w:sz w:val="24"/>
          <w:szCs w:val="24"/>
          <w:highlight w:val="none"/>
        </w:rPr>
        <w:t>提供的原件扫描件不清晰、无法辨认或内容不符合规定，该项内容将视为无效。</w:t>
      </w:r>
    </w:p>
    <w:p w14:paraId="7C51230E">
      <w:pPr>
        <w:pageBreakBefore w:val="0"/>
        <w:widowControl w:val="0"/>
        <w:kinsoku/>
        <w:wordWrap/>
        <w:overflowPunct/>
        <w:topLinePunct w:val="0"/>
        <w:autoSpaceDE/>
        <w:autoSpaceDN/>
        <w:bidi w:val="0"/>
        <w:adjustRightInd/>
        <w:snapToGrid w:val="0"/>
        <w:spacing w:line="360" w:lineRule="auto"/>
        <w:textAlignment w:val="auto"/>
        <w:rPr>
          <w:rFonts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 xml:space="preserve">    3.</w:t>
      </w:r>
      <w:r>
        <w:rPr>
          <w:rFonts w:hint="eastAsia" w:ascii="华文中宋" w:hAnsi="华文中宋" w:eastAsia="华文中宋"/>
          <w:color w:val="auto"/>
          <w:sz w:val="24"/>
          <w:szCs w:val="24"/>
          <w:highlight w:val="none"/>
        </w:rPr>
        <w:t>资格审查的内容若有一项未提供或达不到检查标准，将导致其不具备投标资格，且不允许在开标后补正。投标人为国家机关、事业单位、团体组织或个人的，不提供资格证明文件中的第二、三、四项内容。</w:t>
      </w:r>
    </w:p>
    <w:p w14:paraId="59A5338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4..</w:t>
      </w:r>
      <w:r>
        <w:rPr>
          <w:rFonts w:hint="eastAsia" w:ascii="华文中宋" w:hAnsi="华文中宋" w:eastAsia="华文中宋"/>
          <w:color w:val="auto"/>
          <w:sz w:val="24"/>
          <w:szCs w:val="24"/>
          <w:highlight w:val="none"/>
        </w:rPr>
        <w:t>依法免税或不需要缴纳社会保障金的投标人，应提供相应的文件证明，复印件或原件清晰、真实、有效。</w:t>
      </w:r>
    </w:p>
    <w:p w14:paraId="4E7ADA96">
      <w:pPr>
        <w:pStyle w:val="36"/>
        <w:rPr>
          <w:rFonts w:hint="eastAsia" w:ascii="华文中宋" w:hAnsi="华文中宋" w:eastAsia="华文中宋"/>
          <w:color w:val="auto"/>
          <w:sz w:val="24"/>
          <w:szCs w:val="24"/>
          <w:highlight w:val="none"/>
        </w:rPr>
      </w:pPr>
    </w:p>
    <w:p w14:paraId="00565BD0">
      <w:pPr>
        <w:pStyle w:val="4"/>
        <w:keepNext w:val="0"/>
        <w:keepLines w:val="0"/>
        <w:pageBreakBefore/>
        <w:widowControl w:val="0"/>
        <w:kinsoku/>
        <w:wordWrap/>
        <w:overflowPunct/>
        <w:topLinePunct w:val="0"/>
        <w:autoSpaceDE/>
        <w:autoSpaceDN/>
        <w:bidi w:val="0"/>
        <w:adjustRightInd/>
        <w:snapToGrid/>
        <w:spacing w:line="360" w:lineRule="auto"/>
        <w:ind w:firstLine="562" w:firstLineChars="200"/>
        <w:textAlignment w:val="auto"/>
        <w:outlineLvl w:val="1"/>
        <w:rPr>
          <w:rFonts w:hAnsi="宋体"/>
          <w:b/>
          <w:color w:val="auto"/>
          <w:kern w:val="2"/>
          <w:sz w:val="28"/>
          <w:szCs w:val="28"/>
          <w:highlight w:val="none"/>
        </w:rPr>
      </w:pPr>
      <w:bookmarkStart w:id="113" w:name="_Toc9740"/>
      <w:r>
        <w:rPr>
          <w:rFonts w:hint="eastAsia" w:hAnsi="宋体"/>
          <w:b/>
          <w:color w:val="auto"/>
          <w:kern w:val="2"/>
          <w:sz w:val="28"/>
          <w:szCs w:val="28"/>
          <w:highlight w:val="none"/>
          <w:lang w:val="en-US" w:eastAsia="zh-CN"/>
        </w:rPr>
        <w:t>六</w:t>
      </w:r>
      <w:r>
        <w:rPr>
          <w:rFonts w:hint="eastAsia" w:hAnsi="宋体"/>
          <w:b/>
          <w:color w:val="auto"/>
          <w:kern w:val="2"/>
          <w:sz w:val="28"/>
          <w:szCs w:val="28"/>
          <w:highlight w:val="none"/>
        </w:rPr>
        <w:t>、投标人及其投标产品的相关资料</w:t>
      </w:r>
      <w:bookmarkEnd w:id="113"/>
    </w:p>
    <w:p w14:paraId="0BA18633">
      <w:pPr>
        <w:pStyle w:val="18"/>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Ansi="宋体"/>
          <w:color w:val="auto"/>
          <w:sz w:val="24"/>
          <w:szCs w:val="24"/>
          <w:highlight w:val="none"/>
        </w:rPr>
      </w:pPr>
      <w:r>
        <w:rPr>
          <w:rFonts w:hint="eastAsia" w:hAnsi="宋体"/>
          <w:color w:val="auto"/>
          <w:sz w:val="24"/>
          <w:szCs w:val="24"/>
          <w:highlight w:val="none"/>
        </w:rPr>
        <w:t xml:space="preserve">（1） </w:t>
      </w:r>
      <w:r>
        <w:rPr>
          <w:rFonts w:hint="eastAsia" w:hAnsi="宋体"/>
          <w:b/>
          <w:bCs/>
          <w:color w:val="auto"/>
          <w:sz w:val="24"/>
          <w:szCs w:val="24"/>
          <w:highlight w:val="none"/>
        </w:rPr>
        <w:t>产品说明书或公开发行的彩页（印刷版</w:t>
      </w:r>
      <w:r>
        <w:rPr>
          <w:rFonts w:hint="eastAsia" w:hAnsi="宋体"/>
          <w:b/>
          <w:bCs/>
          <w:color w:val="auto"/>
          <w:sz w:val="24"/>
          <w:szCs w:val="24"/>
          <w:highlight w:val="none"/>
          <w:lang w:eastAsia="zh-CN"/>
        </w:rPr>
        <w:t>原件彩色</w:t>
      </w:r>
      <w:r>
        <w:rPr>
          <w:rFonts w:hint="eastAsia" w:hAnsi="宋体"/>
          <w:b/>
          <w:bCs/>
          <w:color w:val="auto"/>
          <w:sz w:val="24"/>
          <w:szCs w:val="24"/>
          <w:highlight w:val="none"/>
        </w:rPr>
        <w:t>扫描件），如电子投标文件的技术参数与产品说明书或彩页（印刷版</w:t>
      </w:r>
      <w:r>
        <w:rPr>
          <w:rFonts w:hint="eastAsia" w:hAnsi="宋体"/>
          <w:b/>
          <w:bCs/>
          <w:color w:val="auto"/>
          <w:sz w:val="24"/>
          <w:szCs w:val="24"/>
          <w:highlight w:val="none"/>
          <w:lang w:eastAsia="zh-CN"/>
        </w:rPr>
        <w:t>原件彩色</w:t>
      </w:r>
      <w:r>
        <w:rPr>
          <w:rFonts w:hint="eastAsia" w:hAnsi="宋体"/>
          <w:b/>
          <w:bCs/>
          <w:color w:val="auto"/>
          <w:sz w:val="24"/>
          <w:szCs w:val="24"/>
          <w:highlight w:val="none"/>
        </w:rPr>
        <w:t>扫描件）不符，以产品说明书或彩页（印刷版</w:t>
      </w:r>
      <w:r>
        <w:rPr>
          <w:rFonts w:hint="eastAsia" w:hAnsi="宋体"/>
          <w:b/>
          <w:bCs/>
          <w:color w:val="auto"/>
          <w:sz w:val="24"/>
          <w:szCs w:val="24"/>
          <w:highlight w:val="none"/>
          <w:lang w:eastAsia="zh-CN"/>
        </w:rPr>
        <w:t>原件彩色</w:t>
      </w:r>
      <w:r>
        <w:rPr>
          <w:rFonts w:hint="eastAsia" w:hAnsi="宋体"/>
          <w:b/>
          <w:bCs/>
          <w:color w:val="auto"/>
          <w:sz w:val="24"/>
          <w:szCs w:val="24"/>
          <w:highlight w:val="none"/>
        </w:rPr>
        <w:t>扫描件）为准。</w:t>
      </w:r>
    </w:p>
    <w:p w14:paraId="490BE1A0">
      <w:pPr>
        <w:pStyle w:val="18"/>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Ansi="宋体"/>
          <w:color w:val="auto"/>
          <w:sz w:val="24"/>
          <w:szCs w:val="24"/>
          <w:highlight w:val="none"/>
        </w:rPr>
      </w:pPr>
      <w:r>
        <w:rPr>
          <w:rFonts w:hint="eastAsia" w:hAnsi="宋体"/>
          <w:color w:val="auto"/>
          <w:sz w:val="24"/>
          <w:szCs w:val="24"/>
          <w:highlight w:val="none"/>
        </w:rPr>
        <w:t>（2） 投标人认为有必要提供的其他有关资料</w:t>
      </w:r>
    </w:p>
    <w:p w14:paraId="249AD5DA">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Arial"/>
          <w:color w:val="auto"/>
          <w:sz w:val="24"/>
          <w:szCs w:val="24"/>
          <w:highlight w:val="none"/>
        </w:rPr>
      </w:pPr>
    </w:p>
    <w:p w14:paraId="52D3A2A3">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Arial"/>
          <w:color w:val="auto"/>
          <w:sz w:val="24"/>
          <w:szCs w:val="24"/>
          <w:highlight w:val="none"/>
        </w:rPr>
      </w:pPr>
    </w:p>
    <w:p w14:paraId="70D4E8D8">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Arial"/>
          <w:color w:val="auto"/>
          <w:sz w:val="24"/>
          <w:szCs w:val="24"/>
          <w:highlight w:val="none"/>
        </w:rPr>
      </w:pPr>
    </w:p>
    <w:p w14:paraId="38911499">
      <w:pPr>
        <w:adjustRightInd w:val="0"/>
        <w:spacing w:line="360" w:lineRule="auto"/>
        <w:ind w:firstLine="3600" w:firstLineChars="1500"/>
        <w:jc w:val="left"/>
        <w:rPr>
          <w:rFonts w:hAnsi="宋体"/>
          <w:color w:val="auto"/>
          <w:sz w:val="24"/>
          <w:szCs w:val="24"/>
          <w:highlight w:val="none"/>
        </w:rPr>
      </w:pPr>
      <w:r>
        <w:rPr>
          <w:rFonts w:hint="eastAsia" w:hAnsi="宋体"/>
          <w:color w:val="auto"/>
          <w:sz w:val="24"/>
          <w:szCs w:val="24"/>
          <w:highlight w:val="none"/>
        </w:rPr>
        <w:t xml:space="preserve">投标人（公章）：         </w:t>
      </w:r>
    </w:p>
    <w:p w14:paraId="2A17047F">
      <w:pPr>
        <w:adjustRightInd w:val="0"/>
        <w:spacing w:line="360" w:lineRule="auto"/>
        <w:jc w:val="left"/>
        <w:rPr>
          <w:rFonts w:hAnsi="宋体"/>
          <w:bCs/>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法定代表人或</w:t>
      </w:r>
      <w:r>
        <w:rPr>
          <w:rFonts w:hint="eastAsia" w:hAnsi="宋体"/>
          <w:color w:val="auto"/>
          <w:sz w:val="24"/>
          <w:szCs w:val="24"/>
          <w:highlight w:val="none"/>
          <w:lang w:eastAsia="zh-CN"/>
        </w:rPr>
        <w:t>授权代表</w:t>
      </w:r>
      <w:r>
        <w:rPr>
          <w:rFonts w:hint="eastAsia" w:hAnsi="宋体"/>
          <w:color w:val="auto"/>
          <w:sz w:val="24"/>
          <w:szCs w:val="24"/>
          <w:highlight w:val="none"/>
        </w:rPr>
        <w:t>（签字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4C41CB1C">
      <w:pPr>
        <w:spacing w:line="360" w:lineRule="auto"/>
        <w:ind w:firstLine="480" w:firstLineChars="200"/>
        <w:jc w:val="center"/>
        <w:rPr>
          <w:rFonts w:hint="eastAsia" w:hAnsi="宋体"/>
          <w:b/>
          <w:color w:val="auto"/>
          <w:kern w:val="2"/>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日  期</w:t>
      </w:r>
      <w:r>
        <w:rPr>
          <w:rFonts w:hAnsi="宋体"/>
          <w:bCs/>
          <w:color w:val="auto"/>
          <w:sz w:val="24"/>
          <w:szCs w:val="24"/>
          <w:highlight w:val="none"/>
        </w:rPr>
        <w:t>:</w:t>
      </w:r>
      <w:r>
        <w:rPr>
          <w:rFonts w:hint="eastAsia" w:hAnsi="宋体"/>
          <w:bCs/>
          <w:color w:val="auto"/>
          <w:sz w:val="24"/>
          <w:szCs w:val="24"/>
          <w:highlight w:val="none"/>
          <w:lang w:val="en-US" w:eastAsia="zh-CN"/>
        </w:rPr>
        <w:t xml:space="preserve"> </w:t>
      </w:r>
      <w:r>
        <w:rPr>
          <w:rFonts w:hAnsi="宋体"/>
          <w:color w:val="auto"/>
          <w:sz w:val="24"/>
          <w:szCs w:val="24"/>
          <w:highlight w:val="none"/>
        </w:rPr>
        <w:t>年</w:t>
      </w:r>
      <w:r>
        <w:rPr>
          <w:rFonts w:hint="eastAsia" w:hAnsi="宋体"/>
          <w:color w:val="auto"/>
          <w:sz w:val="24"/>
          <w:szCs w:val="24"/>
          <w:highlight w:val="none"/>
          <w:lang w:val="en-US" w:eastAsia="zh-CN"/>
        </w:rPr>
        <w:t xml:space="preserve"> </w:t>
      </w:r>
      <w:r>
        <w:rPr>
          <w:rFonts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r>
        <w:rPr>
          <w:rFonts w:hint="eastAsia" w:hAnsi="宋体"/>
          <w:b/>
          <w:color w:val="auto"/>
          <w:kern w:val="2"/>
          <w:sz w:val="24"/>
          <w:szCs w:val="24"/>
          <w:highlight w:val="none"/>
        </w:rPr>
        <w:br w:type="textWrapping"/>
      </w:r>
    </w:p>
    <w:p w14:paraId="4BBCC298">
      <w:pPr>
        <w:pStyle w:val="5"/>
        <w:pageBreakBefore/>
        <w:adjustRightInd/>
        <w:spacing w:before="0" w:after="0" w:line="360" w:lineRule="auto"/>
        <w:jc w:val="center"/>
        <w:textAlignment w:val="auto"/>
        <w:outlineLvl w:val="1"/>
        <w:rPr>
          <w:rFonts w:ascii="宋体"/>
          <w:b w:val="0"/>
          <w:bCs w:val="0"/>
          <w:kern w:val="2"/>
          <w:sz w:val="28"/>
          <w:szCs w:val="28"/>
        </w:rPr>
      </w:pPr>
      <w:bookmarkStart w:id="114" w:name="_Toc12958"/>
      <w:bookmarkStart w:id="115" w:name="_Toc13304"/>
      <w:bookmarkStart w:id="116" w:name="_Toc22913"/>
      <w:bookmarkStart w:id="117" w:name="_Toc387653057"/>
      <w:r>
        <w:rPr>
          <w:rFonts w:hint="eastAsia" w:ascii="宋体" w:hAnsi="宋体" w:cs="宋体"/>
          <w:b w:val="0"/>
          <w:bCs w:val="0"/>
          <w:kern w:val="2"/>
          <w:sz w:val="28"/>
          <w:szCs w:val="28"/>
          <w:lang w:val="en-US" w:eastAsia="zh-CN"/>
        </w:rPr>
        <w:t>七</w:t>
      </w:r>
      <w:r>
        <w:rPr>
          <w:rFonts w:hint="eastAsia" w:ascii="宋体" w:hAnsi="宋体" w:cs="宋体"/>
          <w:b w:val="0"/>
          <w:bCs w:val="0"/>
          <w:kern w:val="2"/>
          <w:sz w:val="28"/>
          <w:szCs w:val="28"/>
        </w:rPr>
        <w:t>、商务响应表</w:t>
      </w:r>
      <w:bookmarkEnd w:id="114"/>
      <w:bookmarkEnd w:id="115"/>
      <w:bookmarkEnd w:id="116"/>
    </w:p>
    <w:p w14:paraId="22543E43">
      <w:pPr>
        <w:spacing w:line="460" w:lineRule="exact"/>
        <w:rPr>
          <w:color w:val="auto"/>
          <w:sz w:val="24"/>
          <w:highlight w:val="none"/>
        </w:rPr>
      </w:pPr>
      <w:bookmarkStart w:id="118" w:name="_Toc16509"/>
      <w:bookmarkStart w:id="119" w:name="_Toc17074"/>
      <w:r>
        <w:rPr>
          <w:color w:val="auto"/>
          <w:sz w:val="24"/>
          <w:highlight w:val="none"/>
        </w:rPr>
        <w:t>项目名称：</w:t>
      </w:r>
    </w:p>
    <w:p w14:paraId="13BD54B9">
      <w:pPr>
        <w:spacing w:line="460" w:lineRule="exact"/>
        <w:rPr>
          <w:color w:val="auto"/>
          <w:sz w:val="24"/>
          <w:highlight w:val="none"/>
        </w:rPr>
      </w:pPr>
      <w:r>
        <w:rPr>
          <w:rFonts w:hint="eastAsia"/>
          <w:color w:val="auto"/>
          <w:sz w:val="24"/>
          <w:highlight w:val="none"/>
        </w:rPr>
        <w:t>招标文件</w:t>
      </w:r>
      <w:r>
        <w:rPr>
          <w:color w:val="auto"/>
          <w:sz w:val="24"/>
          <w:highlight w:val="none"/>
        </w:rPr>
        <w:t>编号：</w:t>
      </w:r>
    </w:p>
    <w:p w14:paraId="7EE860B1">
      <w:pPr>
        <w:spacing w:line="460" w:lineRule="exact"/>
        <w:rPr>
          <w:rFonts w:hint="eastAsia" w:eastAsia="宋体"/>
          <w:color w:val="auto"/>
          <w:sz w:val="24"/>
          <w:highlight w:val="none"/>
          <w:u w:val="single"/>
          <w:lang w:val="en-US" w:eastAsia="zh-CN"/>
        </w:rPr>
      </w:pPr>
      <w:r>
        <w:rPr>
          <w:color w:val="auto"/>
          <w:sz w:val="24"/>
          <w:highlight w:val="none"/>
        </w:rPr>
        <w:t>包</w:t>
      </w:r>
      <w:r>
        <w:rPr>
          <w:rFonts w:hint="eastAsia"/>
          <w:color w:val="auto"/>
          <w:sz w:val="24"/>
          <w:highlight w:val="none"/>
          <w:lang w:val="en-US" w:eastAsia="zh-CN"/>
        </w:rPr>
        <w:t xml:space="preserve">    </w:t>
      </w:r>
      <w:r>
        <w:rPr>
          <w:color w:val="auto"/>
          <w:sz w:val="24"/>
          <w:highlight w:val="none"/>
        </w:rPr>
        <w:t>号：</w:t>
      </w:r>
      <w:r>
        <w:rPr>
          <w:rFonts w:hint="eastAsia"/>
          <w:color w:val="auto"/>
          <w:sz w:val="24"/>
          <w:highlight w:val="none"/>
          <w:lang w:val="en-US" w:eastAsia="zh-CN"/>
        </w:rPr>
        <w:t>/</w:t>
      </w:r>
    </w:p>
    <w:tbl>
      <w:tblPr>
        <w:tblStyle w:val="4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00"/>
        <w:gridCol w:w="2680"/>
        <w:gridCol w:w="1979"/>
        <w:gridCol w:w="1241"/>
      </w:tblGrid>
      <w:tr w14:paraId="5CC6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9A6A57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序号</w:t>
            </w:r>
          </w:p>
        </w:tc>
        <w:tc>
          <w:tcPr>
            <w:tcW w:w="2500" w:type="dxa"/>
            <w:vAlign w:val="center"/>
          </w:tcPr>
          <w:p w14:paraId="12EC00E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招标要求</w:t>
            </w:r>
          </w:p>
        </w:tc>
        <w:tc>
          <w:tcPr>
            <w:tcW w:w="2680" w:type="dxa"/>
            <w:vAlign w:val="center"/>
          </w:tcPr>
          <w:p w14:paraId="03136E4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投标应答</w:t>
            </w:r>
          </w:p>
        </w:tc>
        <w:tc>
          <w:tcPr>
            <w:tcW w:w="1979" w:type="dxa"/>
            <w:vAlign w:val="center"/>
          </w:tcPr>
          <w:p w14:paraId="1F55E43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偏离说明</w:t>
            </w:r>
          </w:p>
        </w:tc>
        <w:tc>
          <w:tcPr>
            <w:tcW w:w="1241" w:type="dxa"/>
            <w:vAlign w:val="center"/>
          </w:tcPr>
          <w:p w14:paraId="4BC9609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备注</w:t>
            </w:r>
          </w:p>
        </w:tc>
      </w:tr>
      <w:tr w14:paraId="0DC0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500A46C9">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一</w:t>
            </w:r>
            <w:r>
              <w:rPr>
                <w:color w:val="auto"/>
                <w:sz w:val="22"/>
                <w:szCs w:val="20"/>
                <w:highlight w:val="none"/>
              </w:rPr>
              <w:t>）报价要求</w:t>
            </w:r>
          </w:p>
        </w:tc>
      </w:tr>
      <w:tr w14:paraId="3AC5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5AE586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517EE4AA">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70FB52D1">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5F464CD3">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2FE4C7EF">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2F65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601F09CD">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rFonts w:hint="eastAsia"/>
                <w:color w:val="auto"/>
                <w:sz w:val="22"/>
                <w:szCs w:val="20"/>
                <w:highlight w:val="none"/>
              </w:rPr>
              <w:t>（二）服务要求</w:t>
            </w:r>
          </w:p>
        </w:tc>
      </w:tr>
      <w:tr w14:paraId="1C73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A9A42A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74A7575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483943CC">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22CCA8A3">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60ECD2EF">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19AD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80" w:type="dxa"/>
            <w:gridSpan w:val="5"/>
            <w:vAlign w:val="center"/>
          </w:tcPr>
          <w:p w14:paraId="4C3BE310">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rFonts w:hint="eastAsia"/>
                <w:color w:val="auto"/>
                <w:sz w:val="22"/>
                <w:szCs w:val="20"/>
                <w:highlight w:val="none"/>
              </w:rPr>
              <w:t>（三）交货要求</w:t>
            </w:r>
          </w:p>
        </w:tc>
      </w:tr>
      <w:tr w14:paraId="180B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37E650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7F01787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734B22E8">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20A98557">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304D6AE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10BE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54E733C5">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四</w:t>
            </w:r>
            <w:r>
              <w:rPr>
                <w:color w:val="auto"/>
                <w:sz w:val="22"/>
                <w:szCs w:val="20"/>
                <w:highlight w:val="none"/>
              </w:rPr>
              <w:t>）付款方式</w:t>
            </w:r>
          </w:p>
        </w:tc>
      </w:tr>
      <w:tr w14:paraId="5262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8A91E8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6AB4939A">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4A633F43">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71EC1ABB">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76FC549B">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0091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5750B138">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五</w:t>
            </w:r>
            <w:r>
              <w:rPr>
                <w:color w:val="auto"/>
                <w:sz w:val="22"/>
                <w:szCs w:val="20"/>
                <w:highlight w:val="none"/>
              </w:rPr>
              <w:t>）履约保证金</w:t>
            </w:r>
          </w:p>
        </w:tc>
      </w:tr>
      <w:tr w14:paraId="65AA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1DF06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50476374">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27582018">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4F088255">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7A6BE847">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146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80" w:type="dxa"/>
            <w:gridSpan w:val="5"/>
            <w:vAlign w:val="center"/>
          </w:tcPr>
          <w:p w14:paraId="1493615A">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rFonts w:hint="eastAsia"/>
                <w:color w:val="auto"/>
                <w:sz w:val="22"/>
                <w:szCs w:val="20"/>
                <w:highlight w:val="none"/>
              </w:rPr>
              <w:t>（六）验收标准</w:t>
            </w:r>
          </w:p>
        </w:tc>
      </w:tr>
      <w:tr w14:paraId="336A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976D83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74BDD6A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78FBBF21">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623166D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00C20E38">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bl>
    <w:p w14:paraId="1CDD6047">
      <w:pPr>
        <w:keepNext w:val="0"/>
        <w:keepLines w:val="0"/>
        <w:pageBreakBefore w:val="0"/>
        <w:widowControl w:val="0"/>
        <w:kinsoku/>
        <w:wordWrap/>
        <w:overflowPunct/>
        <w:topLinePunct w:val="0"/>
        <w:autoSpaceDE/>
        <w:autoSpaceDN/>
        <w:bidi w:val="0"/>
        <w:adjustRightInd/>
        <w:spacing w:line="360" w:lineRule="auto"/>
        <w:textAlignment w:val="auto"/>
        <w:rPr>
          <w:rFonts w:ascii="宋体" w:hAnsi="Times New Roman" w:eastAsia="宋体" w:cs="Times New Roman"/>
          <w:color w:val="auto"/>
          <w:kern w:val="0"/>
          <w:sz w:val="24"/>
          <w:szCs w:val="20"/>
          <w:highlight w:val="none"/>
        </w:rPr>
      </w:pPr>
      <w:r>
        <w:rPr>
          <w:color w:val="auto"/>
          <w:sz w:val="22"/>
          <w:szCs w:val="20"/>
          <w:highlight w:val="none"/>
        </w:rPr>
        <w:t>注：</w:t>
      </w:r>
      <w:r>
        <w:rPr>
          <w:rFonts w:hint="eastAsia" w:ascii="宋体" w:hAnsi="Times New Roman" w:eastAsia="宋体" w:cs="Times New Roman"/>
          <w:color w:val="auto"/>
          <w:kern w:val="0"/>
          <w:sz w:val="24"/>
          <w:szCs w:val="20"/>
          <w:highlight w:val="none"/>
          <w:lang w:val="en-US" w:eastAsia="zh-CN"/>
        </w:rPr>
        <w:t>1.</w:t>
      </w:r>
      <w:r>
        <w:rPr>
          <w:rFonts w:hint="eastAsia" w:ascii="宋体" w:hAnsi="Times New Roman" w:eastAsia="宋体" w:cs="Times New Roman"/>
          <w:color w:val="auto"/>
          <w:kern w:val="0"/>
          <w:sz w:val="24"/>
          <w:szCs w:val="20"/>
          <w:highlight w:val="none"/>
          <w:lang w:eastAsia="zh-CN"/>
        </w:rPr>
        <w:t>不提供此表视为无效投标。</w:t>
      </w:r>
    </w:p>
    <w:p w14:paraId="1F8D114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lang w:val="en-US" w:eastAsia="zh-CN"/>
        </w:rPr>
        <w:t xml:space="preserve">    2.</w:t>
      </w:r>
      <w:r>
        <w:rPr>
          <w:rFonts w:ascii="宋体" w:hAnsi="Times New Roman" w:eastAsia="宋体" w:cs="Times New Roman"/>
          <w:color w:val="auto"/>
          <w:kern w:val="0"/>
          <w:sz w:val="24"/>
          <w:szCs w:val="20"/>
          <w:highlight w:val="none"/>
        </w:rPr>
        <w:t>不如实填写偏离情况的视为虚假材料。</w:t>
      </w:r>
    </w:p>
    <w:p w14:paraId="74AB8D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lang w:val="en-US" w:eastAsia="zh-CN"/>
        </w:rPr>
        <w:t xml:space="preserve">    3.</w:t>
      </w:r>
      <w:r>
        <w:rPr>
          <w:rFonts w:hint="eastAsia" w:ascii="宋体" w:hAnsi="Times New Roman" w:eastAsia="宋体" w:cs="Times New Roman"/>
          <w:color w:val="auto"/>
          <w:kern w:val="0"/>
          <w:sz w:val="24"/>
          <w:szCs w:val="20"/>
          <w:highlight w:val="none"/>
        </w:rPr>
        <w:t>条款号指项目需求书中的序号或者编号，项目需求书中标注“</w:t>
      </w:r>
      <w:r>
        <w:rPr>
          <w:rFonts w:hint="eastAsia" w:ascii="宋体" w:hAnsi="宋体" w:eastAsia="宋体" w:cs="宋体"/>
          <w:color w:val="auto"/>
          <w:kern w:val="0"/>
          <w:sz w:val="24"/>
          <w:szCs w:val="24"/>
          <w:highlight w:val="none"/>
        </w:rPr>
        <w:t>●</w:t>
      </w:r>
      <w:r>
        <w:rPr>
          <w:rFonts w:hint="eastAsia" w:ascii="宋体" w:hAnsi="Times New Roman" w:eastAsia="宋体" w:cs="Times New Roman"/>
          <w:color w:val="auto"/>
          <w:kern w:val="0"/>
          <w:sz w:val="24"/>
          <w:szCs w:val="20"/>
          <w:highlight w:val="none"/>
        </w:rPr>
        <w:t>”的条款， 也必须在“条款号”中标注“</w:t>
      </w:r>
      <w:r>
        <w:rPr>
          <w:rFonts w:hint="eastAsia" w:ascii="宋体" w:hAnsi="宋体" w:eastAsia="宋体" w:cs="宋体"/>
          <w:color w:val="auto"/>
          <w:kern w:val="0"/>
          <w:sz w:val="24"/>
          <w:szCs w:val="24"/>
          <w:highlight w:val="none"/>
        </w:rPr>
        <w:t>●</w:t>
      </w:r>
      <w:r>
        <w:rPr>
          <w:rFonts w:hint="eastAsia" w:ascii="宋体" w:hAnsi="Times New Roman" w:eastAsia="宋体" w:cs="Times New Roman"/>
          <w:color w:val="auto"/>
          <w:kern w:val="0"/>
          <w:sz w:val="24"/>
          <w:szCs w:val="20"/>
          <w:highlight w:val="none"/>
        </w:rPr>
        <w:t>”。</w:t>
      </w:r>
    </w:p>
    <w:p w14:paraId="49CECF1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lang w:val="en-US" w:eastAsia="zh-CN"/>
        </w:rPr>
        <w:t xml:space="preserve">    4</w:t>
      </w:r>
      <w:r>
        <w:rPr>
          <w:rFonts w:ascii="宋体" w:hAnsi="Times New Roman" w:eastAsia="宋体" w:cs="Times New Roman"/>
          <w:color w:val="auto"/>
          <w:kern w:val="0"/>
          <w:sz w:val="24"/>
          <w:szCs w:val="20"/>
          <w:highlight w:val="none"/>
        </w:rPr>
        <w:t>. 偏离说明指招标要求与投标应答之间的不同之处</w:t>
      </w:r>
      <w:r>
        <w:rPr>
          <w:rFonts w:hint="eastAsia" w:ascii="宋体" w:hAnsi="Times New Roman" w:eastAsia="宋体" w:cs="Times New Roman"/>
          <w:color w:val="auto"/>
          <w:kern w:val="0"/>
          <w:sz w:val="24"/>
          <w:szCs w:val="20"/>
          <w:highlight w:val="none"/>
          <w:lang w:eastAsia="zh-CN"/>
        </w:rPr>
        <w:t>，如：正偏离、负偏离、无偏离</w:t>
      </w:r>
      <w:r>
        <w:rPr>
          <w:rFonts w:ascii="宋体" w:hAnsi="Times New Roman" w:eastAsia="宋体" w:cs="Times New Roman"/>
          <w:color w:val="auto"/>
          <w:kern w:val="0"/>
          <w:sz w:val="24"/>
          <w:szCs w:val="20"/>
          <w:highlight w:val="none"/>
        </w:rPr>
        <w:t>。</w:t>
      </w:r>
    </w:p>
    <w:p w14:paraId="3EA1E2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Ansi="宋体"/>
          <w:color w:val="auto"/>
          <w:sz w:val="22"/>
          <w:szCs w:val="22"/>
          <w:highlight w:val="none"/>
          <w:lang w:val="en-US" w:eastAsia="zh-CN"/>
        </w:rPr>
      </w:pPr>
      <w:r>
        <w:rPr>
          <w:rFonts w:hint="eastAsia" w:ascii="宋体" w:hAnsi="Times New Roman" w:eastAsia="宋体" w:cs="Times New Roman"/>
          <w:color w:val="auto"/>
          <w:kern w:val="0"/>
          <w:sz w:val="24"/>
          <w:szCs w:val="20"/>
          <w:highlight w:val="none"/>
          <w:lang w:val="en-US" w:eastAsia="zh-CN"/>
        </w:rPr>
        <w:t xml:space="preserve">    5</w:t>
      </w:r>
      <w:r>
        <w:rPr>
          <w:rFonts w:hint="eastAsia" w:ascii="宋体" w:hAnsi="Times New Roman" w:eastAsia="宋体" w:cs="Times New Roman"/>
          <w:color w:val="auto"/>
          <w:kern w:val="0"/>
          <w:sz w:val="24"/>
          <w:szCs w:val="20"/>
          <w:highlight w:val="none"/>
        </w:rPr>
        <w:t>. 投标人在《技术响应表》的投标应答中必须列出具体数值或内容。如投标人未应答或只注明“符合”、“满足”等类似无具体内容的表述，将被视为不符合招标文件要求。投标人自行承担由此造成的一切后果。</w:t>
      </w: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w:t>
      </w:r>
    </w:p>
    <w:p w14:paraId="47CAB75B">
      <w:pPr>
        <w:adjustRightInd w:val="0"/>
        <w:spacing w:line="360" w:lineRule="auto"/>
        <w:ind w:firstLine="440" w:firstLineChars="200"/>
        <w:jc w:val="left"/>
        <w:rPr>
          <w:rFonts w:hAnsi="宋体"/>
          <w:color w:val="auto"/>
          <w:sz w:val="22"/>
          <w:szCs w:val="22"/>
          <w:highlight w:val="none"/>
        </w:rPr>
      </w:pPr>
      <w:r>
        <w:rPr>
          <w:rFonts w:hint="eastAsia" w:hAnsi="宋体"/>
          <w:color w:val="auto"/>
          <w:sz w:val="22"/>
          <w:szCs w:val="22"/>
          <w:highlight w:val="none"/>
          <w:lang w:val="en-US" w:eastAsia="zh-CN"/>
        </w:rPr>
        <w:t xml:space="preserve">                                </w:t>
      </w:r>
      <w:r>
        <w:rPr>
          <w:rFonts w:hint="eastAsia" w:hAnsi="宋体"/>
          <w:color w:val="auto"/>
          <w:sz w:val="22"/>
          <w:szCs w:val="22"/>
          <w:highlight w:val="none"/>
        </w:rPr>
        <w:t xml:space="preserve">投标人（公章）：         </w:t>
      </w:r>
    </w:p>
    <w:p w14:paraId="6723F892">
      <w:pPr>
        <w:adjustRightInd w:val="0"/>
        <w:spacing w:line="360" w:lineRule="auto"/>
        <w:jc w:val="left"/>
        <w:rPr>
          <w:rFonts w:hAnsi="宋体"/>
          <w:bCs/>
          <w:color w:val="auto"/>
          <w:sz w:val="22"/>
          <w:szCs w:val="22"/>
          <w:highlight w:val="none"/>
        </w:rPr>
      </w:pPr>
      <w:r>
        <w:rPr>
          <w:rFonts w:hint="eastAsia" w:hAnsi="宋体"/>
          <w:color w:val="auto"/>
          <w:sz w:val="22"/>
          <w:szCs w:val="22"/>
          <w:highlight w:val="none"/>
        </w:rPr>
        <w:t xml:space="preserve">                                    法定代表人或</w:t>
      </w:r>
      <w:r>
        <w:rPr>
          <w:rFonts w:hint="eastAsia" w:hAnsi="宋体"/>
          <w:color w:val="auto"/>
          <w:sz w:val="22"/>
          <w:szCs w:val="22"/>
          <w:highlight w:val="none"/>
          <w:lang w:eastAsia="zh-CN"/>
        </w:rPr>
        <w:t>授权代表</w:t>
      </w:r>
      <w:r>
        <w:rPr>
          <w:rFonts w:hint="eastAsia" w:hAnsi="宋体"/>
          <w:color w:val="auto"/>
          <w:sz w:val="22"/>
          <w:szCs w:val="22"/>
          <w:highlight w:val="none"/>
        </w:rPr>
        <w:t>（签字</w:t>
      </w:r>
      <w:r>
        <w:rPr>
          <w:rFonts w:hint="eastAsia" w:hAnsi="宋体"/>
          <w:color w:val="auto"/>
          <w:sz w:val="22"/>
          <w:szCs w:val="22"/>
          <w:highlight w:val="none"/>
          <w:lang w:eastAsia="zh-CN"/>
        </w:rPr>
        <w:t>或盖章</w:t>
      </w:r>
      <w:r>
        <w:rPr>
          <w:rFonts w:hint="eastAsia" w:hAnsi="宋体"/>
          <w:color w:val="auto"/>
          <w:sz w:val="22"/>
          <w:szCs w:val="22"/>
          <w:highlight w:val="none"/>
        </w:rPr>
        <w:t>）：</w:t>
      </w:r>
    </w:p>
    <w:p w14:paraId="6485E91E">
      <w:pPr>
        <w:autoSpaceDN w:val="0"/>
        <w:spacing w:line="360" w:lineRule="auto"/>
        <w:jc w:val="center"/>
        <w:outlineLvl w:val="9"/>
        <w:rPr>
          <w:rFonts w:hint="eastAsia" w:hAnsi="宋体"/>
          <w:color w:val="auto"/>
          <w:sz w:val="22"/>
          <w:szCs w:val="22"/>
          <w:highlight w:val="none"/>
        </w:rPr>
      </w:pPr>
      <w:r>
        <w:rPr>
          <w:rFonts w:hint="eastAsia" w:hAnsi="宋体"/>
          <w:bCs/>
          <w:color w:val="auto"/>
          <w:sz w:val="24"/>
          <w:szCs w:val="24"/>
          <w:highlight w:val="none"/>
        </w:rPr>
        <w:t xml:space="preserve">                       </w:t>
      </w:r>
      <w:r>
        <w:rPr>
          <w:rFonts w:hint="eastAsia" w:hAnsi="宋体"/>
          <w:bCs/>
          <w:color w:val="auto"/>
          <w:sz w:val="22"/>
          <w:szCs w:val="22"/>
          <w:highlight w:val="none"/>
        </w:rPr>
        <w:t>日  期</w:t>
      </w:r>
      <w:r>
        <w:rPr>
          <w:rFonts w:hAnsi="宋体"/>
          <w:bCs/>
          <w:color w:val="auto"/>
          <w:sz w:val="22"/>
          <w:szCs w:val="22"/>
          <w:highlight w:val="none"/>
        </w:rPr>
        <w:t>:</w:t>
      </w:r>
      <w:r>
        <w:rPr>
          <w:rFonts w:hint="eastAsia" w:hAnsi="宋体"/>
          <w:bCs/>
          <w:color w:val="auto"/>
          <w:sz w:val="22"/>
          <w:szCs w:val="22"/>
          <w:highlight w:val="none"/>
          <w:lang w:val="en-US" w:eastAsia="zh-CN"/>
        </w:rPr>
        <w:t xml:space="preserve">   </w:t>
      </w:r>
      <w:r>
        <w:rPr>
          <w:rFonts w:hAnsi="宋体"/>
          <w:color w:val="auto"/>
          <w:sz w:val="22"/>
          <w:szCs w:val="22"/>
          <w:highlight w:val="none"/>
        </w:rPr>
        <w:t>年</w:t>
      </w:r>
      <w:r>
        <w:rPr>
          <w:rFonts w:hint="eastAsia" w:hAnsi="宋体"/>
          <w:color w:val="auto"/>
          <w:sz w:val="22"/>
          <w:szCs w:val="22"/>
          <w:highlight w:val="none"/>
          <w:lang w:val="en-US" w:eastAsia="zh-CN"/>
        </w:rPr>
        <w:t xml:space="preserve">  </w:t>
      </w:r>
      <w:r>
        <w:rPr>
          <w:rFonts w:hAnsi="宋体"/>
          <w:color w:val="auto"/>
          <w:sz w:val="22"/>
          <w:szCs w:val="22"/>
          <w:highlight w:val="none"/>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日</w:t>
      </w:r>
    </w:p>
    <w:p w14:paraId="5FF988D8">
      <w:pPr>
        <w:keepNext w:val="0"/>
        <w:keepLines w:val="0"/>
        <w:pageBreakBefore/>
        <w:widowControl w:val="0"/>
        <w:kinsoku/>
        <w:wordWrap/>
        <w:overflowPunct/>
        <w:topLinePunct w:val="0"/>
        <w:autoSpaceDE/>
        <w:autoSpaceDN w:val="0"/>
        <w:bidi w:val="0"/>
        <w:adjustRightInd/>
        <w:snapToGrid/>
        <w:spacing w:line="360" w:lineRule="auto"/>
        <w:jc w:val="center"/>
        <w:textAlignment w:val="auto"/>
        <w:outlineLvl w:val="1"/>
        <w:rPr>
          <w:color w:val="auto"/>
          <w:sz w:val="24"/>
          <w:highlight w:val="none"/>
        </w:rPr>
      </w:pPr>
      <w:bookmarkStart w:id="120" w:name="_Toc122"/>
      <w:r>
        <w:rPr>
          <w:rFonts w:hint="eastAsia"/>
          <w:color w:val="auto"/>
          <w:sz w:val="28"/>
          <w:szCs w:val="28"/>
          <w:highlight w:val="none"/>
          <w:lang w:val="en-US" w:eastAsia="zh-CN"/>
        </w:rPr>
        <w:t>八</w:t>
      </w:r>
      <w:r>
        <w:rPr>
          <w:rFonts w:hint="eastAsia"/>
          <w:color w:val="auto"/>
          <w:sz w:val="28"/>
          <w:szCs w:val="28"/>
          <w:highlight w:val="none"/>
        </w:rPr>
        <w:t>、</w:t>
      </w:r>
      <w:r>
        <w:rPr>
          <w:rFonts w:hint="eastAsia"/>
          <w:b/>
          <w:bCs/>
          <w:color w:val="auto"/>
          <w:sz w:val="28"/>
          <w:szCs w:val="28"/>
          <w:highlight w:val="none"/>
        </w:rPr>
        <w:t>售后服务承诺</w:t>
      </w:r>
      <w:bookmarkEnd w:id="120"/>
    </w:p>
    <w:tbl>
      <w:tblPr>
        <w:tblStyle w:val="46"/>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89"/>
        <w:gridCol w:w="6843"/>
      </w:tblGrid>
      <w:tr w14:paraId="7E7B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6AC05685">
            <w:pPr>
              <w:pStyle w:val="169"/>
              <w:spacing w:line="360" w:lineRule="auto"/>
              <w:jc w:val="center"/>
              <w:rPr>
                <w:rFonts w:cs="Arial"/>
                <w:color w:val="auto"/>
                <w:sz w:val="24"/>
                <w:highlight w:val="none"/>
              </w:rPr>
            </w:pPr>
            <w:r>
              <w:rPr>
                <w:rFonts w:hint="eastAsia" w:cs="Arial"/>
                <w:color w:val="auto"/>
                <w:sz w:val="24"/>
                <w:highlight w:val="none"/>
              </w:rPr>
              <w:t>序号</w:t>
            </w:r>
          </w:p>
        </w:tc>
        <w:tc>
          <w:tcPr>
            <w:tcW w:w="1289" w:type="dxa"/>
            <w:tcBorders>
              <w:top w:val="single" w:color="auto" w:sz="4" w:space="0"/>
              <w:left w:val="single" w:color="auto" w:sz="4" w:space="0"/>
              <w:bottom w:val="single" w:color="auto" w:sz="4" w:space="0"/>
              <w:right w:val="single" w:color="auto" w:sz="4" w:space="0"/>
            </w:tcBorders>
            <w:vAlign w:val="center"/>
          </w:tcPr>
          <w:p w14:paraId="07BEDC09">
            <w:pPr>
              <w:pStyle w:val="169"/>
              <w:spacing w:line="360" w:lineRule="auto"/>
              <w:jc w:val="center"/>
              <w:rPr>
                <w:rFonts w:cs="Arial"/>
                <w:color w:val="auto"/>
                <w:sz w:val="24"/>
                <w:highlight w:val="none"/>
              </w:rPr>
            </w:pPr>
            <w:r>
              <w:rPr>
                <w:rFonts w:hint="eastAsia" w:cs="Arial"/>
                <w:color w:val="auto"/>
                <w:sz w:val="24"/>
                <w:highlight w:val="none"/>
              </w:rPr>
              <w:t>项目</w:t>
            </w:r>
          </w:p>
        </w:tc>
        <w:tc>
          <w:tcPr>
            <w:tcW w:w="6843" w:type="dxa"/>
            <w:tcBorders>
              <w:top w:val="single" w:color="auto" w:sz="4" w:space="0"/>
              <w:left w:val="single" w:color="auto" w:sz="4" w:space="0"/>
              <w:bottom w:val="single" w:color="auto" w:sz="4" w:space="0"/>
              <w:right w:val="single" w:color="auto" w:sz="4" w:space="0"/>
            </w:tcBorders>
            <w:vAlign w:val="center"/>
          </w:tcPr>
          <w:p w14:paraId="3BA80C9E">
            <w:pPr>
              <w:pStyle w:val="169"/>
              <w:spacing w:line="360" w:lineRule="auto"/>
              <w:jc w:val="center"/>
              <w:rPr>
                <w:rFonts w:cs="Arial"/>
                <w:color w:val="auto"/>
                <w:sz w:val="24"/>
                <w:highlight w:val="none"/>
              </w:rPr>
            </w:pPr>
            <w:r>
              <w:rPr>
                <w:rFonts w:hint="eastAsia" w:cs="Arial"/>
                <w:color w:val="auto"/>
                <w:sz w:val="24"/>
                <w:highlight w:val="none"/>
              </w:rPr>
              <w:t>承诺内容</w:t>
            </w:r>
          </w:p>
        </w:tc>
      </w:tr>
      <w:tr w14:paraId="09B9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3D10676E">
            <w:pPr>
              <w:pStyle w:val="169"/>
              <w:spacing w:line="360" w:lineRule="auto"/>
              <w:jc w:val="center"/>
              <w:rPr>
                <w:rFonts w:cs="Arial"/>
                <w:bCs/>
                <w:color w:val="auto"/>
                <w:sz w:val="24"/>
                <w:highlight w:val="none"/>
              </w:rPr>
            </w:pPr>
            <w:r>
              <w:rPr>
                <w:rFonts w:hint="eastAsia" w:cs="Arial"/>
                <w:bCs/>
                <w:color w:val="auto"/>
                <w:sz w:val="24"/>
                <w:highlight w:val="none"/>
              </w:rPr>
              <w:t>1</w:t>
            </w:r>
          </w:p>
        </w:tc>
        <w:tc>
          <w:tcPr>
            <w:tcW w:w="1289" w:type="dxa"/>
            <w:tcBorders>
              <w:top w:val="single" w:color="auto" w:sz="4" w:space="0"/>
              <w:left w:val="single" w:color="auto" w:sz="4" w:space="0"/>
              <w:bottom w:val="single" w:color="auto" w:sz="4" w:space="0"/>
              <w:right w:val="single" w:color="auto" w:sz="4" w:space="0"/>
            </w:tcBorders>
            <w:vAlign w:val="center"/>
          </w:tcPr>
          <w:p w14:paraId="61EE55CE">
            <w:pPr>
              <w:pStyle w:val="169"/>
              <w:spacing w:line="360" w:lineRule="auto"/>
              <w:jc w:val="center"/>
              <w:rPr>
                <w:rFonts w:cs="Arial"/>
                <w:bCs/>
                <w:color w:val="auto"/>
                <w:sz w:val="24"/>
                <w:highlight w:val="none"/>
              </w:rPr>
            </w:pPr>
            <w:r>
              <w:rPr>
                <w:rFonts w:hint="eastAsia" w:cs="Arial"/>
                <w:bCs/>
                <w:color w:val="auto"/>
                <w:sz w:val="24"/>
                <w:highlight w:val="none"/>
              </w:rPr>
              <w:t>保修期内</w:t>
            </w:r>
          </w:p>
        </w:tc>
        <w:tc>
          <w:tcPr>
            <w:tcW w:w="6843" w:type="dxa"/>
            <w:tcBorders>
              <w:top w:val="single" w:color="auto" w:sz="4" w:space="0"/>
              <w:left w:val="single" w:color="auto" w:sz="4" w:space="0"/>
              <w:right w:val="single" w:color="auto" w:sz="4" w:space="0"/>
            </w:tcBorders>
            <w:vAlign w:val="center"/>
          </w:tcPr>
          <w:p w14:paraId="10CDBCD4">
            <w:pPr>
              <w:pStyle w:val="169"/>
              <w:spacing w:line="360" w:lineRule="auto"/>
              <w:rPr>
                <w:rFonts w:cs="Arial"/>
                <w:bCs/>
                <w:color w:val="auto"/>
                <w:sz w:val="24"/>
                <w:highlight w:val="none"/>
              </w:rPr>
            </w:pPr>
          </w:p>
        </w:tc>
      </w:tr>
      <w:tr w14:paraId="4A76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43" w:type="dxa"/>
            <w:tcBorders>
              <w:top w:val="single" w:color="auto" w:sz="4" w:space="0"/>
              <w:left w:val="single" w:color="auto" w:sz="4" w:space="0"/>
              <w:right w:val="single" w:color="auto" w:sz="4" w:space="0"/>
            </w:tcBorders>
            <w:vAlign w:val="center"/>
          </w:tcPr>
          <w:p w14:paraId="204C911E">
            <w:pPr>
              <w:pStyle w:val="169"/>
              <w:spacing w:line="360" w:lineRule="auto"/>
              <w:jc w:val="center"/>
              <w:rPr>
                <w:rFonts w:cs="Arial"/>
                <w:bCs/>
                <w:color w:val="auto"/>
                <w:sz w:val="24"/>
                <w:highlight w:val="none"/>
              </w:rPr>
            </w:pPr>
            <w:r>
              <w:rPr>
                <w:rFonts w:hint="eastAsia" w:cs="Arial"/>
                <w:bCs/>
                <w:color w:val="auto"/>
                <w:sz w:val="24"/>
                <w:highlight w:val="none"/>
              </w:rPr>
              <w:t>2</w:t>
            </w:r>
          </w:p>
        </w:tc>
        <w:tc>
          <w:tcPr>
            <w:tcW w:w="1289" w:type="dxa"/>
            <w:tcBorders>
              <w:top w:val="single" w:color="auto" w:sz="4" w:space="0"/>
              <w:left w:val="single" w:color="auto" w:sz="4" w:space="0"/>
              <w:right w:val="single" w:color="auto" w:sz="4" w:space="0"/>
            </w:tcBorders>
            <w:vAlign w:val="center"/>
          </w:tcPr>
          <w:p w14:paraId="6DB7D32D">
            <w:pPr>
              <w:pStyle w:val="169"/>
              <w:spacing w:line="360" w:lineRule="auto"/>
              <w:jc w:val="center"/>
              <w:rPr>
                <w:rFonts w:cs="Arial"/>
                <w:bCs/>
                <w:color w:val="auto"/>
                <w:sz w:val="24"/>
                <w:highlight w:val="none"/>
              </w:rPr>
            </w:pPr>
            <w:r>
              <w:rPr>
                <w:rFonts w:hint="eastAsia" w:cs="Arial"/>
                <w:bCs/>
                <w:color w:val="auto"/>
                <w:sz w:val="24"/>
                <w:highlight w:val="none"/>
              </w:rPr>
              <w:t>保修期后</w:t>
            </w:r>
          </w:p>
        </w:tc>
        <w:tc>
          <w:tcPr>
            <w:tcW w:w="6843" w:type="dxa"/>
            <w:tcBorders>
              <w:top w:val="single" w:color="auto" w:sz="4" w:space="0"/>
              <w:left w:val="single" w:color="auto" w:sz="4" w:space="0"/>
              <w:right w:val="single" w:color="auto" w:sz="4" w:space="0"/>
            </w:tcBorders>
            <w:vAlign w:val="center"/>
          </w:tcPr>
          <w:p w14:paraId="317FE2BE">
            <w:pPr>
              <w:pStyle w:val="169"/>
              <w:spacing w:line="360" w:lineRule="auto"/>
              <w:rPr>
                <w:rFonts w:cs="Arial"/>
                <w:bCs/>
                <w:color w:val="auto"/>
                <w:sz w:val="24"/>
                <w:highlight w:val="none"/>
              </w:rPr>
            </w:pPr>
          </w:p>
        </w:tc>
      </w:tr>
      <w:tr w14:paraId="1F2C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509B08AB">
            <w:pPr>
              <w:pStyle w:val="169"/>
              <w:spacing w:line="360" w:lineRule="auto"/>
              <w:jc w:val="center"/>
              <w:rPr>
                <w:rFonts w:cs="Arial"/>
                <w:bCs/>
                <w:color w:val="auto"/>
                <w:sz w:val="24"/>
                <w:highlight w:val="none"/>
              </w:rPr>
            </w:pPr>
            <w:r>
              <w:rPr>
                <w:rFonts w:hint="eastAsia" w:cs="Arial"/>
                <w:bCs/>
                <w:color w:val="auto"/>
                <w:sz w:val="24"/>
                <w:highlight w:val="none"/>
              </w:rPr>
              <w:t>3</w:t>
            </w:r>
          </w:p>
        </w:tc>
        <w:tc>
          <w:tcPr>
            <w:tcW w:w="1289" w:type="dxa"/>
            <w:tcBorders>
              <w:top w:val="single" w:color="auto" w:sz="4" w:space="0"/>
              <w:left w:val="single" w:color="auto" w:sz="4" w:space="0"/>
              <w:bottom w:val="single" w:color="auto" w:sz="4" w:space="0"/>
              <w:right w:val="single" w:color="auto" w:sz="4" w:space="0"/>
            </w:tcBorders>
            <w:vAlign w:val="center"/>
          </w:tcPr>
          <w:p w14:paraId="417F4A0E">
            <w:pPr>
              <w:pStyle w:val="169"/>
              <w:spacing w:line="360" w:lineRule="auto"/>
              <w:jc w:val="center"/>
              <w:rPr>
                <w:rFonts w:cs="Arial"/>
                <w:bCs/>
                <w:color w:val="auto"/>
                <w:sz w:val="24"/>
                <w:highlight w:val="none"/>
              </w:rPr>
            </w:pPr>
            <w:r>
              <w:rPr>
                <w:rFonts w:hint="eastAsia" w:cs="Arial"/>
                <w:bCs/>
                <w:color w:val="auto"/>
                <w:sz w:val="24"/>
                <w:highlight w:val="none"/>
              </w:rPr>
              <w:t>培训方案</w:t>
            </w:r>
          </w:p>
        </w:tc>
        <w:tc>
          <w:tcPr>
            <w:tcW w:w="6843" w:type="dxa"/>
            <w:tcBorders>
              <w:top w:val="single" w:color="auto" w:sz="4" w:space="0"/>
              <w:left w:val="single" w:color="auto" w:sz="4" w:space="0"/>
              <w:bottom w:val="single" w:color="auto" w:sz="4" w:space="0"/>
              <w:right w:val="single" w:color="auto" w:sz="4" w:space="0"/>
            </w:tcBorders>
            <w:vAlign w:val="center"/>
          </w:tcPr>
          <w:p w14:paraId="328B48FB">
            <w:pPr>
              <w:pStyle w:val="169"/>
              <w:spacing w:line="360" w:lineRule="auto"/>
              <w:rPr>
                <w:rFonts w:cs="Arial"/>
                <w:bCs/>
                <w:color w:val="auto"/>
                <w:sz w:val="24"/>
                <w:highlight w:val="none"/>
              </w:rPr>
            </w:pPr>
          </w:p>
          <w:p w14:paraId="7A43A886">
            <w:pPr>
              <w:pStyle w:val="169"/>
              <w:spacing w:line="360" w:lineRule="auto"/>
              <w:rPr>
                <w:rFonts w:cs="Arial"/>
                <w:bCs/>
                <w:color w:val="auto"/>
                <w:sz w:val="24"/>
                <w:highlight w:val="none"/>
              </w:rPr>
            </w:pPr>
          </w:p>
        </w:tc>
      </w:tr>
      <w:tr w14:paraId="33A5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16473D60">
            <w:pPr>
              <w:pStyle w:val="169"/>
              <w:spacing w:line="360" w:lineRule="auto"/>
              <w:jc w:val="center"/>
              <w:rPr>
                <w:rFonts w:cs="Arial"/>
                <w:bCs/>
                <w:color w:val="auto"/>
                <w:sz w:val="24"/>
                <w:highlight w:val="none"/>
              </w:rPr>
            </w:pPr>
            <w:r>
              <w:rPr>
                <w:rFonts w:hint="eastAsia" w:cs="Arial"/>
                <w:bCs/>
                <w:color w:val="auto"/>
                <w:sz w:val="24"/>
                <w:highlight w:val="none"/>
              </w:rPr>
              <w:t>4</w:t>
            </w:r>
          </w:p>
        </w:tc>
        <w:tc>
          <w:tcPr>
            <w:tcW w:w="1289" w:type="dxa"/>
            <w:tcBorders>
              <w:top w:val="single" w:color="auto" w:sz="4" w:space="0"/>
              <w:left w:val="single" w:color="auto" w:sz="4" w:space="0"/>
              <w:bottom w:val="single" w:color="auto" w:sz="4" w:space="0"/>
              <w:right w:val="single" w:color="auto" w:sz="4" w:space="0"/>
            </w:tcBorders>
            <w:vAlign w:val="center"/>
          </w:tcPr>
          <w:p w14:paraId="527078E4">
            <w:pPr>
              <w:pStyle w:val="169"/>
              <w:spacing w:line="360" w:lineRule="auto"/>
              <w:jc w:val="center"/>
              <w:rPr>
                <w:rFonts w:cs="Arial"/>
                <w:bCs/>
                <w:color w:val="auto"/>
                <w:sz w:val="24"/>
                <w:highlight w:val="none"/>
              </w:rPr>
            </w:pPr>
            <w:r>
              <w:rPr>
                <w:rFonts w:hint="eastAsia" w:cs="Arial"/>
                <w:bCs/>
                <w:color w:val="auto"/>
                <w:sz w:val="24"/>
                <w:highlight w:val="none"/>
              </w:rPr>
              <w:t>其他内容</w:t>
            </w:r>
          </w:p>
        </w:tc>
        <w:tc>
          <w:tcPr>
            <w:tcW w:w="6843" w:type="dxa"/>
            <w:tcBorders>
              <w:top w:val="single" w:color="auto" w:sz="4" w:space="0"/>
              <w:left w:val="single" w:color="auto" w:sz="4" w:space="0"/>
              <w:bottom w:val="single" w:color="auto" w:sz="4" w:space="0"/>
              <w:right w:val="single" w:color="auto" w:sz="4" w:space="0"/>
            </w:tcBorders>
            <w:vAlign w:val="center"/>
          </w:tcPr>
          <w:p w14:paraId="62F816E9">
            <w:pPr>
              <w:pStyle w:val="169"/>
              <w:spacing w:line="360" w:lineRule="auto"/>
              <w:rPr>
                <w:rFonts w:cs="Arial"/>
                <w:bCs/>
                <w:color w:val="auto"/>
                <w:sz w:val="24"/>
                <w:highlight w:val="none"/>
              </w:rPr>
            </w:pPr>
          </w:p>
          <w:p w14:paraId="4A71E988">
            <w:pPr>
              <w:pStyle w:val="169"/>
              <w:spacing w:line="360" w:lineRule="auto"/>
              <w:rPr>
                <w:rFonts w:cs="Arial"/>
                <w:bCs/>
                <w:color w:val="auto"/>
                <w:sz w:val="24"/>
                <w:highlight w:val="none"/>
              </w:rPr>
            </w:pPr>
          </w:p>
        </w:tc>
      </w:tr>
    </w:tbl>
    <w:p w14:paraId="26D09A69">
      <w:pPr>
        <w:spacing w:line="620" w:lineRule="exact"/>
        <w:rPr>
          <w:color w:val="auto"/>
          <w:sz w:val="24"/>
          <w:highlight w:val="none"/>
        </w:rPr>
      </w:pPr>
      <w:r>
        <w:rPr>
          <w:rFonts w:hint="eastAsia"/>
          <w:color w:val="auto"/>
          <w:sz w:val="24"/>
          <w:highlight w:val="none"/>
        </w:rPr>
        <w:t>注：投标人可参照以上格式和内容或由投标人自拟格式。</w:t>
      </w:r>
    </w:p>
    <w:p w14:paraId="2D226372">
      <w:pPr>
        <w:spacing w:line="360" w:lineRule="auto"/>
        <w:ind w:firstLine="4080" w:firstLineChars="1700"/>
        <w:rPr>
          <w:color w:val="auto"/>
          <w:sz w:val="24"/>
          <w:highlight w:val="none"/>
        </w:rPr>
      </w:pPr>
    </w:p>
    <w:p w14:paraId="53172779">
      <w:pPr>
        <w:spacing w:line="360" w:lineRule="auto"/>
        <w:ind w:firstLine="4080" w:firstLineChars="1700"/>
        <w:rPr>
          <w:color w:val="auto"/>
          <w:sz w:val="24"/>
          <w:highlight w:val="none"/>
        </w:rPr>
      </w:pPr>
    </w:p>
    <w:p w14:paraId="6A9049ED">
      <w:pPr>
        <w:spacing w:line="360" w:lineRule="auto"/>
        <w:ind w:firstLine="4080" w:firstLineChars="1700"/>
        <w:rPr>
          <w:color w:val="auto"/>
          <w:sz w:val="24"/>
          <w:highlight w:val="none"/>
        </w:rPr>
      </w:pPr>
      <w:r>
        <w:rPr>
          <w:rFonts w:hint="eastAsia"/>
          <w:color w:val="auto"/>
          <w:sz w:val="24"/>
          <w:highlight w:val="none"/>
        </w:rPr>
        <w:t>投标人（公章）：</w:t>
      </w:r>
    </w:p>
    <w:p w14:paraId="22EAE944">
      <w:pPr>
        <w:spacing w:line="360" w:lineRule="auto"/>
        <w:ind w:firstLine="4080" w:firstLineChars="1700"/>
        <w:rPr>
          <w:color w:val="auto"/>
          <w:sz w:val="24"/>
          <w:highlight w:val="none"/>
        </w:rPr>
      </w:pPr>
      <w:r>
        <w:rPr>
          <w:color w:val="auto"/>
          <w:sz w:val="24"/>
          <w:highlight w:val="none"/>
        </w:rPr>
        <w:t>日期：年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14:paraId="5A00BC0E">
      <w:pPr>
        <w:autoSpaceDN w:val="0"/>
        <w:spacing w:line="360" w:lineRule="auto"/>
        <w:jc w:val="center"/>
        <w:rPr>
          <w:rFonts w:hint="eastAsia" w:hAnsi="宋体"/>
          <w:b/>
          <w:color w:val="auto"/>
          <w:kern w:val="2"/>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D16D205">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1"/>
        <w:rPr>
          <w:rFonts w:hint="eastAsia" w:hAnsi="宋体"/>
          <w:b/>
          <w:bCs/>
          <w:color w:val="auto"/>
          <w:sz w:val="30"/>
          <w:szCs w:val="30"/>
          <w:highlight w:val="none"/>
          <w:lang w:eastAsia="zh-CN"/>
        </w:rPr>
      </w:pPr>
      <w:bookmarkStart w:id="121" w:name="_Toc9110"/>
      <w:r>
        <w:rPr>
          <w:rFonts w:hint="eastAsia" w:ascii="宋体" w:hAnsi="宋体" w:cs="宋体"/>
          <w:b/>
          <w:bCs/>
          <w:kern w:val="2"/>
          <w:sz w:val="28"/>
          <w:szCs w:val="28"/>
          <w:lang w:val="en-US" w:eastAsia="zh-CN"/>
        </w:rPr>
        <w:t>九</w:t>
      </w:r>
      <w:r>
        <w:rPr>
          <w:rFonts w:hint="eastAsia" w:ascii="宋体" w:hAnsi="宋体" w:cs="宋体"/>
          <w:b/>
          <w:bCs/>
          <w:kern w:val="2"/>
          <w:sz w:val="28"/>
          <w:szCs w:val="28"/>
        </w:rPr>
        <w:t>、</w:t>
      </w:r>
      <w:bookmarkEnd w:id="118"/>
      <w:bookmarkEnd w:id="119"/>
      <w:r>
        <w:rPr>
          <w:rFonts w:hint="eastAsia" w:hAnsi="宋体"/>
          <w:b/>
          <w:bCs/>
          <w:color w:val="auto"/>
          <w:sz w:val="30"/>
          <w:szCs w:val="30"/>
          <w:highlight w:val="none"/>
          <w:lang w:eastAsia="zh-CN"/>
        </w:rPr>
        <w:t>技术响应表</w:t>
      </w:r>
      <w:bookmarkEnd w:id="121"/>
    </w:p>
    <w:p w14:paraId="43ECF88E">
      <w:pPr>
        <w:spacing w:line="460" w:lineRule="exact"/>
        <w:rPr>
          <w:color w:val="auto"/>
          <w:sz w:val="24"/>
          <w:highlight w:val="none"/>
        </w:rPr>
      </w:pPr>
      <w:r>
        <w:rPr>
          <w:color w:val="auto"/>
          <w:sz w:val="24"/>
          <w:highlight w:val="none"/>
        </w:rPr>
        <w:t>项目名称：</w:t>
      </w:r>
    </w:p>
    <w:p w14:paraId="6C635A13">
      <w:pPr>
        <w:spacing w:line="460" w:lineRule="exact"/>
        <w:rPr>
          <w:rFonts w:hint="eastAsia" w:eastAsia="宋体"/>
          <w:color w:val="auto"/>
          <w:sz w:val="24"/>
          <w:highlight w:val="none"/>
          <w:u w:val="single"/>
          <w:lang w:val="en-US" w:eastAsia="zh-CN"/>
        </w:rPr>
      </w:pPr>
      <w:r>
        <w:rPr>
          <w:rFonts w:hint="eastAsia"/>
          <w:color w:val="auto"/>
          <w:sz w:val="24"/>
          <w:highlight w:val="none"/>
        </w:rPr>
        <w:t>招标文件</w:t>
      </w:r>
      <w:r>
        <w:rPr>
          <w:color w:val="auto"/>
          <w:sz w:val="24"/>
          <w:highlight w:val="none"/>
        </w:rPr>
        <w:t>编号：</w:t>
      </w:r>
      <w:r>
        <w:rPr>
          <w:rFonts w:hint="eastAsia"/>
          <w:color w:val="auto"/>
          <w:sz w:val="24"/>
          <w:highlight w:val="none"/>
          <w:lang w:val="en-US" w:eastAsia="zh-CN"/>
        </w:rPr>
        <w:t xml:space="preserve">                                        </w:t>
      </w:r>
      <w:r>
        <w:rPr>
          <w:color w:val="auto"/>
          <w:sz w:val="24"/>
          <w:highlight w:val="none"/>
        </w:rPr>
        <w:t>包号：</w:t>
      </w:r>
      <w:r>
        <w:rPr>
          <w:rFonts w:hint="eastAsia"/>
          <w:color w:val="auto"/>
          <w:sz w:val="24"/>
          <w:highlight w:val="none"/>
          <w:lang w:val="en-US" w:eastAsia="zh-CN"/>
        </w:rPr>
        <w:t>/</w:t>
      </w:r>
    </w:p>
    <w:tbl>
      <w:tblPr>
        <w:tblStyle w:val="4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288"/>
        <w:gridCol w:w="2242"/>
        <w:gridCol w:w="1085"/>
        <w:gridCol w:w="1372"/>
      </w:tblGrid>
      <w:tr w14:paraId="2A3B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720" w:type="dxa"/>
            <w:gridSpan w:val="5"/>
            <w:vAlign w:val="center"/>
          </w:tcPr>
          <w:p w14:paraId="0CD037AC">
            <w:pPr>
              <w:widowControl/>
              <w:snapToGrid w:val="0"/>
              <w:rPr>
                <w:b/>
                <w:color w:val="auto"/>
                <w:sz w:val="24"/>
                <w:szCs w:val="21"/>
                <w:highlight w:val="none"/>
              </w:rPr>
            </w:pPr>
            <w:r>
              <w:rPr>
                <w:b/>
                <w:color w:val="auto"/>
                <w:sz w:val="24"/>
                <w:szCs w:val="21"/>
                <w:highlight w:val="none"/>
              </w:rPr>
              <w:t>项目需求书</w:t>
            </w:r>
            <w:r>
              <w:rPr>
                <w:rFonts w:hint="eastAsia"/>
                <w:b/>
                <w:color w:val="auto"/>
                <w:sz w:val="24"/>
                <w:szCs w:val="21"/>
                <w:highlight w:val="none"/>
              </w:rPr>
              <w:t>所有条款的应答</w:t>
            </w:r>
          </w:p>
        </w:tc>
      </w:tr>
      <w:tr w14:paraId="04D1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33" w:type="dxa"/>
            <w:vAlign w:val="center"/>
          </w:tcPr>
          <w:p w14:paraId="6230724A">
            <w:pPr>
              <w:widowControl/>
              <w:snapToGrid w:val="0"/>
              <w:jc w:val="center"/>
              <w:rPr>
                <w:color w:val="auto"/>
                <w:sz w:val="24"/>
                <w:szCs w:val="21"/>
                <w:highlight w:val="none"/>
              </w:rPr>
            </w:pPr>
            <w:r>
              <w:rPr>
                <w:rFonts w:hint="eastAsia"/>
                <w:color w:val="auto"/>
                <w:sz w:val="24"/>
                <w:szCs w:val="21"/>
                <w:highlight w:val="none"/>
              </w:rPr>
              <w:t>条款号</w:t>
            </w:r>
          </w:p>
        </w:tc>
        <w:tc>
          <w:tcPr>
            <w:tcW w:w="2288" w:type="dxa"/>
            <w:vAlign w:val="center"/>
          </w:tcPr>
          <w:p w14:paraId="55B27F77">
            <w:pPr>
              <w:snapToGrid w:val="0"/>
              <w:jc w:val="center"/>
              <w:rPr>
                <w:color w:val="auto"/>
                <w:sz w:val="24"/>
                <w:szCs w:val="21"/>
                <w:highlight w:val="none"/>
              </w:rPr>
            </w:pPr>
            <w:r>
              <w:rPr>
                <w:color w:val="auto"/>
                <w:sz w:val="24"/>
                <w:szCs w:val="21"/>
                <w:highlight w:val="none"/>
              </w:rPr>
              <w:t>招标要求</w:t>
            </w:r>
          </w:p>
        </w:tc>
        <w:tc>
          <w:tcPr>
            <w:tcW w:w="2242" w:type="dxa"/>
            <w:vAlign w:val="center"/>
          </w:tcPr>
          <w:p w14:paraId="4F9EC5EB">
            <w:pPr>
              <w:widowControl/>
              <w:snapToGrid w:val="0"/>
              <w:jc w:val="center"/>
              <w:rPr>
                <w:color w:val="auto"/>
                <w:sz w:val="24"/>
                <w:szCs w:val="21"/>
                <w:highlight w:val="none"/>
              </w:rPr>
            </w:pPr>
            <w:r>
              <w:rPr>
                <w:color w:val="auto"/>
                <w:sz w:val="24"/>
                <w:szCs w:val="21"/>
                <w:highlight w:val="none"/>
              </w:rPr>
              <w:t>投标应答</w:t>
            </w:r>
          </w:p>
        </w:tc>
        <w:tc>
          <w:tcPr>
            <w:tcW w:w="1085" w:type="dxa"/>
            <w:vAlign w:val="center"/>
          </w:tcPr>
          <w:p w14:paraId="78F4D2EC">
            <w:pPr>
              <w:widowControl/>
              <w:snapToGrid w:val="0"/>
              <w:jc w:val="center"/>
              <w:rPr>
                <w:color w:val="auto"/>
                <w:sz w:val="24"/>
                <w:szCs w:val="21"/>
                <w:highlight w:val="none"/>
              </w:rPr>
            </w:pPr>
            <w:r>
              <w:rPr>
                <w:color w:val="auto"/>
                <w:sz w:val="24"/>
                <w:szCs w:val="21"/>
                <w:highlight w:val="none"/>
              </w:rPr>
              <w:t>偏离</w:t>
            </w:r>
          </w:p>
          <w:p w14:paraId="4A1521C7">
            <w:pPr>
              <w:widowControl/>
              <w:snapToGrid w:val="0"/>
              <w:jc w:val="center"/>
              <w:rPr>
                <w:color w:val="auto"/>
                <w:sz w:val="24"/>
                <w:szCs w:val="21"/>
                <w:highlight w:val="none"/>
              </w:rPr>
            </w:pPr>
            <w:r>
              <w:rPr>
                <w:color w:val="auto"/>
                <w:sz w:val="24"/>
                <w:szCs w:val="21"/>
                <w:highlight w:val="none"/>
              </w:rPr>
              <w:t>说明</w:t>
            </w:r>
          </w:p>
        </w:tc>
        <w:tc>
          <w:tcPr>
            <w:tcW w:w="1372" w:type="dxa"/>
            <w:vAlign w:val="center"/>
          </w:tcPr>
          <w:p w14:paraId="0709DFB7">
            <w:pPr>
              <w:widowControl/>
              <w:snapToGrid w:val="0"/>
              <w:jc w:val="center"/>
              <w:rPr>
                <w:color w:val="auto"/>
                <w:sz w:val="24"/>
                <w:szCs w:val="21"/>
                <w:highlight w:val="none"/>
              </w:rPr>
            </w:pPr>
            <w:r>
              <w:rPr>
                <w:rFonts w:hint="eastAsia"/>
                <w:color w:val="auto"/>
                <w:sz w:val="24"/>
                <w:szCs w:val="21"/>
                <w:highlight w:val="none"/>
              </w:rPr>
              <w:t>技术支撑材料所在页码</w:t>
            </w:r>
          </w:p>
        </w:tc>
      </w:tr>
      <w:tr w14:paraId="5D3E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2F47D347">
            <w:pPr>
              <w:widowControl/>
              <w:snapToGrid w:val="0"/>
              <w:jc w:val="center"/>
              <w:rPr>
                <w:color w:val="auto"/>
                <w:sz w:val="24"/>
                <w:szCs w:val="21"/>
                <w:highlight w:val="none"/>
              </w:rPr>
            </w:pPr>
          </w:p>
        </w:tc>
        <w:tc>
          <w:tcPr>
            <w:tcW w:w="2288" w:type="dxa"/>
            <w:vAlign w:val="center"/>
          </w:tcPr>
          <w:p w14:paraId="218FE291">
            <w:pPr>
              <w:widowControl/>
              <w:snapToGrid w:val="0"/>
              <w:jc w:val="center"/>
              <w:rPr>
                <w:color w:val="auto"/>
                <w:sz w:val="24"/>
                <w:szCs w:val="21"/>
                <w:highlight w:val="none"/>
              </w:rPr>
            </w:pPr>
          </w:p>
        </w:tc>
        <w:tc>
          <w:tcPr>
            <w:tcW w:w="2242" w:type="dxa"/>
            <w:vAlign w:val="center"/>
          </w:tcPr>
          <w:p w14:paraId="13D6FAFE">
            <w:pPr>
              <w:widowControl/>
              <w:snapToGrid w:val="0"/>
              <w:jc w:val="center"/>
              <w:rPr>
                <w:color w:val="auto"/>
                <w:sz w:val="24"/>
                <w:szCs w:val="21"/>
                <w:highlight w:val="none"/>
              </w:rPr>
            </w:pPr>
          </w:p>
        </w:tc>
        <w:tc>
          <w:tcPr>
            <w:tcW w:w="1085" w:type="dxa"/>
            <w:vAlign w:val="center"/>
          </w:tcPr>
          <w:p w14:paraId="39D33CF8">
            <w:pPr>
              <w:widowControl/>
              <w:snapToGrid w:val="0"/>
              <w:jc w:val="center"/>
              <w:rPr>
                <w:color w:val="auto"/>
                <w:sz w:val="24"/>
                <w:szCs w:val="21"/>
                <w:highlight w:val="none"/>
              </w:rPr>
            </w:pPr>
          </w:p>
        </w:tc>
        <w:tc>
          <w:tcPr>
            <w:tcW w:w="1372" w:type="dxa"/>
            <w:vAlign w:val="center"/>
          </w:tcPr>
          <w:p w14:paraId="57B0535B">
            <w:pPr>
              <w:widowControl/>
              <w:snapToGrid w:val="0"/>
              <w:jc w:val="center"/>
              <w:rPr>
                <w:color w:val="auto"/>
                <w:sz w:val="24"/>
                <w:szCs w:val="21"/>
                <w:highlight w:val="none"/>
              </w:rPr>
            </w:pPr>
          </w:p>
        </w:tc>
      </w:tr>
      <w:tr w14:paraId="70D2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305E52A0">
            <w:pPr>
              <w:widowControl/>
              <w:snapToGrid w:val="0"/>
              <w:jc w:val="center"/>
              <w:rPr>
                <w:color w:val="auto"/>
                <w:sz w:val="24"/>
                <w:szCs w:val="21"/>
                <w:highlight w:val="none"/>
              </w:rPr>
            </w:pPr>
          </w:p>
        </w:tc>
        <w:tc>
          <w:tcPr>
            <w:tcW w:w="2288" w:type="dxa"/>
            <w:vAlign w:val="center"/>
          </w:tcPr>
          <w:p w14:paraId="24FCA14D">
            <w:pPr>
              <w:widowControl/>
              <w:snapToGrid w:val="0"/>
              <w:jc w:val="center"/>
              <w:rPr>
                <w:color w:val="auto"/>
                <w:sz w:val="24"/>
                <w:szCs w:val="21"/>
                <w:highlight w:val="none"/>
              </w:rPr>
            </w:pPr>
          </w:p>
        </w:tc>
        <w:tc>
          <w:tcPr>
            <w:tcW w:w="2242" w:type="dxa"/>
            <w:vAlign w:val="center"/>
          </w:tcPr>
          <w:p w14:paraId="6541DBE2">
            <w:pPr>
              <w:widowControl/>
              <w:snapToGrid w:val="0"/>
              <w:jc w:val="center"/>
              <w:rPr>
                <w:color w:val="auto"/>
                <w:sz w:val="24"/>
                <w:szCs w:val="21"/>
                <w:highlight w:val="none"/>
              </w:rPr>
            </w:pPr>
          </w:p>
        </w:tc>
        <w:tc>
          <w:tcPr>
            <w:tcW w:w="1085" w:type="dxa"/>
            <w:vAlign w:val="center"/>
          </w:tcPr>
          <w:p w14:paraId="555C8ACC">
            <w:pPr>
              <w:widowControl/>
              <w:snapToGrid w:val="0"/>
              <w:jc w:val="center"/>
              <w:rPr>
                <w:color w:val="auto"/>
                <w:sz w:val="24"/>
                <w:szCs w:val="21"/>
                <w:highlight w:val="none"/>
              </w:rPr>
            </w:pPr>
          </w:p>
        </w:tc>
        <w:tc>
          <w:tcPr>
            <w:tcW w:w="1372" w:type="dxa"/>
            <w:vAlign w:val="center"/>
          </w:tcPr>
          <w:p w14:paraId="39D8077D">
            <w:pPr>
              <w:widowControl/>
              <w:snapToGrid w:val="0"/>
              <w:rPr>
                <w:color w:val="auto"/>
                <w:sz w:val="24"/>
                <w:szCs w:val="21"/>
                <w:highlight w:val="none"/>
              </w:rPr>
            </w:pPr>
          </w:p>
        </w:tc>
      </w:tr>
      <w:tr w14:paraId="322E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1F9CEA22">
            <w:pPr>
              <w:widowControl/>
              <w:snapToGrid w:val="0"/>
              <w:jc w:val="center"/>
              <w:rPr>
                <w:color w:val="auto"/>
                <w:sz w:val="24"/>
                <w:szCs w:val="21"/>
                <w:highlight w:val="none"/>
              </w:rPr>
            </w:pPr>
          </w:p>
        </w:tc>
        <w:tc>
          <w:tcPr>
            <w:tcW w:w="2288" w:type="dxa"/>
            <w:vAlign w:val="center"/>
          </w:tcPr>
          <w:p w14:paraId="381E7087">
            <w:pPr>
              <w:widowControl/>
              <w:snapToGrid w:val="0"/>
              <w:jc w:val="center"/>
              <w:rPr>
                <w:color w:val="auto"/>
                <w:sz w:val="24"/>
                <w:szCs w:val="21"/>
                <w:highlight w:val="none"/>
              </w:rPr>
            </w:pPr>
          </w:p>
        </w:tc>
        <w:tc>
          <w:tcPr>
            <w:tcW w:w="2242" w:type="dxa"/>
            <w:vAlign w:val="center"/>
          </w:tcPr>
          <w:p w14:paraId="0DBFCAD4">
            <w:pPr>
              <w:widowControl/>
              <w:snapToGrid w:val="0"/>
              <w:jc w:val="center"/>
              <w:rPr>
                <w:color w:val="auto"/>
                <w:sz w:val="24"/>
                <w:szCs w:val="21"/>
                <w:highlight w:val="none"/>
              </w:rPr>
            </w:pPr>
          </w:p>
        </w:tc>
        <w:tc>
          <w:tcPr>
            <w:tcW w:w="1085" w:type="dxa"/>
            <w:vAlign w:val="center"/>
          </w:tcPr>
          <w:p w14:paraId="44427903">
            <w:pPr>
              <w:widowControl/>
              <w:snapToGrid w:val="0"/>
              <w:jc w:val="center"/>
              <w:rPr>
                <w:color w:val="auto"/>
                <w:sz w:val="24"/>
                <w:szCs w:val="21"/>
                <w:highlight w:val="none"/>
              </w:rPr>
            </w:pPr>
          </w:p>
        </w:tc>
        <w:tc>
          <w:tcPr>
            <w:tcW w:w="1372" w:type="dxa"/>
            <w:vAlign w:val="center"/>
          </w:tcPr>
          <w:p w14:paraId="60B76260">
            <w:pPr>
              <w:widowControl/>
              <w:snapToGrid w:val="0"/>
              <w:rPr>
                <w:color w:val="auto"/>
                <w:sz w:val="24"/>
                <w:szCs w:val="21"/>
                <w:highlight w:val="none"/>
              </w:rPr>
            </w:pPr>
          </w:p>
        </w:tc>
      </w:tr>
      <w:tr w14:paraId="3FD8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33" w:type="dxa"/>
            <w:vAlign w:val="center"/>
          </w:tcPr>
          <w:p w14:paraId="11610538">
            <w:pPr>
              <w:widowControl/>
              <w:snapToGrid w:val="0"/>
              <w:jc w:val="center"/>
              <w:rPr>
                <w:color w:val="auto"/>
                <w:sz w:val="24"/>
                <w:szCs w:val="21"/>
                <w:highlight w:val="none"/>
              </w:rPr>
            </w:pPr>
          </w:p>
        </w:tc>
        <w:tc>
          <w:tcPr>
            <w:tcW w:w="2288" w:type="dxa"/>
            <w:vAlign w:val="center"/>
          </w:tcPr>
          <w:p w14:paraId="2D501F76">
            <w:pPr>
              <w:widowControl/>
              <w:snapToGrid w:val="0"/>
              <w:jc w:val="center"/>
              <w:rPr>
                <w:color w:val="auto"/>
                <w:sz w:val="24"/>
                <w:szCs w:val="21"/>
                <w:highlight w:val="none"/>
              </w:rPr>
            </w:pPr>
          </w:p>
        </w:tc>
        <w:tc>
          <w:tcPr>
            <w:tcW w:w="2242" w:type="dxa"/>
            <w:vAlign w:val="center"/>
          </w:tcPr>
          <w:p w14:paraId="5A788242">
            <w:pPr>
              <w:widowControl/>
              <w:snapToGrid w:val="0"/>
              <w:jc w:val="center"/>
              <w:rPr>
                <w:color w:val="auto"/>
                <w:sz w:val="24"/>
                <w:szCs w:val="21"/>
                <w:highlight w:val="none"/>
              </w:rPr>
            </w:pPr>
          </w:p>
        </w:tc>
        <w:tc>
          <w:tcPr>
            <w:tcW w:w="1085" w:type="dxa"/>
            <w:vAlign w:val="center"/>
          </w:tcPr>
          <w:p w14:paraId="49BC5415">
            <w:pPr>
              <w:widowControl/>
              <w:snapToGrid w:val="0"/>
              <w:jc w:val="center"/>
              <w:rPr>
                <w:color w:val="auto"/>
                <w:sz w:val="24"/>
                <w:szCs w:val="21"/>
                <w:highlight w:val="none"/>
              </w:rPr>
            </w:pPr>
          </w:p>
        </w:tc>
        <w:tc>
          <w:tcPr>
            <w:tcW w:w="1372" w:type="dxa"/>
            <w:vAlign w:val="center"/>
          </w:tcPr>
          <w:p w14:paraId="438757A8">
            <w:pPr>
              <w:widowControl/>
              <w:snapToGrid w:val="0"/>
              <w:rPr>
                <w:color w:val="auto"/>
                <w:sz w:val="24"/>
                <w:szCs w:val="21"/>
                <w:highlight w:val="none"/>
              </w:rPr>
            </w:pPr>
          </w:p>
        </w:tc>
      </w:tr>
    </w:tbl>
    <w:p w14:paraId="7E97F64B">
      <w:pPr>
        <w:snapToGrid w:val="0"/>
        <w:spacing w:line="480" w:lineRule="exact"/>
        <w:rPr>
          <w:color w:val="auto"/>
          <w:sz w:val="24"/>
          <w:highlight w:val="none"/>
        </w:rPr>
      </w:pPr>
      <w:r>
        <w:rPr>
          <w:color w:val="auto"/>
          <w:sz w:val="24"/>
          <w:highlight w:val="none"/>
        </w:rPr>
        <w:t>注：</w:t>
      </w:r>
    </w:p>
    <w:p w14:paraId="5A2FD154">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eastAsia="zh-CN"/>
        </w:rPr>
        <w:t>不提供此表视为无效投标。</w:t>
      </w:r>
    </w:p>
    <w:p w14:paraId="3E6CC2D4">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textAlignment w:val="auto"/>
        <w:rPr>
          <w:color w:val="auto"/>
          <w:sz w:val="24"/>
          <w:highlight w:val="none"/>
        </w:rPr>
      </w:pPr>
      <w:r>
        <w:rPr>
          <w:color w:val="auto"/>
          <w:sz w:val="24"/>
          <w:highlight w:val="none"/>
        </w:rPr>
        <w:t>不如实填写偏离情况的视为虚假材料。</w:t>
      </w:r>
    </w:p>
    <w:p w14:paraId="0DFAA765">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rPr>
        <w:t>条款号指项目需求书中的序号或者编号，项目需求书中标注“</w:t>
      </w:r>
      <w:r>
        <w:rPr>
          <w:rFonts w:hint="eastAsia" w:hAnsi="宋体" w:cs="宋体"/>
          <w:color w:val="auto"/>
          <w:sz w:val="24"/>
          <w:szCs w:val="24"/>
          <w:highlight w:val="none"/>
        </w:rPr>
        <w:t>●</w:t>
      </w:r>
      <w:r>
        <w:rPr>
          <w:rFonts w:hint="eastAsia"/>
          <w:color w:val="auto"/>
          <w:sz w:val="24"/>
          <w:highlight w:val="none"/>
        </w:rPr>
        <w:t>”的条款， 也必须在“条款号”中标注“</w:t>
      </w:r>
      <w:r>
        <w:rPr>
          <w:rFonts w:hint="eastAsia" w:hAnsi="宋体" w:cs="宋体"/>
          <w:color w:val="auto"/>
          <w:sz w:val="24"/>
          <w:szCs w:val="24"/>
          <w:highlight w:val="none"/>
        </w:rPr>
        <w:t>●</w:t>
      </w:r>
      <w:r>
        <w:rPr>
          <w:rFonts w:hint="eastAsia"/>
          <w:color w:val="auto"/>
          <w:sz w:val="24"/>
          <w:highlight w:val="none"/>
        </w:rPr>
        <w:t>”。</w:t>
      </w:r>
    </w:p>
    <w:p w14:paraId="30DA1C2F">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val="en-US" w:eastAsia="zh-CN"/>
        </w:rPr>
        <w:t>4</w:t>
      </w:r>
      <w:r>
        <w:rPr>
          <w:color w:val="auto"/>
          <w:sz w:val="24"/>
          <w:highlight w:val="none"/>
        </w:rPr>
        <w:t>. 偏离说明指招标要求与投标应答之间的不同之处</w:t>
      </w:r>
      <w:r>
        <w:rPr>
          <w:rFonts w:hint="eastAsia"/>
          <w:color w:val="auto"/>
          <w:sz w:val="24"/>
          <w:highlight w:val="none"/>
          <w:lang w:eastAsia="zh-CN"/>
        </w:rPr>
        <w:t>，如：正偏离、负偏离、无偏离</w:t>
      </w:r>
      <w:r>
        <w:rPr>
          <w:color w:val="auto"/>
          <w:sz w:val="24"/>
          <w:highlight w:val="none"/>
        </w:rPr>
        <w:t>。</w:t>
      </w:r>
    </w:p>
    <w:p w14:paraId="01AAD703">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val="en-US" w:eastAsia="zh-CN"/>
        </w:rPr>
        <w:t>5</w:t>
      </w:r>
      <w:r>
        <w:rPr>
          <w:rFonts w:hint="eastAsia"/>
          <w:color w:val="auto"/>
          <w:sz w:val="24"/>
          <w:highlight w:val="none"/>
        </w:rPr>
        <w:t>. 投标人在《技术响应表》的投标应答中必须列出具体数值或内容。如投标人未应答或只注明“符合”、“满足”等类似无具体内容的表述，将被视为不符合招标文件要求。投标人自行承担由此造成的一切后果。</w:t>
      </w:r>
    </w:p>
    <w:p w14:paraId="004B3307">
      <w:pPr>
        <w:pStyle w:val="36"/>
        <w:tabs>
          <w:tab w:val="right" w:leader="dot" w:pos="8400"/>
        </w:tabs>
      </w:pPr>
    </w:p>
    <w:p w14:paraId="428CACDB"/>
    <w:p w14:paraId="666AF507">
      <w:pPr>
        <w:spacing w:line="360" w:lineRule="auto"/>
        <w:ind w:firstLine="4080" w:firstLineChars="1700"/>
        <w:rPr>
          <w:color w:val="auto"/>
          <w:sz w:val="24"/>
          <w:highlight w:val="none"/>
        </w:rPr>
      </w:pPr>
      <w:r>
        <w:rPr>
          <w:color w:val="auto"/>
          <w:sz w:val="24"/>
          <w:highlight w:val="none"/>
        </w:rPr>
        <w:t>投标人</w:t>
      </w:r>
      <w:r>
        <w:rPr>
          <w:rFonts w:hint="eastAsia"/>
          <w:color w:val="auto"/>
          <w:sz w:val="24"/>
          <w:highlight w:val="none"/>
        </w:rPr>
        <w:t>（</w:t>
      </w:r>
      <w:r>
        <w:rPr>
          <w:rFonts w:hint="eastAsia" w:hAnsi="宋体"/>
          <w:color w:val="auto"/>
          <w:sz w:val="24"/>
          <w:szCs w:val="24"/>
          <w:highlight w:val="none"/>
        </w:rPr>
        <w:t>公章</w:t>
      </w:r>
      <w:r>
        <w:rPr>
          <w:rFonts w:hint="eastAsia"/>
          <w:color w:val="auto"/>
          <w:sz w:val="24"/>
          <w:highlight w:val="none"/>
        </w:rPr>
        <w:t>）</w:t>
      </w:r>
      <w:r>
        <w:rPr>
          <w:color w:val="auto"/>
          <w:sz w:val="24"/>
          <w:highlight w:val="none"/>
        </w:rPr>
        <w:t>：</w:t>
      </w:r>
    </w:p>
    <w:p w14:paraId="79C724AB">
      <w:pPr>
        <w:spacing w:line="360" w:lineRule="auto"/>
        <w:ind w:firstLine="4080" w:firstLineChars="1700"/>
        <w:rPr>
          <w:rFonts w:hAnsi="宋体"/>
          <w:b/>
          <w:color w:val="auto"/>
          <w:sz w:val="24"/>
          <w:szCs w:val="24"/>
          <w:highlight w:val="none"/>
        </w:rPr>
      </w:pPr>
      <w:r>
        <w:rPr>
          <w:color w:val="auto"/>
          <w:sz w:val="24"/>
          <w:highlight w:val="none"/>
        </w:rPr>
        <w:t>日期：年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14:paraId="759AA43C">
      <w:pPr>
        <w:pStyle w:val="23"/>
        <w:adjustRightInd w:val="0"/>
        <w:snapToGrid w:val="0"/>
        <w:spacing w:beforeLines="50" w:line="360" w:lineRule="auto"/>
        <w:jc w:val="left"/>
        <w:rPr>
          <w:rFonts w:hAnsi="宋体" w:cs="Times New Roman"/>
          <w:sz w:val="22"/>
          <w:szCs w:val="22"/>
        </w:rPr>
      </w:pPr>
    </w:p>
    <w:bookmarkEnd w:id="117"/>
    <w:p w14:paraId="3B57AC46">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b/>
          <w:bCs/>
          <w:color w:val="auto"/>
          <w:sz w:val="30"/>
          <w:szCs w:val="30"/>
          <w:highlight w:val="none"/>
          <w:lang w:eastAsia="zh-CN"/>
        </w:rPr>
      </w:pPr>
      <w:bookmarkStart w:id="122" w:name="_Toc7688"/>
      <w:bookmarkStart w:id="123" w:name="_Toc28368"/>
      <w:bookmarkStart w:id="124" w:name="_Toc31986"/>
      <w:r>
        <w:rPr>
          <w:rFonts w:hint="eastAsia" w:ascii="宋体" w:hAnsi="宋体" w:cs="宋体"/>
          <w:b/>
          <w:bCs/>
          <w:kern w:val="2"/>
          <w:sz w:val="28"/>
          <w:szCs w:val="28"/>
          <w:lang w:val="en-US" w:eastAsia="zh-CN"/>
        </w:rPr>
        <w:t>十</w:t>
      </w:r>
      <w:r>
        <w:rPr>
          <w:rFonts w:hint="eastAsia" w:ascii="宋体" w:hAnsi="宋体" w:cs="宋体"/>
          <w:b/>
          <w:bCs/>
          <w:kern w:val="2"/>
          <w:sz w:val="28"/>
          <w:szCs w:val="28"/>
        </w:rPr>
        <w:t>、</w:t>
      </w:r>
      <w:r>
        <w:rPr>
          <w:rFonts w:hint="eastAsia" w:ascii="宋体" w:hAnsi="宋体" w:eastAsia="宋体"/>
          <w:b/>
          <w:bCs/>
          <w:color w:val="auto"/>
          <w:sz w:val="30"/>
          <w:szCs w:val="30"/>
          <w:highlight w:val="none"/>
          <w:lang w:eastAsia="zh-CN"/>
        </w:rPr>
        <w:t>投标产品详细配置</w:t>
      </w:r>
      <w:bookmarkEnd w:id="122"/>
    </w:p>
    <w:p w14:paraId="1889080C">
      <w:pPr>
        <w:spacing w:line="460" w:lineRule="exact"/>
        <w:rPr>
          <w:color w:val="auto"/>
          <w:sz w:val="24"/>
          <w:highlight w:val="none"/>
        </w:rPr>
      </w:pPr>
    </w:p>
    <w:p w14:paraId="71B1F46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color w:val="auto"/>
          <w:sz w:val="24"/>
          <w:highlight w:val="none"/>
        </w:rPr>
        <w:t>项目名称：</w:t>
      </w:r>
    </w:p>
    <w:p w14:paraId="189DD2A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color w:val="auto"/>
          <w:sz w:val="24"/>
          <w:highlight w:val="none"/>
        </w:rPr>
        <w:t>招标文件</w:t>
      </w:r>
      <w:r>
        <w:rPr>
          <w:color w:val="auto"/>
          <w:sz w:val="24"/>
          <w:highlight w:val="none"/>
        </w:rPr>
        <w:t>编号：</w:t>
      </w:r>
    </w:p>
    <w:p w14:paraId="2BBAA2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highlight w:val="none"/>
          <w:u w:val="single"/>
          <w:lang w:val="en-US" w:eastAsia="zh-CN"/>
        </w:rPr>
      </w:pPr>
      <w:r>
        <w:rPr>
          <w:color w:val="auto"/>
          <w:sz w:val="24"/>
          <w:highlight w:val="none"/>
        </w:rPr>
        <w:t>包号：</w:t>
      </w:r>
      <w:r>
        <w:rPr>
          <w:rFonts w:hint="eastAsia"/>
          <w:color w:val="auto"/>
          <w:sz w:val="24"/>
          <w:highlight w:val="none"/>
          <w:lang w:val="en-US" w:eastAsia="zh-CN"/>
        </w:rPr>
        <w:t>/</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699"/>
        <w:gridCol w:w="1561"/>
        <w:gridCol w:w="4307"/>
      </w:tblGrid>
      <w:tr w14:paraId="4C15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AA948B0">
            <w:pPr>
              <w:spacing w:line="560" w:lineRule="exact"/>
              <w:jc w:val="center"/>
              <w:rPr>
                <w:color w:val="auto"/>
                <w:sz w:val="24"/>
                <w:highlight w:val="none"/>
              </w:rPr>
            </w:pPr>
            <w:r>
              <w:rPr>
                <w:color w:val="auto"/>
                <w:sz w:val="24"/>
                <w:highlight w:val="none"/>
              </w:rPr>
              <w:t>序号</w:t>
            </w:r>
          </w:p>
        </w:tc>
        <w:tc>
          <w:tcPr>
            <w:tcW w:w="1699" w:type="dxa"/>
            <w:vAlign w:val="center"/>
          </w:tcPr>
          <w:p w14:paraId="44160E71">
            <w:pPr>
              <w:spacing w:line="560" w:lineRule="exact"/>
              <w:jc w:val="center"/>
              <w:rPr>
                <w:color w:val="auto"/>
                <w:sz w:val="24"/>
                <w:highlight w:val="none"/>
              </w:rPr>
            </w:pPr>
            <w:r>
              <w:rPr>
                <w:rFonts w:hint="eastAsia"/>
                <w:color w:val="auto"/>
                <w:sz w:val="24"/>
                <w:highlight w:val="none"/>
                <w:lang w:eastAsia="zh-CN"/>
              </w:rPr>
              <w:t>货物</w:t>
            </w:r>
            <w:r>
              <w:rPr>
                <w:color w:val="auto"/>
                <w:sz w:val="24"/>
                <w:highlight w:val="none"/>
              </w:rPr>
              <w:t>名称</w:t>
            </w:r>
          </w:p>
        </w:tc>
        <w:tc>
          <w:tcPr>
            <w:tcW w:w="1561" w:type="dxa"/>
            <w:vAlign w:val="center"/>
          </w:tcPr>
          <w:p w14:paraId="31BCD66B">
            <w:pPr>
              <w:spacing w:line="560" w:lineRule="exact"/>
              <w:jc w:val="center"/>
              <w:rPr>
                <w:color w:val="auto"/>
                <w:sz w:val="24"/>
                <w:highlight w:val="none"/>
              </w:rPr>
            </w:pPr>
            <w:r>
              <w:rPr>
                <w:color w:val="auto"/>
                <w:sz w:val="24"/>
                <w:highlight w:val="none"/>
              </w:rPr>
              <w:t>规格型号</w:t>
            </w:r>
          </w:p>
        </w:tc>
        <w:tc>
          <w:tcPr>
            <w:tcW w:w="4307" w:type="dxa"/>
            <w:vAlign w:val="center"/>
          </w:tcPr>
          <w:p w14:paraId="339445A0">
            <w:pPr>
              <w:spacing w:line="560" w:lineRule="exact"/>
              <w:jc w:val="center"/>
              <w:rPr>
                <w:color w:val="auto"/>
                <w:sz w:val="24"/>
                <w:highlight w:val="none"/>
              </w:rPr>
            </w:pPr>
            <w:r>
              <w:rPr>
                <w:color w:val="auto"/>
                <w:sz w:val="24"/>
                <w:highlight w:val="none"/>
              </w:rPr>
              <w:t>详细配置及技术标准</w:t>
            </w:r>
          </w:p>
        </w:tc>
      </w:tr>
      <w:tr w14:paraId="0974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CEC4E1F">
            <w:pPr>
              <w:spacing w:line="560" w:lineRule="exact"/>
              <w:jc w:val="center"/>
              <w:rPr>
                <w:color w:val="auto"/>
                <w:sz w:val="24"/>
                <w:highlight w:val="none"/>
              </w:rPr>
            </w:pPr>
            <w:r>
              <w:rPr>
                <w:color w:val="auto"/>
                <w:sz w:val="24"/>
                <w:highlight w:val="none"/>
              </w:rPr>
              <w:t>1</w:t>
            </w:r>
          </w:p>
        </w:tc>
        <w:tc>
          <w:tcPr>
            <w:tcW w:w="1699" w:type="dxa"/>
            <w:vAlign w:val="center"/>
          </w:tcPr>
          <w:p w14:paraId="48DD9D46">
            <w:pPr>
              <w:spacing w:line="560" w:lineRule="exact"/>
              <w:jc w:val="center"/>
              <w:rPr>
                <w:color w:val="auto"/>
                <w:sz w:val="24"/>
                <w:highlight w:val="none"/>
              </w:rPr>
            </w:pPr>
          </w:p>
        </w:tc>
        <w:tc>
          <w:tcPr>
            <w:tcW w:w="1561" w:type="dxa"/>
            <w:vAlign w:val="center"/>
          </w:tcPr>
          <w:p w14:paraId="1D05B0BD">
            <w:pPr>
              <w:spacing w:line="560" w:lineRule="exact"/>
              <w:jc w:val="center"/>
              <w:rPr>
                <w:color w:val="auto"/>
                <w:sz w:val="24"/>
                <w:highlight w:val="none"/>
              </w:rPr>
            </w:pPr>
          </w:p>
        </w:tc>
        <w:tc>
          <w:tcPr>
            <w:tcW w:w="4307" w:type="dxa"/>
            <w:vAlign w:val="center"/>
          </w:tcPr>
          <w:p w14:paraId="62EE1A38">
            <w:pPr>
              <w:spacing w:line="560" w:lineRule="exact"/>
              <w:jc w:val="center"/>
              <w:rPr>
                <w:color w:val="auto"/>
                <w:sz w:val="24"/>
                <w:highlight w:val="none"/>
              </w:rPr>
            </w:pPr>
          </w:p>
        </w:tc>
      </w:tr>
      <w:tr w14:paraId="5382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3B85531">
            <w:pPr>
              <w:spacing w:line="560" w:lineRule="exact"/>
              <w:jc w:val="center"/>
              <w:rPr>
                <w:color w:val="auto"/>
                <w:sz w:val="24"/>
                <w:highlight w:val="none"/>
              </w:rPr>
            </w:pPr>
            <w:r>
              <w:rPr>
                <w:color w:val="auto"/>
                <w:sz w:val="24"/>
                <w:highlight w:val="none"/>
              </w:rPr>
              <w:t>2</w:t>
            </w:r>
          </w:p>
        </w:tc>
        <w:tc>
          <w:tcPr>
            <w:tcW w:w="1699" w:type="dxa"/>
            <w:vAlign w:val="center"/>
          </w:tcPr>
          <w:p w14:paraId="64AA517F">
            <w:pPr>
              <w:spacing w:line="560" w:lineRule="exact"/>
              <w:jc w:val="center"/>
              <w:rPr>
                <w:color w:val="auto"/>
                <w:sz w:val="24"/>
                <w:highlight w:val="none"/>
              </w:rPr>
            </w:pPr>
          </w:p>
        </w:tc>
        <w:tc>
          <w:tcPr>
            <w:tcW w:w="1561" w:type="dxa"/>
            <w:vAlign w:val="center"/>
          </w:tcPr>
          <w:p w14:paraId="567C51F2">
            <w:pPr>
              <w:spacing w:line="560" w:lineRule="exact"/>
              <w:jc w:val="center"/>
              <w:rPr>
                <w:color w:val="auto"/>
                <w:sz w:val="24"/>
                <w:highlight w:val="none"/>
              </w:rPr>
            </w:pPr>
          </w:p>
        </w:tc>
        <w:tc>
          <w:tcPr>
            <w:tcW w:w="4307" w:type="dxa"/>
            <w:vAlign w:val="center"/>
          </w:tcPr>
          <w:p w14:paraId="13C73CC6">
            <w:pPr>
              <w:spacing w:line="560" w:lineRule="exact"/>
              <w:jc w:val="center"/>
              <w:rPr>
                <w:color w:val="auto"/>
                <w:sz w:val="24"/>
                <w:highlight w:val="none"/>
              </w:rPr>
            </w:pPr>
          </w:p>
        </w:tc>
      </w:tr>
      <w:tr w14:paraId="60BE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1521EFC">
            <w:pPr>
              <w:spacing w:line="560" w:lineRule="exact"/>
              <w:jc w:val="center"/>
              <w:rPr>
                <w:color w:val="auto"/>
                <w:sz w:val="24"/>
                <w:highlight w:val="none"/>
              </w:rPr>
            </w:pPr>
            <w:r>
              <w:rPr>
                <w:color w:val="auto"/>
                <w:sz w:val="24"/>
                <w:highlight w:val="none"/>
              </w:rPr>
              <w:t>3</w:t>
            </w:r>
          </w:p>
        </w:tc>
        <w:tc>
          <w:tcPr>
            <w:tcW w:w="1699" w:type="dxa"/>
            <w:vAlign w:val="center"/>
          </w:tcPr>
          <w:p w14:paraId="14FFB41A">
            <w:pPr>
              <w:spacing w:line="560" w:lineRule="exact"/>
              <w:jc w:val="center"/>
              <w:rPr>
                <w:color w:val="auto"/>
                <w:sz w:val="24"/>
                <w:highlight w:val="none"/>
              </w:rPr>
            </w:pPr>
          </w:p>
        </w:tc>
        <w:tc>
          <w:tcPr>
            <w:tcW w:w="1561" w:type="dxa"/>
            <w:vAlign w:val="center"/>
          </w:tcPr>
          <w:p w14:paraId="49BA2209">
            <w:pPr>
              <w:spacing w:line="560" w:lineRule="exact"/>
              <w:jc w:val="center"/>
              <w:rPr>
                <w:color w:val="auto"/>
                <w:sz w:val="24"/>
                <w:highlight w:val="none"/>
              </w:rPr>
            </w:pPr>
          </w:p>
        </w:tc>
        <w:tc>
          <w:tcPr>
            <w:tcW w:w="4307" w:type="dxa"/>
            <w:vAlign w:val="center"/>
          </w:tcPr>
          <w:p w14:paraId="71F65D25">
            <w:pPr>
              <w:spacing w:line="560" w:lineRule="exact"/>
              <w:jc w:val="center"/>
              <w:rPr>
                <w:color w:val="auto"/>
                <w:sz w:val="24"/>
                <w:highlight w:val="none"/>
              </w:rPr>
            </w:pPr>
          </w:p>
        </w:tc>
      </w:tr>
      <w:tr w14:paraId="47A4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2EACA35">
            <w:pPr>
              <w:spacing w:line="560" w:lineRule="exact"/>
              <w:jc w:val="center"/>
              <w:rPr>
                <w:color w:val="auto"/>
                <w:sz w:val="24"/>
                <w:highlight w:val="none"/>
              </w:rPr>
            </w:pPr>
            <w:r>
              <w:rPr>
                <w:color w:val="auto"/>
                <w:sz w:val="24"/>
                <w:highlight w:val="none"/>
              </w:rPr>
              <w:t>…</w:t>
            </w:r>
          </w:p>
        </w:tc>
        <w:tc>
          <w:tcPr>
            <w:tcW w:w="1699" w:type="dxa"/>
            <w:vAlign w:val="center"/>
          </w:tcPr>
          <w:p w14:paraId="4C3C569C">
            <w:pPr>
              <w:spacing w:line="560" w:lineRule="exact"/>
              <w:jc w:val="center"/>
              <w:rPr>
                <w:color w:val="auto"/>
                <w:sz w:val="24"/>
                <w:highlight w:val="none"/>
              </w:rPr>
            </w:pPr>
          </w:p>
        </w:tc>
        <w:tc>
          <w:tcPr>
            <w:tcW w:w="1561" w:type="dxa"/>
            <w:vAlign w:val="center"/>
          </w:tcPr>
          <w:p w14:paraId="672BF2E6">
            <w:pPr>
              <w:spacing w:line="560" w:lineRule="exact"/>
              <w:jc w:val="center"/>
              <w:rPr>
                <w:color w:val="auto"/>
                <w:sz w:val="24"/>
                <w:highlight w:val="none"/>
              </w:rPr>
            </w:pPr>
          </w:p>
        </w:tc>
        <w:tc>
          <w:tcPr>
            <w:tcW w:w="4307" w:type="dxa"/>
            <w:vAlign w:val="center"/>
          </w:tcPr>
          <w:p w14:paraId="7A63F548">
            <w:pPr>
              <w:spacing w:line="560" w:lineRule="exact"/>
              <w:jc w:val="center"/>
              <w:rPr>
                <w:color w:val="auto"/>
                <w:sz w:val="24"/>
                <w:highlight w:val="none"/>
              </w:rPr>
            </w:pPr>
          </w:p>
        </w:tc>
      </w:tr>
    </w:tbl>
    <w:p w14:paraId="78DBBF43">
      <w:pPr>
        <w:spacing w:line="560" w:lineRule="exact"/>
        <w:jc w:val="left"/>
        <w:rPr>
          <w:color w:val="auto"/>
          <w:sz w:val="24"/>
          <w:highlight w:val="none"/>
        </w:rPr>
      </w:pPr>
    </w:p>
    <w:p w14:paraId="47B64880">
      <w:pPr>
        <w:spacing w:line="560" w:lineRule="exact"/>
        <w:jc w:val="left"/>
        <w:rPr>
          <w:color w:val="auto"/>
          <w:sz w:val="24"/>
          <w:highlight w:val="none"/>
        </w:rPr>
      </w:pPr>
      <w:r>
        <w:rPr>
          <w:rFonts w:hint="eastAsia"/>
          <w:color w:val="auto"/>
          <w:sz w:val="24"/>
          <w:highlight w:val="none"/>
        </w:rPr>
        <w:t xml:space="preserve">  注：可采用表格或文字描述，格式由投标人自定</w:t>
      </w:r>
    </w:p>
    <w:p w14:paraId="3ACD4548">
      <w:pPr>
        <w:spacing w:line="560" w:lineRule="exact"/>
        <w:jc w:val="left"/>
        <w:rPr>
          <w:color w:val="auto"/>
          <w:sz w:val="24"/>
          <w:highlight w:val="none"/>
        </w:rPr>
      </w:pPr>
    </w:p>
    <w:p w14:paraId="00AEDEF6">
      <w:pPr>
        <w:spacing w:line="360" w:lineRule="auto"/>
        <w:ind w:firstLine="4080" w:firstLineChars="1700"/>
        <w:rPr>
          <w:color w:val="auto"/>
          <w:sz w:val="24"/>
          <w:highlight w:val="none"/>
        </w:rPr>
      </w:pPr>
      <w:r>
        <w:rPr>
          <w:color w:val="auto"/>
          <w:sz w:val="24"/>
          <w:highlight w:val="none"/>
        </w:rPr>
        <w:t>投标人</w:t>
      </w:r>
      <w:r>
        <w:rPr>
          <w:rFonts w:hint="eastAsia"/>
          <w:color w:val="auto"/>
          <w:sz w:val="24"/>
          <w:highlight w:val="none"/>
        </w:rPr>
        <w:t>（</w:t>
      </w:r>
      <w:r>
        <w:rPr>
          <w:rFonts w:hint="eastAsia" w:hAnsi="宋体"/>
          <w:color w:val="auto"/>
          <w:sz w:val="24"/>
          <w:szCs w:val="24"/>
          <w:highlight w:val="none"/>
        </w:rPr>
        <w:t>公章</w:t>
      </w:r>
      <w:r>
        <w:rPr>
          <w:rFonts w:hint="eastAsia"/>
          <w:color w:val="auto"/>
          <w:sz w:val="24"/>
          <w:highlight w:val="none"/>
        </w:rPr>
        <w:t>）</w:t>
      </w:r>
      <w:r>
        <w:rPr>
          <w:color w:val="auto"/>
          <w:sz w:val="24"/>
          <w:highlight w:val="none"/>
        </w:rPr>
        <w:t>：</w:t>
      </w:r>
    </w:p>
    <w:p w14:paraId="1FADBD26">
      <w:pPr>
        <w:spacing w:line="360" w:lineRule="auto"/>
        <w:ind w:firstLine="4080" w:firstLineChars="1700"/>
        <w:rPr>
          <w:color w:val="auto"/>
          <w:sz w:val="24"/>
          <w:highlight w:val="none"/>
        </w:rPr>
      </w:pPr>
      <w:r>
        <w:rPr>
          <w:color w:val="auto"/>
          <w:sz w:val="24"/>
          <w:highlight w:val="none"/>
        </w:rPr>
        <w:t>日期：</w:t>
      </w:r>
      <w:r>
        <w:rPr>
          <w:rFonts w:hint="eastAsia"/>
          <w:color w:val="auto"/>
          <w:sz w:val="24"/>
          <w:highlight w:val="none"/>
          <w:lang w:val="en-US" w:eastAsia="zh-CN"/>
        </w:rPr>
        <w:t xml:space="preserve">  </w:t>
      </w:r>
      <w:r>
        <w:rPr>
          <w:color w:val="auto"/>
          <w:sz w:val="24"/>
          <w:highlight w:val="none"/>
        </w:rPr>
        <w:t>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bookmarkEnd w:id="123"/>
    <w:bookmarkEnd w:id="124"/>
    <w:p w14:paraId="29B99DA2">
      <w:pPr>
        <w:ind w:left="1844" w:firstLine="420" w:firstLineChars="200"/>
        <w:rPr>
          <w:rFonts w:ascii="宋体"/>
          <w:highlight w:val="yellow"/>
        </w:rPr>
      </w:pPr>
    </w:p>
    <w:p w14:paraId="540FE09F">
      <w:pPr>
        <w:ind w:left="1844" w:firstLine="420" w:firstLineChars="200"/>
        <w:rPr>
          <w:rFonts w:ascii="宋体"/>
          <w:highlight w:val="yellow"/>
        </w:rPr>
      </w:pPr>
    </w:p>
    <w:p w14:paraId="5CE4729B">
      <w:pPr>
        <w:ind w:left="1844" w:firstLine="420" w:firstLineChars="200"/>
        <w:rPr>
          <w:rFonts w:ascii="宋体"/>
          <w:highlight w:val="yellow"/>
        </w:rPr>
      </w:pPr>
    </w:p>
    <w:p w14:paraId="7B536DA8">
      <w:pPr>
        <w:spacing w:line="560" w:lineRule="exact"/>
        <w:ind w:firstLine="480" w:firstLineChars="200"/>
        <w:rPr>
          <w:rFonts w:ascii="宋体"/>
          <w:color w:val="000000"/>
          <w:sz w:val="24"/>
          <w:szCs w:val="24"/>
        </w:rPr>
      </w:pPr>
    </w:p>
    <w:bookmarkEnd w:id="85"/>
    <w:bookmarkEnd w:id="86"/>
    <w:p w14:paraId="43A561E8">
      <w:pPr>
        <w:pageBreakBefore/>
        <w:numPr>
          <w:ilvl w:val="0"/>
          <w:numId w:val="8"/>
        </w:numPr>
        <w:spacing w:line="640" w:lineRule="exact"/>
        <w:jc w:val="center"/>
        <w:outlineLvl w:val="0"/>
        <w:rPr>
          <w:rFonts w:ascii="宋体"/>
          <w:b/>
          <w:bCs/>
          <w:kern w:val="0"/>
          <w:sz w:val="36"/>
          <w:szCs w:val="36"/>
        </w:rPr>
      </w:pPr>
      <w:bookmarkStart w:id="125" w:name="_Toc20191"/>
      <w:bookmarkStart w:id="126" w:name="_Toc9812"/>
      <w:bookmarkStart w:id="127" w:name="_Toc4898"/>
      <w:bookmarkStart w:id="128" w:name="_Toc9296"/>
      <w:bookmarkStart w:id="129" w:name="_Toc18776"/>
      <w:bookmarkStart w:id="130" w:name="_Toc23995"/>
      <w:bookmarkStart w:id="131" w:name="_Toc457219504"/>
      <w:r>
        <w:rPr>
          <w:rFonts w:hint="eastAsia" w:ascii="宋体" w:hAnsi="宋体" w:cs="宋体"/>
          <w:b/>
          <w:bCs/>
          <w:kern w:val="0"/>
          <w:sz w:val="36"/>
          <w:szCs w:val="36"/>
        </w:rPr>
        <w:t>政府采购合同</w:t>
      </w:r>
      <w:bookmarkEnd w:id="125"/>
      <w:bookmarkEnd w:id="126"/>
      <w:bookmarkEnd w:id="127"/>
      <w:r>
        <w:rPr>
          <w:rFonts w:hint="eastAsia" w:ascii="宋体" w:hAnsi="宋体" w:cs="宋体"/>
          <w:b/>
          <w:bCs/>
          <w:kern w:val="0"/>
          <w:sz w:val="36"/>
          <w:szCs w:val="36"/>
        </w:rPr>
        <w:t>（以实际签订的合同为准）</w:t>
      </w:r>
      <w:bookmarkEnd w:id="128"/>
      <w:bookmarkEnd w:id="129"/>
      <w:bookmarkEnd w:id="130"/>
    </w:p>
    <w:bookmarkEnd w:id="131"/>
    <w:p w14:paraId="16755850">
      <w:pPr>
        <w:spacing w:before="0" w:after="0" w:line="360" w:lineRule="auto"/>
        <w:jc w:val="center"/>
        <w:outlineLvl w:val="9"/>
        <w:rPr>
          <w:rFonts w:hAnsi="宋体"/>
          <w:sz w:val="36"/>
          <w:szCs w:val="36"/>
        </w:rPr>
      </w:pPr>
      <w:r>
        <w:rPr>
          <w:rFonts w:hint="eastAsia" w:hAnsi="宋体" w:cs="宋体"/>
          <w:sz w:val="36"/>
          <w:szCs w:val="36"/>
        </w:rPr>
        <w:t>合同条款及格式</w:t>
      </w:r>
    </w:p>
    <w:p w14:paraId="1DD6FD6B">
      <w:pPr>
        <w:spacing w:line="360" w:lineRule="auto"/>
        <w:outlineLvl w:val="9"/>
        <w:rPr>
          <w:rFonts w:hAnsi="宋体"/>
          <w:b/>
          <w:bCs/>
          <w:sz w:val="24"/>
          <w:szCs w:val="24"/>
        </w:rPr>
      </w:pPr>
    </w:p>
    <w:p w14:paraId="137D6DEA">
      <w:pPr>
        <w:spacing w:line="360" w:lineRule="auto"/>
        <w:outlineLvl w:val="9"/>
        <w:rPr>
          <w:rFonts w:hAnsi="宋体"/>
          <w:b/>
          <w:bCs/>
          <w:sz w:val="24"/>
          <w:szCs w:val="24"/>
        </w:rPr>
      </w:pPr>
      <w:bookmarkStart w:id="132" w:name="_Toc24815"/>
      <w:r>
        <w:rPr>
          <w:rFonts w:hint="eastAsia" w:hAnsi="宋体" w:cs="宋体"/>
          <w:b/>
          <w:bCs/>
          <w:sz w:val="24"/>
          <w:szCs w:val="24"/>
        </w:rPr>
        <w:t>合同封面格式</w:t>
      </w:r>
      <w:bookmarkEnd w:id="132"/>
    </w:p>
    <w:p w14:paraId="299BE296">
      <w:pPr>
        <w:spacing w:line="360" w:lineRule="auto"/>
        <w:jc w:val="left"/>
        <w:outlineLvl w:val="9"/>
        <w:rPr>
          <w:rFonts w:hAnsi="宋体"/>
          <w:sz w:val="24"/>
          <w:szCs w:val="24"/>
        </w:rPr>
      </w:pPr>
    </w:p>
    <w:p w14:paraId="4D59DD1C">
      <w:pPr>
        <w:spacing w:line="360" w:lineRule="auto"/>
        <w:jc w:val="left"/>
        <w:outlineLvl w:val="9"/>
        <w:rPr>
          <w:rFonts w:hAnsi="宋体"/>
          <w:sz w:val="24"/>
          <w:szCs w:val="24"/>
        </w:rPr>
      </w:pPr>
    </w:p>
    <w:p w14:paraId="40A2B18A">
      <w:pPr>
        <w:spacing w:line="360" w:lineRule="auto"/>
        <w:jc w:val="center"/>
        <w:outlineLvl w:val="9"/>
        <w:rPr>
          <w:rFonts w:hAnsi="宋体"/>
          <w:sz w:val="44"/>
          <w:szCs w:val="44"/>
          <w:u w:val="single"/>
        </w:rPr>
      </w:pPr>
      <w:r>
        <w:rPr>
          <w:rFonts w:hAnsi="宋体"/>
          <w:sz w:val="44"/>
          <w:szCs w:val="44"/>
          <w:u w:val="single"/>
        </w:rPr>
        <w:t xml:space="preserve">                   </w:t>
      </w:r>
      <w:r>
        <w:rPr>
          <w:rFonts w:hint="eastAsia" w:hAnsi="宋体" w:cs="宋体"/>
          <w:sz w:val="44"/>
          <w:szCs w:val="44"/>
        </w:rPr>
        <w:t>项目</w:t>
      </w:r>
    </w:p>
    <w:p w14:paraId="390B34D1">
      <w:pPr>
        <w:spacing w:line="360" w:lineRule="auto"/>
        <w:jc w:val="center"/>
        <w:outlineLvl w:val="9"/>
        <w:rPr>
          <w:rFonts w:hAnsi="宋体"/>
          <w:sz w:val="44"/>
          <w:szCs w:val="44"/>
        </w:rPr>
      </w:pPr>
      <w:r>
        <w:rPr>
          <w:rFonts w:hint="eastAsia" w:hAnsi="宋体" w:cs="宋体"/>
          <w:sz w:val="44"/>
          <w:szCs w:val="44"/>
        </w:rPr>
        <w:t>政府采购合同</w:t>
      </w:r>
    </w:p>
    <w:p w14:paraId="6655DC79">
      <w:pPr>
        <w:spacing w:line="360" w:lineRule="auto"/>
        <w:jc w:val="center"/>
        <w:outlineLvl w:val="9"/>
        <w:rPr>
          <w:rFonts w:hAnsi="宋体"/>
          <w:sz w:val="24"/>
          <w:szCs w:val="24"/>
        </w:rPr>
      </w:pPr>
    </w:p>
    <w:p w14:paraId="3E8AC9E6">
      <w:pPr>
        <w:spacing w:line="360" w:lineRule="auto"/>
        <w:jc w:val="center"/>
        <w:outlineLvl w:val="9"/>
        <w:rPr>
          <w:rFonts w:hAnsi="宋体"/>
          <w:sz w:val="24"/>
          <w:szCs w:val="24"/>
        </w:rPr>
      </w:pPr>
    </w:p>
    <w:p w14:paraId="330C290F">
      <w:pPr>
        <w:spacing w:line="360" w:lineRule="auto"/>
        <w:jc w:val="center"/>
        <w:outlineLvl w:val="9"/>
        <w:rPr>
          <w:rFonts w:hAnsi="宋体"/>
          <w:sz w:val="24"/>
          <w:szCs w:val="24"/>
        </w:rPr>
      </w:pPr>
    </w:p>
    <w:p w14:paraId="23E6E676">
      <w:pPr>
        <w:spacing w:line="360" w:lineRule="auto"/>
        <w:jc w:val="center"/>
        <w:outlineLvl w:val="9"/>
        <w:rPr>
          <w:rFonts w:hAnsi="宋体"/>
          <w:sz w:val="24"/>
          <w:szCs w:val="24"/>
        </w:rPr>
      </w:pPr>
    </w:p>
    <w:p w14:paraId="516C9375">
      <w:pPr>
        <w:tabs>
          <w:tab w:val="left" w:pos="709"/>
          <w:tab w:val="left" w:pos="1418"/>
        </w:tabs>
        <w:spacing w:line="360" w:lineRule="auto"/>
        <w:outlineLvl w:val="9"/>
        <w:rPr>
          <w:rFonts w:hAnsi="宋体"/>
          <w:sz w:val="36"/>
          <w:szCs w:val="36"/>
        </w:rPr>
      </w:pPr>
      <w:r>
        <w:rPr>
          <w:rFonts w:hAnsi="宋体"/>
          <w:sz w:val="36"/>
          <w:szCs w:val="36"/>
        </w:rPr>
        <w:t xml:space="preserve">          </w:t>
      </w:r>
      <w:r>
        <w:rPr>
          <w:rFonts w:hint="eastAsia" w:hAnsi="宋体" w:cs="宋体"/>
          <w:sz w:val="36"/>
          <w:szCs w:val="36"/>
        </w:rPr>
        <w:t>合同编号：</w:t>
      </w:r>
    </w:p>
    <w:p w14:paraId="2E1D92EA">
      <w:pPr>
        <w:spacing w:line="360" w:lineRule="auto"/>
        <w:outlineLvl w:val="9"/>
        <w:rPr>
          <w:rFonts w:hAnsi="宋体"/>
          <w:sz w:val="36"/>
          <w:szCs w:val="36"/>
        </w:rPr>
      </w:pPr>
      <w:r>
        <w:rPr>
          <w:rFonts w:hAnsi="宋体"/>
          <w:sz w:val="36"/>
          <w:szCs w:val="36"/>
        </w:rPr>
        <w:t xml:space="preserve">          </w:t>
      </w:r>
      <w:r>
        <w:rPr>
          <w:rFonts w:hint="eastAsia" w:hAnsi="宋体" w:cs="宋体"/>
          <w:sz w:val="36"/>
          <w:szCs w:val="36"/>
        </w:rPr>
        <w:t>项目名称：</w:t>
      </w:r>
    </w:p>
    <w:p w14:paraId="792B2463">
      <w:pPr>
        <w:spacing w:line="360" w:lineRule="auto"/>
        <w:outlineLvl w:val="9"/>
        <w:rPr>
          <w:rFonts w:hAnsi="宋体"/>
          <w:sz w:val="36"/>
          <w:szCs w:val="36"/>
        </w:rPr>
      </w:pPr>
      <w:r>
        <w:rPr>
          <w:rFonts w:hAnsi="宋体"/>
          <w:sz w:val="36"/>
          <w:szCs w:val="36"/>
        </w:rPr>
        <w:t xml:space="preserve">          </w:t>
      </w:r>
      <w:r>
        <w:rPr>
          <w:rFonts w:hint="eastAsia" w:hAnsi="宋体" w:cs="宋体"/>
          <w:sz w:val="36"/>
          <w:szCs w:val="36"/>
        </w:rPr>
        <w:t>项目编号：</w:t>
      </w:r>
    </w:p>
    <w:p w14:paraId="0F101AB3">
      <w:pPr>
        <w:spacing w:line="360" w:lineRule="auto"/>
        <w:outlineLvl w:val="9"/>
        <w:rPr>
          <w:rFonts w:hAnsi="宋体"/>
          <w:sz w:val="36"/>
          <w:szCs w:val="36"/>
        </w:rPr>
      </w:pPr>
    </w:p>
    <w:p w14:paraId="79BA1447">
      <w:pPr>
        <w:spacing w:line="360" w:lineRule="auto"/>
        <w:outlineLvl w:val="9"/>
        <w:rPr>
          <w:rFonts w:hAnsi="宋体"/>
          <w:sz w:val="36"/>
          <w:szCs w:val="36"/>
        </w:rPr>
      </w:pPr>
    </w:p>
    <w:p w14:paraId="53AEC750">
      <w:pPr>
        <w:spacing w:line="360" w:lineRule="auto"/>
        <w:outlineLvl w:val="9"/>
        <w:rPr>
          <w:rFonts w:hAnsi="宋体"/>
          <w:sz w:val="36"/>
          <w:szCs w:val="36"/>
        </w:rPr>
      </w:pPr>
      <w:r>
        <w:rPr>
          <w:rFonts w:hAnsi="宋体"/>
          <w:sz w:val="36"/>
          <w:szCs w:val="36"/>
        </w:rPr>
        <w:t xml:space="preserve">           </w:t>
      </w:r>
      <w:r>
        <w:rPr>
          <w:rFonts w:hint="eastAsia" w:hAnsi="宋体" w:cs="宋体"/>
          <w:sz w:val="36"/>
          <w:szCs w:val="36"/>
        </w:rPr>
        <w:t>甲方：</w:t>
      </w:r>
    </w:p>
    <w:p w14:paraId="080538EA">
      <w:pPr>
        <w:spacing w:line="360" w:lineRule="auto"/>
        <w:ind w:firstLine="720"/>
        <w:outlineLvl w:val="9"/>
        <w:rPr>
          <w:rFonts w:hAnsi="宋体"/>
          <w:sz w:val="36"/>
          <w:szCs w:val="36"/>
        </w:rPr>
      </w:pPr>
      <w:r>
        <w:rPr>
          <w:rFonts w:hAnsi="宋体"/>
          <w:sz w:val="36"/>
          <w:szCs w:val="36"/>
        </w:rPr>
        <w:t xml:space="preserve">       </w:t>
      </w:r>
      <w:r>
        <w:rPr>
          <w:rFonts w:hint="eastAsia" w:hAnsi="宋体" w:cs="宋体"/>
          <w:sz w:val="36"/>
          <w:szCs w:val="36"/>
        </w:rPr>
        <w:t>乙方：</w:t>
      </w:r>
    </w:p>
    <w:p w14:paraId="3676765E">
      <w:pPr>
        <w:spacing w:line="360" w:lineRule="auto"/>
        <w:ind w:firstLine="720"/>
        <w:outlineLvl w:val="9"/>
        <w:rPr>
          <w:rFonts w:hAnsi="宋体"/>
          <w:sz w:val="36"/>
          <w:szCs w:val="36"/>
        </w:rPr>
      </w:pPr>
      <w:r>
        <w:rPr>
          <w:rFonts w:hAnsi="宋体"/>
          <w:sz w:val="36"/>
          <w:szCs w:val="36"/>
        </w:rPr>
        <w:t xml:space="preserve">       </w:t>
      </w:r>
      <w:r>
        <w:rPr>
          <w:rFonts w:hint="eastAsia" w:hAnsi="宋体" w:cs="宋体"/>
          <w:sz w:val="36"/>
          <w:szCs w:val="36"/>
          <w:lang w:val="en-US" w:eastAsia="zh-CN"/>
        </w:rPr>
        <w:t>集采</w:t>
      </w:r>
      <w:r>
        <w:rPr>
          <w:rFonts w:hint="eastAsia" w:hAnsi="宋体" w:cs="宋体"/>
          <w:sz w:val="36"/>
          <w:szCs w:val="36"/>
          <w:lang w:eastAsia="zh-CN"/>
        </w:rPr>
        <w:t>机构</w:t>
      </w:r>
      <w:r>
        <w:rPr>
          <w:rFonts w:hint="eastAsia" w:hAnsi="宋体" w:cs="宋体"/>
          <w:sz w:val="36"/>
          <w:szCs w:val="36"/>
        </w:rPr>
        <w:t>：</w:t>
      </w:r>
    </w:p>
    <w:p w14:paraId="4223928B">
      <w:pPr>
        <w:spacing w:line="360" w:lineRule="auto"/>
        <w:jc w:val="center"/>
        <w:outlineLvl w:val="9"/>
        <w:rPr>
          <w:rFonts w:hAnsi="宋体"/>
          <w:sz w:val="36"/>
          <w:szCs w:val="36"/>
        </w:rPr>
      </w:pPr>
    </w:p>
    <w:p w14:paraId="02F79E39">
      <w:pPr>
        <w:spacing w:line="360" w:lineRule="auto"/>
        <w:jc w:val="center"/>
        <w:outlineLvl w:val="9"/>
        <w:rPr>
          <w:rFonts w:hint="default" w:hAnsi="宋体" w:eastAsia="宋体"/>
          <w:sz w:val="36"/>
          <w:szCs w:val="36"/>
          <w:lang w:val="en-US" w:eastAsia="zh-CN"/>
        </w:rPr>
      </w:pPr>
      <w:r>
        <w:rPr>
          <w:rFonts w:hint="eastAsia" w:hAnsi="宋体" w:cs="宋体"/>
          <w:sz w:val="36"/>
          <w:szCs w:val="36"/>
        </w:rPr>
        <w:t>年</w:t>
      </w:r>
      <w:r>
        <w:rPr>
          <w:rFonts w:hAnsi="宋体"/>
          <w:sz w:val="36"/>
          <w:szCs w:val="36"/>
        </w:rPr>
        <w:t xml:space="preserve">   </w:t>
      </w:r>
      <w:r>
        <w:rPr>
          <w:rFonts w:hint="eastAsia" w:hAnsi="宋体" w:cs="宋体"/>
          <w:sz w:val="36"/>
          <w:szCs w:val="36"/>
        </w:rPr>
        <w:t>月</w:t>
      </w:r>
      <w:r>
        <w:rPr>
          <w:rFonts w:hint="eastAsia" w:hAnsi="宋体" w:cs="宋体"/>
          <w:sz w:val="36"/>
          <w:szCs w:val="36"/>
          <w:lang w:val="en-US" w:eastAsia="zh-CN"/>
        </w:rPr>
        <w:t xml:space="preserve">   日</w:t>
      </w:r>
    </w:p>
    <w:p w14:paraId="49C36992">
      <w:pPr>
        <w:spacing w:line="360" w:lineRule="auto"/>
        <w:jc w:val="center"/>
        <w:outlineLvl w:val="9"/>
        <w:rPr>
          <w:rFonts w:hint="default" w:hAnsi="宋体" w:eastAsia="宋体"/>
          <w:b/>
          <w:bCs/>
          <w:sz w:val="32"/>
          <w:szCs w:val="32"/>
          <w:lang w:val="en-US" w:eastAsia="zh-CN"/>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r>
        <w:rPr>
          <w:rFonts w:hint="eastAsia" w:hAnsi="宋体"/>
          <w:b/>
          <w:bCs/>
          <w:sz w:val="32"/>
          <w:szCs w:val="32"/>
          <w:lang w:val="en-US" w:eastAsia="zh-CN"/>
        </w:rPr>
        <w:t xml:space="preserve">  </w:t>
      </w:r>
    </w:p>
    <w:p w14:paraId="19EE8176">
      <w:pPr>
        <w:widowControl w:val="0"/>
        <w:spacing w:after="0"/>
        <w:jc w:val="center"/>
        <w:rPr>
          <w:rFonts w:ascii="宋体" w:hAnsi="宋体" w:eastAsia="宋体" w:cs="宋体"/>
          <w:b/>
          <w:bCs/>
          <w:spacing w:val="-20"/>
          <w:kern w:val="44"/>
          <w:sz w:val="48"/>
          <w:szCs w:val="48"/>
          <w:lang w:val="en-US" w:eastAsia="zh-CN" w:bidi="ar-SA"/>
        </w:rPr>
      </w:pPr>
      <w:bookmarkStart w:id="133" w:name="_Toc3995"/>
    </w:p>
    <w:p w14:paraId="1554DABA">
      <w:pPr>
        <w:widowControl w:val="0"/>
        <w:spacing w:after="0"/>
        <w:jc w:val="center"/>
        <w:rPr>
          <w:rFonts w:ascii="宋体" w:hAnsi="宋体" w:eastAsia="宋体" w:cs="宋体"/>
          <w:b/>
          <w:bCs/>
          <w:spacing w:val="-20"/>
          <w:kern w:val="44"/>
          <w:sz w:val="48"/>
          <w:szCs w:val="48"/>
          <w:lang w:val="en-US" w:eastAsia="zh-CN" w:bidi="ar-SA"/>
        </w:rPr>
      </w:pPr>
    </w:p>
    <w:p w14:paraId="41E89C6B">
      <w:pPr>
        <w:widowControl w:val="0"/>
        <w:spacing w:after="0"/>
        <w:jc w:val="center"/>
        <w:rPr>
          <w:rFonts w:ascii="宋体" w:hAnsi="宋体" w:eastAsia="宋体" w:cs="宋体"/>
          <w:b/>
          <w:bCs/>
          <w:spacing w:val="-20"/>
          <w:kern w:val="44"/>
          <w:sz w:val="48"/>
          <w:szCs w:val="48"/>
          <w:lang w:val="en-US" w:eastAsia="zh-CN" w:bidi="ar-SA"/>
        </w:rPr>
      </w:pPr>
    </w:p>
    <w:p w14:paraId="4AC3BCDE">
      <w:pPr>
        <w:widowControl w:val="0"/>
        <w:spacing w:after="0"/>
        <w:jc w:val="center"/>
        <w:rPr>
          <w:rFonts w:ascii="宋体" w:hAnsi="宋体" w:eastAsia="宋体" w:cs="宋体"/>
          <w:b/>
          <w:bCs/>
          <w:spacing w:val="-20"/>
          <w:kern w:val="44"/>
          <w:sz w:val="48"/>
          <w:szCs w:val="48"/>
          <w:lang w:val="en-US" w:eastAsia="zh-CN" w:bidi="ar-SA"/>
        </w:rPr>
      </w:pPr>
    </w:p>
    <w:p w14:paraId="0D63A475">
      <w:pPr>
        <w:widowControl w:val="0"/>
        <w:spacing w:after="0"/>
        <w:jc w:val="center"/>
        <w:rPr>
          <w:rFonts w:ascii="宋体" w:hAnsi="宋体" w:eastAsia="宋体" w:cs="宋体"/>
          <w:b/>
          <w:bCs/>
          <w:spacing w:val="-20"/>
          <w:kern w:val="44"/>
          <w:sz w:val="48"/>
          <w:szCs w:val="48"/>
          <w:lang w:val="en-US" w:eastAsia="zh-CN" w:bidi="ar-SA"/>
        </w:rPr>
      </w:pPr>
    </w:p>
    <w:p w14:paraId="50592751">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14:paraId="3BAC5B44">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14:paraId="68D0827E">
      <w:pPr>
        <w:rPr>
          <w:rFonts w:ascii="宋体" w:hAnsi="宋体" w:eastAsia="宋体" w:cs="宋体"/>
          <w:b/>
          <w:bCs/>
          <w:spacing w:val="-20"/>
          <w:kern w:val="44"/>
          <w:sz w:val="40"/>
          <w:szCs w:val="40"/>
        </w:rPr>
      </w:pPr>
    </w:p>
    <w:p w14:paraId="779A56C0">
      <w:pPr>
        <w:rPr>
          <w:rFonts w:ascii="宋体" w:hAnsi="宋体" w:eastAsia="宋体" w:cs="宋体"/>
          <w:b/>
          <w:bCs/>
          <w:spacing w:val="-20"/>
          <w:kern w:val="44"/>
          <w:sz w:val="40"/>
          <w:szCs w:val="40"/>
        </w:rPr>
      </w:pPr>
    </w:p>
    <w:p w14:paraId="4ACAA4F7">
      <w:pPr>
        <w:rPr>
          <w:rFonts w:ascii="宋体" w:hAnsi="宋体" w:eastAsia="宋体" w:cs="宋体"/>
          <w:b/>
          <w:bCs/>
          <w:spacing w:val="-20"/>
          <w:kern w:val="44"/>
          <w:sz w:val="40"/>
          <w:szCs w:val="40"/>
        </w:rPr>
      </w:pPr>
    </w:p>
    <w:p w14:paraId="2C4E5A18">
      <w:pPr>
        <w:spacing w:line="360" w:lineRule="auto"/>
        <w:ind w:left="420" w:leftChars="200"/>
        <w:rPr>
          <w:rFonts w:ascii="Times New Roman" w:hAnsi="Times New Roman" w:eastAsia="宋体" w:cs="Times New Roman"/>
          <w:sz w:val="32"/>
          <w:szCs w:val="32"/>
        </w:rPr>
      </w:pPr>
      <w:r>
        <w:rPr>
          <w:rFonts w:hint="eastAsia" w:ascii="宋体" w:hAnsi="宋体" w:eastAsia="宋体" w:cs="宋体"/>
          <w:kern w:val="0"/>
          <w:sz w:val="32"/>
          <w:szCs w:val="32"/>
        </w:rPr>
        <w:t>项目名称：</w:t>
      </w:r>
      <w:r>
        <w:rPr>
          <w:rFonts w:hint="eastAsia" w:ascii="Times New Roman" w:hAnsi="Times New Roman" w:eastAsia="宋体" w:cs="Times New Roman"/>
          <w:sz w:val="32"/>
          <w:szCs w:val="32"/>
          <w:u w:val="single"/>
        </w:rPr>
        <w:t xml:space="preserve">                             </w:t>
      </w:r>
    </w:p>
    <w:p w14:paraId="391640C2">
      <w:pPr>
        <w:spacing w:line="360" w:lineRule="auto"/>
        <w:ind w:left="420" w:leftChars="2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合同编号：</w:t>
      </w:r>
      <w:r>
        <w:rPr>
          <w:rFonts w:hint="eastAsia" w:ascii="Times New Roman" w:hAnsi="Times New Roman" w:eastAsia="宋体" w:cs="Times New Roman"/>
          <w:sz w:val="32"/>
          <w:szCs w:val="32"/>
          <w:u w:val="single"/>
        </w:rPr>
        <w:t xml:space="preserve">                             </w:t>
      </w:r>
    </w:p>
    <w:p w14:paraId="2760EAD1">
      <w:pPr>
        <w:spacing w:line="360" w:lineRule="auto"/>
        <w:ind w:left="420" w:leftChars="200"/>
        <w:rPr>
          <w:rFonts w:ascii="Times New Roman" w:hAnsi="Times New Roman" w:eastAsia="宋体" w:cs="Times New Roman"/>
          <w:sz w:val="32"/>
          <w:szCs w:val="32"/>
        </w:rPr>
      </w:pPr>
      <w:r>
        <w:rPr>
          <w:rFonts w:hint="eastAsia" w:ascii="Times New Roman" w:hAnsi="Times New Roman" w:eastAsia="宋体" w:cs="Times New Roman"/>
          <w:sz w:val="32"/>
          <w:szCs w:val="32"/>
        </w:rPr>
        <w:t>甲    方：</w:t>
      </w:r>
      <w:r>
        <w:rPr>
          <w:rFonts w:hint="eastAsia" w:ascii="Times New Roman" w:hAnsi="Times New Roman" w:eastAsia="宋体" w:cs="Times New Roman"/>
          <w:sz w:val="32"/>
          <w:szCs w:val="32"/>
          <w:u w:val="single"/>
        </w:rPr>
        <w:t xml:space="preserve">                             </w:t>
      </w:r>
    </w:p>
    <w:p w14:paraId="53CA6860">
      <w:pPr>
        <w:spacing w:line="360" w:lineRule="auto"/>
        <w:ind w:left="420" w:leftChars="2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乙    方：</w:t>
      </w:r>
      <w:r>
        <w:rPr>
          <w:rFonts w:hint="eastAsia" w:ascii="Times New Roman" w:hAnsi="Times New Roman" w:eastAsia="宋体" w:cs="Times New Roman"/>
          <w:sz w:val="32"/>
          <w:szCs w:val="32"/>
          <w:u w:val="single"/>
        </w:rPr>
        <w:t xml:space="preserve">                             </w:t>
      </w:r>
    </w:p>
    <w:p w14:paraId="24D1DA36">
      <w:pPr>
        <w:spacing w:line="360" w:lineRule="auto"/>
        <w:ind w:left="420" w:leftChars="200"/>
        <w:rPr>
          <w:rFonts w:ascii="Times New Roman" w:hAnsi="Times New Roman" w:eastAsia="宋体" w:cs="Times New Roman"/>
          <w:sz w:val="32"/>
          <w:szCs w:val="32"/>
        </w:rPr>
      </w:pPr>
      <w:r>
        <w:rPr>
          <w:rFonts w:hint="eastAsia" w:ascii="Times New Roman" w:hAnsi="Times New Roman" w:eastAsia="宋体" w:cs="Times New Roman"/>
          <w:sz w:val="32"/>
          <w:szCs w:val="32"/>
        </w:rPr>
        <w:t>签订时间：</w:t>
      </w:r>
      <w:r>
        <w:rPr>
          <w:rFonts w:hint="eastAsia" w:ascii="Times New Roman" w:hAnsi="Times New Roman" w:eastAsia="宋体" w:cs="Times New Roman"/>
          <w:sz w:val="32"/>
          <w:szCs w:val="32"/>
          <w:u w:val="single"/>
        </w:rPr>
        <w:t xml:space="preserve">      </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sz w:val="32"/>
          <w:szCs w:val="32"/>
          <w:u w:val="single"/>
        </w:rPr>
        <w:t xml:space="preserve">            </w:t>
      </w:r>
    </w:p>
    <w:p w14:paraId="51050E43">
      <w:pPr>
        <w:rPr>
          <w:rFonts w:ascii="Times New Roman" w:hAnsi="Times New Roman" w:eastAsia="宋体" w:cs="Times New Roman"/>
          <w:szCs w:val="24"/>
        </w:rPr>
      </w:pPr>
    </w:p>
    <w:p w14:paraId="63F7F876">
      <w:pPr>
        <w:rPr>
          <w:rFonts w:ascii="Times New Roman" w:hAnsi="Times New Roman" w:eastAsia="黑体" w:cs="Times New Roman"/>
          <w:sz w:val="44"/>
          <w:szCs w:val="44"/>
        </w:rPr>
      </w:pPr>
      <w:r>
        <w:rPr>
          <w:rFonts w:ascii="Times New Roman" w:hAnsi="Times New Roman" w:eastAsia="黑体" w:cs="Times New Roman"/>
          <w:sz w:val="44"/>
          <w:szCs w:val="44"/>
        </w:rPr>
        <w:br w:type="page"/>
      </w:r>
    </w:p>
    <w:p w14:paraId="0F57FAE8">
      <w:pPr>
        <w:rPr>
          <w:rFonts w:ascii="Times New Roman" w:hAnsi="Times New Roman" w:eastAsia="黑体" w:cs="Times New Roman"/>
          <w:sz w:val="44"/>
          <w:szCs w:val="44"/>
        </w:rPr>
      </w:pPr>
    </w:p>
    <w:p w14:paraId="696017D0">
      <w:pPr>
        <w:rPr>
          <w:rFonts w:ascii="Times New Roman" w:hAnsi="Times New Roman" w:eastAsia="黑体" w:cs="Times New Roman"/>
          <w:sz w:val="44"/>
          <w:szCs w:val="44"/>
        </w:rPr>
      </w:pPr>
    </w:p>
    <w:p w14:paraId="13886F3A">
      <w:pPr>
        <w:jc w:val="center"/>
        <w:rPr>
          <w:rFonts w:hint="eastAsia" w:ascii="Times New Roman" w:hAnsi="Times New Roman" w:eastAsia="黑体" w:cs="Times New Roman"/>
          <w:sz w:val="44"/>
          <w:szCs w:val="44"/>
          <w:lang w:eastAsia="zh-CN"/>
        </w:rPr>
      </w:pPr>
      <w:r>
        <w:rPr>
          <w:rFonts w:hint="eastAsia" w:ascii="Times New Roman" w:hAnsi="Times New Roman" w:eastAsia="黑体" w:cs="Times New Roman"/>
          <w:sz w:val="44"/>
          <w:szCs w:val="44"/>
          <w:lang w:eastAsia="zh-CN"/>
        </w:rPr>
        <w:t>使</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用</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说</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明</w:t>
      </w:r>
    </w:p>
    <w:p w14:paraId="4F59C96F">
      <w:pPr>
        <w:ind w:firstLine="640" w:firstLineChars="200"/>
        <w:rPr>
          <w:rFonts w:hint="eastAsia" w:ascii="仿宋_GB2312" w:hAnsi="仿宋_GB2312" w:eastAsia="仿宋_GB2312" w:cs="仿宋_GB2312"/>
          <w:sz w:val="32"/>
          <w:szCs w:val="32"/>
          <w:lang w:val="en-US" w:eastAsia="zh-CN"/>
        </w:rPr>
      </w:pPr>
    </w:p>
    <w:p w14:paraId="42D1058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38082A6">
      <w:pPr>
        <w:ind w:firstLine="0" w:firstLineChars="0"/>
        <w:rPr>
          <w:rFonts w:hint="default"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FD7020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B6A049E">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33"/>
    <w:p w14:paraId="228DEA57">
      <w:pPr>
        <w:keepNext/>
        <w:keepLines/>
        <w:widowControl w:val="0"/>
        <w:adjustRightInd w:val="0"/>
        <w:snapToGrid w:val="0"/>
        <w:spacing w:beforeLines="0" w:line="400" w:lineRule="exact"/>
        <w:jc w:val="center"/>
        <w:outlineLvl w:val="9"/>
        <w:rPr>
          <w:rFonts w:hint="eastAsia" w:ascii="黑体" w:hAnsi="华文中宋" w:eastAsia="黑体" w:cs="Times New Roman"/>
          <w:b w:val="0"/>
          <w:bCs w:val="0"/>
          <w:kern w:val="2"/>
          <w:sz w:val="28"/>
          <w:szCs w:val="28"/>
          <w:lang w:val="en-US" w:eastAsia="zh-CN" w:bidi="ar-SA"/>
        </w:rPr>
      </w:pPr>
      <w:bookmarkStart w:id="134" w:name="_Toc22209"/>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134"/>
    </w:p>
    <w:p w14:paraId="65910FF2">
      <w:pPr>
        <w:keepNext/>
        <w:keepLines/>
        <w:widowControl w:val="0"/>
        <w:adjustRightInd w:val="0"/>
        <w:snapToGrid w:val="0"/>
        <w:spacing w:beforeLines="0" w:line="400" w:lineRule="exact"/>
        <w:jc w:val="center"/>
        <w:outlineLvl w:val="9"/>
        <w:rPr>
          <w:rFonts w:hint="eastAsia" w:ascii="黑体" w:hAnsi="华文中宋" w:eastAsia="黑体" w:cs="Times New Roman"/>
          <w:b w:val="0"/>
          <w:bCs w:val="0"/>
          <w:kern w:val="2"/>
          <w:sz w:val="28"/>
          <w:szCs w:val="28"/>
          <w:lang w:val="en-US" w:eastAsia="zh-CN" w:bidi="ar-SA"/>
        </w:rPr>
      </w:pPr>
    </w:p>
    <w:p w14:paraId="52D956BC">
      <w:pPr>
        <w:adjustRightInd w:val="0"/>
        <w:snapToGrid w:val="0"/>
        <w:spacing w:before="0" w:beforeLines="0" w:line="400" w:lineRule="exact"/>
        <w:outlineLvl w:val="9"/>
        <w:rPr>
          <w:rFonts w:ascii="宋体" w:hAnsi="宋体" w:eastAsia="宋体" w:cs="Times New Roman"/>
          <w:szCs w:val="21"/>
        </w:rPr>
      </w:pPr>
      <w:r>
        <w:rPr>
          <w:rFonts w:hint="eastAsia" w:ascii="宋体" w:hAnsi="宋体" w:eastAsia="宋体" w:cs="Times New Roman"/>
          <w:szCs w:val="21"/>
        </w:rPr>
        <w:t>甲方（全称）：</w:t>
      </w:r>
      <w:r>
        <w:rPr>
          <w:rFonts w:hint="eastAsia" w:ascii="宋体" w:hAnsi="宋体" w:eastAsia="宋体" w:cs="Times New Roman"/>
          <w:szCs w:val="21"/>
          <w:u w:val="single"/>
        </w:rPr>
        <w:t xml:space="preserve">                        </w:t>
      </w:r>
      <w:r>
        <w:rPr>
          <w:rFonts w:hint="eastAsia" w:ascii="宋体" w:hAnsi="宋体" w:eastAsia="宋体" w:cs="Times New Roman"/>
          <w:szCs w:val="21"/>
        </w:rPr>
        <w:t>（采购人</w:t>
      </w:r>
      <w:r>
        <w:rPr>
          <w:rFonts w:hint="eastAsia" w:ascii="宋体" w:hAnsi="宋体" w:eastAsia="宋体" w:cs="Times New Roman"/>
          <w:szCs w:val="21"/>
          <w:lang w:eastAsia="zh-CN"/>
        </w:rPr>
        <w:t>、受采购人委托签订合同的单位</w:t>
      </w:r>
      <w:r>
        <w:rPr>
          <w:rFonts w:hint="eastAsia" w:ascii="宋体" w:hAnsi="宋体" w:eastAsia="宋体" w:cs="Times New Roman"/>
          <w:szCs w:val="21"/>
        </w:rPr>
        <w:t>或采购</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文件约定的合同甲方）</w:t>
      </w:r>
    </w:p>
    <w:p w14:paraId="2B6B3DF9">
      <w:pPr>
        <w:adjustRightInd w:val="0"/>
        <w:snapToGrid w:val="0"/>
        <w:spacing w:before="0" w:beforeLines="0" w:line="400" w:lineRule="exact"/>
        <w:outlineLvl w:val="9"/>
        <w:rPr>
          <w:rFonts w:ascii="宋体" w:hAnsi="宋体" w:eastAsia="宋体" w:cs="Times New Roman"/>
          <w:szCs w:val="21"/>
        </w:rPr>
      </w:pPr>
      <w:r>
        <w:rPr>
          <w:rFonts w:hint="eastAsia" w:ascii="宋体" w:hAnsi="宋体" w:eastAsia="宋体" w:cs="Times New Roman"/>
          <w:szCs w:val="21"/>
        </w:rPr>
        <w:t>乙方</w:t>
      </w:r>
      <w:r>
        <w:rPr>
          <w:rFonts w:hint="eastAsia" w:ascii="宋体" w:hAnsi="宋体" w:eastAsia="宋体" w:cs="Times New Roman"/>
          <w:szCs w:val="21"/>
          <w:lang w:val="en-US" w:eastAsia="zh-CN"/>
        </w:rPr>
        <w:t>1</w:t>
      </w:r>
      <w:r>
        <w:rPr>
          <w:rFonts w:hint="eastAsia" w:ascii="宋体" w:hAnsi="宋体" w:eastAsia="宋体" w:cs="Times New Roman"/>
          <w:szCs w:val="21"/>
        </w:rPr>
        <w:t>（全称）：</w:t>
      </w:r>
      <w:r>
        <w:rPr>
          <w:rFonts w:hint="eastAsia" w:ascii="宋体" w:hAnsi="宋体" w:eastAsia="宋体" w:cs="Times New Roman"/>
          <w:szCs w:val="21"/>
          <w:u w:val="single"/>
        </w:rPr>
        <w:t xml:space="preserve">                       </w:t>
      </w:r>
      <w:r>
        <w:rPr>
          <w:rFonts w:hint="eastAsia" w:ascii="宋体" w:hAnsi="宋体" w:eastAsia="宋体" w:cs="Times New Roman"/>
          <w:szCs w:val="21"/>
        </w:rPr>
        <w:t>（供应商）</w:t>
      </w:r>
    </w:p>
    <w:p w14:paraId="02CCC02E">
      <w:pPr>
        <w:adjustRightInd w:val="0"/>
        <w:snapToGrid w:val="0"/>
        <w:spacing w:before="0" w:beforeLines="0" w:line="400" w:lineRule="exact"/>
        <w:outlineLvl w:val="9"/>
        <w:rPr>
          <w:rFonts w:hint="eastAsia" w:ascii="宋体" w:hAnsi="宋体" w:eastAsia="宋体" w:cs="Times New Roman"/>
          <w:szCs w:val="21"/>
        </w:rPr>
      </w:pPr>
      <w:r>
        <w:rPr>
          <w:rFonts w:hint="eastAsia" w:ascii="宋体" w:hAnsi="宋体" w:eastAsia="宋体" w:cs="Times New Roman"/>
          <w:szCs w:val="21"/>
        </w:rPr>
        <w:t>乙方2（全称）：</w:t>
      </w:r>
      <w:r>
        <w:rPr>
          <w:rFonts w:hint="eastAsia" w:ascii="宋体" w:hAnsi="宋体" w:eastAsia="宋体" w:cs="Times New Roman"/>
          <w:szCs w:val="21"/>
          <w:u w:val="single"/>
        </w:rPr>
        <w:t xml:space="preserve">                        </w:t>
      </w:r>
      <w:r>
        <w:rPr>
          <w:rFonts w:hint="eastAsia" w:ascii="宋体" w:hAnsi="宋体" w:eastAsia="宋体" w:cs="Times New Roman"/>
          <w:szCs w:val="21"/>
        </w:rPr>
        <w:t>（联合体成员供应商或其他合同主体）（如有）</w:t>
      </w:r>
    </w:p>
    <w:p w14:paraId="62D3457A">
      <w:pPr>
        <w:adjustRightInd w:val="0"/>
        <w:snapToGrid w:val="0"/>
        <w:spacing w:before="0" w:beforeLines="0" w:line="400" w:lineRule="exact"/>
        <w:outlineLvl w:val="9"/>
        <w:rPr>
          <w:rFonts w:hint="eastAsia" w:ascii="宋体" w:hAnsi="宋体" w:eastAsia="宋体" w:cs="Times New Roman"/>
          <w:szCs w:val="21"/>
        </w:rPr>
      </w:pPr>
      <w:r>
        <w:rPr>
          <w:rFonts w:hint="eastAsia" w:ascii="Times New Roman" w:hAnsi="Times New Roman" w:eastAsia="宋体" w:cs="Times New Roman"/>
          <w:szCs w:val="24"/>
          <w:lang w:eastAsia="zh-CN"/>
        </w:rPr>
        <w:t>乙方</w:t>
      </w:r>
      <w:r>
        <w:rPr>
          <w:rFonts w:hint="eastAsia" w:ascii="宋体" w:hAnsi="宋体" w:eastAsia="宋体" w:cs="Times New Roman"/>
          <w:szCs w:val="21"/>
          <w:lang w:val="en-US" w:eastAsia="zh-CN"/>
        </w:rPr>
        <w:t>3</w:t>
      </w:r>
      <w:r>
        <w:rPr>
          <w:rFonts w:hint="eastAsia" w:ascii="Times New Roman" w:hAnsi="Times New Roman" w:eastAsia="宋体" w:cs="Times New Roman"/>
          <w:szCs w:val="24"/>
          <w:lang w:val="en-US" w:eastAsia="zh-CN"/>
        </w:rPr>
        <w:t>（全称）</w:t>
      </w:r>
      <w:r>
        <w:rPr>
          <w:rFonts w:hint="eastAsia" w:ascii="宋体" w:hAnsi="宋体" w:eastAsia="宋体" w:cs="Times New Roman"/>
          <w:szCs w:val="21"/>
          <w:u w:val="single"/>
        </w:rPr>
        <w:t xml:space="preserve">                          </w:t>
      </w:r>
      <w:r>
        <w:rPr>
          <w:rFonts w:hint="eastAsia" w:ascii="宋体" w:hAnsi="宋体" w:eastAsia="宋体" w:cs="Times New Roman"/>
          <w:szCs w:val="21"/>
        </w:rPr>
        <w:t>（联合体成员供应商或其他合同主体）（如有）</w:t>
      </w:r>
    </w:p>
    <w:p w14:paraId="56228967">
      <w:pPr>
        <w:spacing w:beforeLines="0" w:line="400" w:lineRule="exact"/>
        <w:outlineLvl w:val="9"/>
        <w:rPr>
          <w:rFonts w:hint="default" w:ascii="Times New Roman" w:hAnsi="Times New Roman" w:eastAsia="宋体" w:cs="Times New Roman"/>
          <w:szCs w:val="24"/>
          <w:lang w:val="en-US" w:eastAsia="zh-CN"/>
        </w:rPr>
      </w:pPr>
    </w:p>
    <w:p w14:paraId="1398A913">
      <w:pPr>
        <w:widowControl w:val="0"/>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的招标/谈判文件等采购文件、乙方的《投标（响应）文件》及《中标（成交）通知书》，甲乙双方同意签订本合同。具体情况及要求如下：     </w:t>
      </w:r>
    </w:p>
    <w:p w14:paraId="16C22902">
      <w:pPr>
        <w:numPr>
          <w:ilvl w:val="0"/>
          <w:numId w:val="16"/>
        </w:numPr>
        <w:adjustRightInd w:val="0"/>
        <w:snapToGrid w:val="0"/>
        <w:spacing w:before="0" w:beforeLines="0" w:line="400" w:lineRule="exact"/>
        <w:ind w:firstLine="422" w:firstLineChars="200"/>
        <w:outlineLvl w:val="9"/>
        <w:rPr>
          <w:rFonts w:ascii="宋体" w:hAnsi="宋体" w:eastAsia="宋体" w:cs="Times New Roman"/>
          <w:b/>
          <w:szCs w:val="21"/>
        </w:rPr>
      </w:pPr>
      <w:r>
        <w:rPr>
          <w:rFonts w:hint="eastAsia" w:ascii="宋体" w:hAnsi="宋体" w:eastAsia="宋体" w:cs="Times New Roman"/>
          <w:b/>
          <w:szCs w:val="21"/>
        </w:rPr>
        <w:t>项目信息</w:t>
      </w:r>
    </w:p>
    <w:p w14:paraId="6A56C849">
      <w:pPr>
        <w:widowControl w:val="0"/>
        <w:numPr>
          <w:ilvl w:val="0"/>
          <w:numId w:val="17"/>
        </w:numPr>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ascii="宋体" w:hAnsi="宋体" w:eastAsia="宋体" w:cs="Times New Roman"/>
          <w:kern w:val="2"/>
          <w:sz w:val="21"/>
          <w:szCs w:val="21"/>
          <w:u w:val="single"/>
          <w:lang w:val="en-US" w:eastAsia="zh-CN" w:bidi="ar-SA"/>
        </w:rPr>
        <w:t xml:space="preserve">                                          </w:t>
      </w:r>
    </w:p>
    <w:p w14:paraId="6D006101">
      <w:pPr>
        <w:widowControl w:val="0"/>
        <w:numPr>
          <w:ilvl w:val="-1"/>
          <w:numId w:val="0"/>
        </w:numPr>
        <w:tabs>
          <w:tab w:val="left" w:pos="999"/>
        </w:tabs>
        <w:adjustRightInd w:val="0"/>
        <w:snapToGrid w:val="0"/>
        <w:spacing w:before="0" w:beforeLines="0" w:after="0" w:line="400" w:lineRule="exact"/>
        <w:ind w:left="0" w:leftChars="0" w:firstLine="0" w:firstLineChars="0"/>
        <w:jc w:val="both"/>
        <w:outlineLvl w:val="9"/>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14:paraId="1FF44CB6">
      <w:pPr>
        <w:widowControl w:val="0"/>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14:paraId="00D929AB">
      <w:pPr>
        <w:adjustRightInd w:val="0"/>
        <w:snapToGrid w:val="0"/>
        <w:spacing w:before="0" w:beforeLines="0" w:line="400" w:lineRule="exact"/>
        <w:ind w:firstLine="420" w:firstLineChars="200"/>
        <w:outlineLvl w:val="9"/>
        <w:rPr>
          <w:rFonts w:hint="eastAsia" w:ascii="宋体" w:hAnsi="宋体" w:eastAsia="宋体" w:cs="Times New Roman"/>
          <w:szCs w:val="21"/>
        </w:rPr>
      </w:pPr>
      <w:r>
        <w:rPr>
          <w:rFonts w:hint="eastAsia" w:ascii="宋体" w:hAnsi="宋体" w:eastAsia="宋体" w:cs="Times New Roman"/>
          <w:szCs w:val="21"/>
        </w:rPr>
        <w:t>（3）项目内容：</w:t>
      </w:r>
    </w:p>
    <w:p w14:paraId="50CB30D7">
      <w:pPr>
        <w:adjustRightInd w:val="0"/>
        <w:snapToGrid w:val="0"/>
        <w:spacing w:before="0" w:beforeLines="0" w:line="400" w:lineRule="exact"/>
        <w:ind w:firstLine="420" w:firstLineChars="20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采购标的及数量</w:t>
      </w:r>
      <w:r>
        <w:rPr>
          <w:rFonts w:hint="eastAsia" w:ascii="宋体" w:hAnsi="宋体" w:eastAsia="宋体" w:cs="Times New Roman"/>
          <w:szCs w:val="21"/>
          <w:lang w:val="en-US" w:eastAsia="zh-CN"/>
        </w:rPr>
        <w:t>（台/套</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个</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架</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组等</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none"/>
          <w:lang w:val="en-US" w:eastAsia="zh-CN"/>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lang w:val="en-US" w:eastAsia="zh-CN"/>
        </w:rPr>
        <w:t xml:space="preserve"> </w:t>
      </w:r>
    </w:p>
    <w:p w14:paraId="726A479A">
      <w:pPr>
        <w:numPr>
          <w:ilvl w:val="-1"/>
          <w:numId w:val="0"/>
        </w:numPr>
        <w:adjustRightInd w:val="0"/>
        <w:snapToGrid w:val="0"/>
        <w:spacing w:before="0" w:beforeLines="0" w:line="400" w:lineRule="exact"/>
        <w:ind w:firstLine="420" w:firstLineChars="200"/>
        <w:outlineLvl w:val="9"/>
        <w:rPr>
          <w:rFonts w:hint="default" w:ascii="宋体" w:hAnsi="宋体" w:eastAsia="宋体" w:cs="宋体"/>
          <w:szCs w:val="21"/>
          <w:lang w:val="en" w:eastAsia="zh-CN"/>
        </w:rPr>
      </w:pPr>
      <w:r>
        <w:rPr>
          <w:rFonts w:hint="eastAsia" w:ascii="宋体" w:hAnsi="宋体" w:eastAsia="宋体" w:cs="Times New Roman"/>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14:paraId="10763D73">
      <w:pPr>
        <w:adjustRightInd w:val="0"/>
        <w:snapToGrid w:val="0"/>
        <w:spacing w:before="0" w:beforeLines="0" w:line="400" w:lineRule="exact"/>
        <w:ind w:firstLine="945" w:firstLineChars="450"/>
        <w:outlineLvl w:val="9"/>
        <w:rPr>
          <w:rFonts w:ascii="宋体" w:hAnsi="宋体" w:eastAsia="宋体" w:cs="Times New Roman"/>
          <w:szCs w:val="21"/>
          <w:highlight w:val="none"/>
          <w:u w:val="single"/>
        </w:rPr>
      </w:pPr>
      <w:r>
        <w:rPr>
          <w:rFonts w:hint="eastAsia" w:ascii="宋体" w:hAnsi="宋体" w:eastAsia="宋体" w:cs="Times New Roman"/>
          <w:szCs w:val="21"/>
          <w:highlight w:val="none"/>
          <w:u w:val="none"/>
          <w:lang w:val="en-US" w:eastAsia="zh-CN"/>
        </w:rPr>
        <w:t>采购标的的技术要求、商务要求具体见附件。</w:t>
      </w:r>
    </w:p>
    <w:p w14:paraId="0AAB10CB">
      <w:pPr>
        <w:numPr>
          <w:ilvl w:val="-1"/>
          <w:numId w:val="0"/>
        </w:numPr>
        <w:adjustRightInd w:val="0"/>
        <w:snapToGrid w:val="0"/>
        <w:spacing w:before="0" w:beforeLines="0" w:line="400" w:lineRule="exact"/>
        <w:ind w:firstLine="945" w:firstLineChars="450"/>
        <w:outlineLvl w:val="9"/>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14:paraId="76478BC4">
      <w:pPr>
        <w:numPr>
          <w:ilvl w:val="-1"/>
          <w:numId w:val="0"/>
        </w:numPr>
        <w:adjustRightInd w:val="0"/>
        <w:snapToGrid w:val="0"/>
        <w:spacing w:before="0" w:beforeLines="0" w:line="400" w:lineRule="exact"/>
        <w:ind w:firstLine="420" w:firstLineChars="200"/>
        <w:outlineLvl w:val="9"/>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4C09ACD6">
      <w:pPr>
        <w:numPr>
          <w:ilvl w:val="-1"/>
          <w:numId w:val="0"/>
        </w:numPr>
        <w:adjustRightInd w:val="0"/>
        <w:snapToGrid w:val="0"/>
        <w:spacing w:before="0" w:beforeLines="0" w:line="400" w:lineRule="exact"/>
        <w:ind w:firstLine="420" w:firstLineChars="20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5BEEC802">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14:paraId="05213CCA">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14:paraId="22F74903">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29746F15">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14:paraId="0475BB32">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14:paraId="0903C13D">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14:paraId="65D2F771">
      <w:pPr>
        <w:numPr>
          <w:ilvl w:val="-1"/>
          <w:numId w:val="0"/>
        </w:numPr>
        <w:autoSpaceDE w:val="0"/>
        <w:autoSpaceDN w:val="0"/>
        <w:adjustRightInd w:val="0"/>
        <w:snapToGrid w:val="0"/>
        <w:spacing w:before="0" w:beforeLines="0" w:line="400" w:lineRule="exact"/>
        <w:ind w:left="0"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政府集中采购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部门集中采购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分散采购</w:t>
      </w:r>
    </w:p>
    <w:p w14:paraId="714CE324">
      <w:pPr>
        <w:numPr>
          <w:ilvl w:val="-1"/>
          <w:numId w:val="0"/>
        </w:numPr>
        <w:autoSpaceDE w:val="0"/>
        <w:autoSpaceDN w:val="0"/>
        <w:adjustRightInd w:val="0"/>
        <w:snapToGrid w:val="0"/>
        <w:spacing w:before="0" w:beforeLines="0" w:line="400" w:lineRule="exact"/>
        <w:ind w:left="0" w:firstLine="42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邀请招标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竞争性谈判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竞争性磋商</w:t>
      </w:r>
    </w:p>
    <w:p w14:paraId="4CBDE7FF">
      <w:pPr>
        <w:numPr>
          <w:ilvl w:val="-1"/>
          <w:numId w:val="0"/>
        </w:numPr>
        <w:autoSpaceDE w:val="0"/>
        <w:autoSpaceDN w:val="0"/>
        <w:adjustRightInd w:val="0"/>
        <w:snapToGrid w:val="0"/>
        <w:spacing w:before="0" w:beforeLines="0" w:line="400" w:lineRule="exact"/>
        <w:ind w:left="0" w:firstLine="420" w:firstLineChars="0"/>
        <w:outlineLvl w:val="9"/>
        <w:rPr>
          <w:rFonts w:hint="eastAsia" w:ascii="宋体" w:hAnsi="宋体" w:eastAsia="宋体" w:cs="宋体"/>
          <w:iCs w:val="0"/>
          <w:sz w:val="21"/>
          <w:szCs w:val="21"/>
          <w:u w:val="single"/>
          <w:lang w:val="en-US" w:eastAsia="zh-CN" w:bidi="ar-SA"/>
        </w:rPr>
      </w:pP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询价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14:paraId="1410D795">
      <w:pPr>
        <w:numPr>
          <w:ilvl w:val="-1"/>
          <w:numId w:val="0"/>
        </w:numPr>
        <w:autoSpaceDE w:val="0"/>
        <w:autoSpaceDN w:val="0"/>
        <w:adjustRightInd w:val="0"/>
        <w:snapToGrid w:val="0"/>
        <w:spacing w:before="0" w:beforeLines="0" w:line="400" w:lineRule="exact"/>
        <w:ind w:left="0" w:firstLine="420" w:firstLineChars="0"/>
        <w:outlineLvl w:val="9"/>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14:paraId="76F63669">
      <w:pPr>
        <w:numPr>
          <w:ilvl w:val="-1"/>
          <w:numId w:val="0"/>
        </w:numPr>
        <w:autoSpaceDE w:val="0"/>
        <w:autoSpaceDN w:val="0"/>
        <w:adjustRightInd w:val="0"/>
        <w:snapToGrid w:val="0"/>
        <w:spacing w:before="0" w:beforeLines="0" w:line="400" w:lineRule="exact"/>
        <w:ind w:firstLine="220" w:firstLineChars="100"/>
        <w:outlineLvl w:val="9"/>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5C3A9310">
      <w:pPr>
        <w:numPr>
          <w:ilvl w:val="-1"/>
          <w:numId w:val="0"/>
        </w:numPr>
        <w:adjustRightInd w:val="0"/>
        <w:snapToGrid w:val="0"/>
        <w:spacing w:before="0" w:beforeLines="0" w:line="400" w:lineRule="exact"/>
        <w:ind w:left="0" w:leftChars="0" w:firstLine="0" w:firstLineChars="0"/>
        <w:outlineLvl w:val="9"/>
        <w:rPr>
          <w:rFonts w:hint="eastAsia" w:ascii="宋体" w:hAnsi="宋体" w:eastAsia="宋体" w:cs="Times New Roman"/>
          <w:iCs/>
          <w:szCs w:val="21"/>
        </w:rPr>
      </w:pPr>
      <w:r>
        <w:rPr>
          <w:rFonts w:hint="eastAsia" w:ascii="宋体" w:hAnsi="宋体" w:eastAsia="宋体" w:cs="Times New Roman"/>
          <w:w w:val="100"/>
          <w:szCs w:val="21"/>
          <w:lang w:val="en-US" w:eastAsia="zh-CN"/>
        </w:rPr>
        <w:t xml:space="preserve">         本合同</w:t>
      </w:r>
      <w:r>
        <w:rPr>
          <w:rFonts w:hint="eastAsia" w:ascii="宋体" w:hAnsi="宋体" w:eastAsia="宋体" w:cs="Times New Roman"/>
          <w:w w:val="100"/>
          <w:szCs w:val="21"/>
        </w:rPr>
        <w:t>是否</w:t>
      </w:r>
      <w:r>
        <w:rPr>
          <w:rFonts w:hint="eastAsia" w:ascii="宋体" w:hAnsi="宋体" w:eastAsia="宋体" w:cs="Times New Roman"/>
          <w:w w:val="100"/>
          <w:szCs w:val="21"/>
          <w:lang w:eastAsia="zh-CN"/>
        </w:rPr>
        <w:t>为专门面向</w:t>
      </w:r>
      <w:r>
        <w:rPr>
          <w:rFonts w:hint="eastAsia" w:ascii="宋体" w:hAnsi="宋体" w:eastAsia="宋体" w:cs="Times New Roman"/>
          <w:w w:val="100"/>
          <w:szCs w:val="21"/>
        </w:rPr>
        <w:t>中小企业</w:t>
      </w:r>
      <w:r>
        <w:rPr>
          <w:rFonts w:hint="eastAsia" w:ascii="宋体" w:hAnsi="宋体" w:eastAsia="宋体" w:cs="Times New Roman"/>
          <w:w w:val="100"/>
          <w:szCs w:val="21"/>
          <w:lang w:eastAsia="zh-CN"/>
        </w:rPr>
        <w:t>的采</w:t>
      </w:r>
      <w:r>
        <w:rPr>
          <w:rFonts w:hint="eastAsia" w:ascii="宋体" w:hAnsi="宋体" w:eastAsia="宋体" w:cs="Times New Roman"/>
          <w:w w:val="100"/>
          <w:szCs w:val="21"/>
          <w:shd w:val="clear"/>
          <w:lang w:eastAsia="zh-CN"/>
        </w:rPr>
        <w:t>购</w:t>
      </w:r>
      <w:r>
        <w:rPr>
          <w:rFonts w:hint="eastAsia" w:ascii="宋体" w:hAnsi="宋体" w:eastAsia="宋体" w:cs="Times New Roman"/>
          <w:w w:val="100"/>
          <w:szCs w:val="21"/>
          <w:shd w:val="clear"/>
        </w:rPr>
        <w:t>合同</w:t>
      </w:r>
      <w:r>
        <w:rPr>
          <w:rFonts w:hint="eastAsia" w:ascii="宋体" w:hAnsi="宋体" w:eastAsia="宋体" w:cs="Times New Roman"/>
          <w:w w:val="100"/>
          <w:szCs w:val="21"/>
          <w:shd w:val="clear"/>
          <w:lang w:eastAsia="zh-CN"/>
        </w:rPr>
        <w:t>（中小企业预留合同）</w:t>
      </w:r>
      <w:r>
        <w:rPr>
          <w:rFonts w:hint="eastAsia" w:ascii="宋体" w:hAnsi="宋体" w:eastAsia="宋体" w:cs="Times New Roman"/>
          <w:szCs w:val="21"/>
          <w:shd w:val="clear"/>
        </w:rPr>
        <w:t>：</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24966CF3">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iCs/>
          <w:szCs w:val="21"/>
        </w:rPr>
      </w:pPr>
      <w:r>
        <w:rPr>
          <w:rFonts w:hint="eastAsia" w:ascii="Times New Roman" w:hAnsi="Times New Roman" w:eastAsia="宋体" w:cs="Times New Roman"/>
          <w:szCs w:val="24"/>
          <w:lang w:val="en-US" w:eastAsia="zh-CN"/>
        </w:rPr>
        <w:t xml:space="preserve">         若本项目不专门面向中小企业采购，是否给予小微企业评审优惠：</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3381B2CE">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iCs/>
          <w:szCs w:val="21"/>
        </w:rPr>
      </w:pPr>
      <w:r>
        <w:rPr>
          <w:rFonts w:hint="eastAsia" w:ascii="Times New Roman" w:hAnsi="Times New Roman" w:eastAsia="宋体" w:cs="Times New Roman"/>
          <w:szCs w:val="24"/>
          <w:lang w:val="en-US" w:eastAsia="zh-CN"/>
        </w:rPr>
        <w:t xml:space="preserve">         中标（成交）采购标的制造商是否为残疾人福利性单位：</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2B283037">
      <w:pPr>
        <w:numPr>
          <w:ilvl w:val="0"/>
          <w:numId w:val="0"/>
        </w:numPr>
        <w:snapToGrid w:val="0"/>
        <w:spacing w:beforeLines="0" w:line="400" w:lineRule="exact"/>
        <w:ind w:firstLine="0" w:firstLineChars="0"/>
        <w:outlineLvl w:val="9"/>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 xml:space="preserve">         中标（成交）采购标的制造商是否为监狱企业：</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6A0107D6">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default" w:ascii="宋体" w:hAnsi="宋体" w:eastAsia="宋体" w:cs="Times New Roman"/>
          <w:szCs w:val="21"/>
          <w:lang w:val="en" w:eastAsia="zh-CN"/>
        </w:rPr>
        <w:t>7</w:t>
      </w:r>
      <w:r>
        <w:rPr>
          <w:rFonts w:hint="eastAsia" w:ascii="宋体" w:hAnsi="宋体" w:eastAsia="宋体" w:cs="Times New Roman"/>
          <w:szCs w:val="21"/>
        </w:rPr>
        <w:t>）合同是否分包：</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0BC02C95">
      <w:pPr>
        <w:adjustRightInd w:val="0"/>
        <w:snapToGrid w:val="0"/>
        <w:spacing w:before="0" w:beforeLines="0" w:line="400" w:lineRule="exact"/>
        <w:ind w:firstLine="840" w:firstLineChars="400"/>
        <w:outlineLvl w:val="9"/>
        <w:rPr>
          <w:rFonts w:hint="eastAsia"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分包主要内容：</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7EC317C7">
      <w:pPr>
        <w:adjustRightInd w:val="0"/>
        <w:snapToGrid w:val="0"/>
        <w:spacing w:before="0" w:beforeLines="0" w:line="400" w:lineRule="exact"/>
        <w:ind w:firstLine="840" w:firstLineChars="400"/>
        <w:outlineLvl w:val="9"/>
        <w:rPr>
          <w:rFonts w:hint="eastAsia" w:ascii="宋体" w:hAnsi="宋体" w:eastAsia="宋体" w:cs="Times New Roman"/>
          <w:szCs w:val="21"/>
          <w:highlight w:val="none"/>
        </w:rPr>
      </w:pPr>
      <w:r>
        <w:rPr>
          <w:rFonts w:hint="eastAsia" w:ascii="宋体" w:hAnsi="宋体" w:eastAsia="宋体" w:cs="Times New Roman"/>
          <w:szCs w:val="21"/>
          <w:u w:val="none"/>
          <w:lang w:val="en-US" w:eastAsia="zh-CN"/>
        </w:rPr>
        <w:t xml:space="preserve"> </w:t>
      </w:r>
      <w:r>
        <w:rPr>
          <w:rFonts w:hint="eastAsia" w:ascii="宋体" w:hAnsi="宋体" w:eastAsia="宋体" w:cs="Times New Roman"/>
          <w:szCs w:val="21"/>
        </w:rPr>
        <w:t>分包</w:t>
      </w:r>
      <w:r>
        <w:rPr>
          <w:rFonts w:hint="eastAsia" w:ascii="宋体" w:hAnsi="宋体" w:eastAsia="宋体" w:cs="Times New Roman"/>
          <w:szCs w:val="21"/>
          <w:highlight w:val="none"/>
        </w:rPr>
        <w:t>供应商</w:t>
      </w:r>
      <w:r>
        <w:rPr>
          <w:rFonts w:hint="eastAsia" w:ascii="宋体" w:hAnsi="宋体" w:eastAsia="宋体" w:cs="Times New Roman"/>
          <w:szCs w:val="21"/>
          <w:highlight w:val="none"/>
          <w:lang w:eastAsia="zh-CN"/>
        </w:rPr>
        <w:t>/制造商</w:t>
      </w: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（如供应商和制造商不同，请分别填写）</w:t>
      </w:r>
      <w:r>
        <w:rPr>
          <w:rFonts w:hint="eastAsia" w:ascii="宋体" w:hAnsi="宋体" w:eastAsia="宋体" w:cs="Times New Roman"/>
          <w:szCs w:val="21"/>
          <w:highlight w:val="none"/>
        </w:rPr>
        <w:t>：</w:t>
      </w:r>
    </w:p>
    <w:p w14:paraId="1D0AAF18">
      <w:pPr>
        <w:adjustRightInd w:val="0"/>
        <w:snapToGrid w:val="0"/>
        <w:spacing w:before="0" w:beforeLines="0" w:line="400" w:lineRule="exact"/>
        <w:ind w:firstLine="840" w:firstLineChars="400"/>
        <w:outlineLvl w:val="9"/>
        <w:rPr>
          <w:rFonts w:ascii="宋体" w:hAnsi="宋体" w:eastAsia="宋体" w:cs="Times New Roman"/>
          <w:szCs w:val="21"/>
          <w:highlight w:val="none"/>
          <w:u w:val="single"/>
        </w:rPr>
      </w:pPr>
      <w:r>
        <w:rPr>
          <w:rFonts w:hint="eastAsia" w:ascii="宋体" w:hAnsi="宋体" w:eastAsia="宋体" w:cs="Times New Roman"/>
          <w:szCs w:val="21"/>
          <w:highlight w:val="none"/>
          <w:u w:val="non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p>
    <w:p w14:paraId="37E5C034">
      <w:pPr>
        <w:adjustRightInd w:val="0"/>
        <w:snapToGrid w:val="0"/>
        <w:spacing w:before="0" w:beforeLines="0" w:line="400" w:lineRule="exact"/>
        <w:ind w:firstLine="840" w:firstLineChars="400"/>
        <w:outlineLvl w:val="9"/>
        <w:rPr>
          <w:rFonts w:hint="eastAsia" w:ascii="宋体" w:hAnsi="宋体" w:eastAsia="宋体" w:cs="Times New Roman"/>
          <w:szCs w:val="21"/>
        </w:rPr>
      </w:pP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分包供应商</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lang w:eastAsia="zh-CN"/>
        </w:rPr>
        <w:t>制造商</w:t>
      </w:r>
      <w:r>
        <w:rPr>
          <w:rFonts w:hint="eastAsia" w:ascii="宋体" w:hAnsi="宋体" w:eastAsia="宋体" w:cs="Times New Roman"/>
          <w:szCs w:val="21"/>
        </w:rPr>
        <w:t>类型</w:t>
      </w:r>
      <w:r>
        <w:rPr>
          <w:rFonts w:hint="eastAsia" w:ascii="宋体" w:hAnsi="宋体" w:eastAsia="宋体" w:cs="Times New Roman"/>
          <w:szCs w:val="21"/>
          <w:highlight w:val="none"/>
          <w:lang w:eastAsia="zh-CN"/>
        </w:rPr>
        <w:t>（如果供应商和制造商不同，只填写制造商类型）</w:t>
      </w:r>
      <w:r>
        <w:rPr>
          <w:rFonts w:hint="eastAsia" w:ascii="宋体" w:hAnsi="宋体" w:eastAsia="宋体" w:cs="Times New Roman"/>
          <w:szCs w:val="21"/>
        </w:rPr>
        <w:t>：</w:t>
      </w:r>
    </w:p>
    <w:p w14:paraId="0CBC05FB">
      <w:pPr>
        <w:adjustRightInd w:val="0"/>
        <w:snapToGrid w:val="0"/>
        <w:spacing w:beforeLines="0" w:line="400" w:lineRule="exact"/>
        <w:ind w:firstLine="840" w:firstLineChars="40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大型企业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中型企业  </w:t>
      </w:r>
      <w:r>
        <w:rPr>
          <w:rFonts w:hint="eastAsia" w:ascii="宋体" w:hAnsi="宋体" w:eastAsia="宋体" w:cs="Times New Roman"/>
          <w:iCs/>
          <w:szCs w:val="21"/>
        </w:rPr>
        <w:sym w:font="Wingdings" w:char="00A8"/>
      </w:r>
      <w:r>
        <w:rPr>
          <w:rFonts w:hint="eastAsia" w:ascii="宋体" w:hAnsi="宋体" w:eastAsia="宋体" w:cs="Times New Roman"/>
          <w:iCs/>
          <w:szCs w:val="21"/>
        </w:rPr>
        <w:t>小微型企业</w:t>
      </w:r>
      <w:r>
        <w:rPr>
          <w:rFonts w:hint="eastAsia" w:ascii="宋体" w:hAnsi="宋体" w:eastAsia="宋体" w:cs="Times New Roman"/>
          <w:iCs/>
          <w:szCs w:val="21"/>
          <w:lang w:val="en-US" w:eastAsia="zh-CN"/>
        </w:rPr>
        <w:t xml:space="preserve">  </w:t>
      </w:r>
    </w:p>
    <w:p w14:paraId="18F6AFD0">
      <w:pPr>
        <w:adjustRightInd w:val="0"/>
        <w:snapToGrid w:val="0"/>
        <w:spacing w:beforeLines="0" w:line="400" w:lineRule="exact"/>
        <w:ind w:firstLine="840" w:firstLineChars="400"/>
        <w:outlineLvl w:val="9"/>
        <w:rPr>
          <w:rFonts w:hint="default" w:ascii="Times New Roman" w:hAnsi="Times New Roman" w:eastAsia="华文楷体" w:cs="Times New Roman"/>
          <w:szCs w:val="24"/>
          <w:u w:val="none"/>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残疾人福利性单位</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监狱</w:t>
      </w:r>
      <w:r>
        <w:rPr>
          <w:rFonts w:hint="eastAsia" w:ascii="宋体" w:hAnsi="宋体" w:eastAsia="宋体" w:cs="Times New Roman"/>
          <w:iCs/>
          <w:szCs w:val="21"/>
        </w:rPr>
        <w:t>企业</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其他</w:t>
      </w:r>
    </w:p>
    <w:p w14:paraId="536A57C5">
      <w:pPr>
        <w:numPr>
          <w:ilvl w:val="-1"/>
          <w:numId w:val="0"/>
        </w:numPr>
        <w:adjustRightInd w:val="0"/>
        <w:snapToGrid w:val="0"/>
        <w:spacing w:before="0" w:beforeLines="0" w:line="400" w:lineRule="exact"/>
        <w:ind w:left="0" w:leftChars="0" w:firstLine="0" w:firstLineChars="0"/>
        <w:outlineLvl w:val="9"/>
        <w:rPr>
          <w:rFonts w:hint="eastAsia" w:ascii="宋体" w:hAnsi="宋体" w:eastAsia="宋体" w:cs="宋体"/>
          <w:iCs/>
          <w:szCs w:val="21"/>
          <w:highlight w:val="none"/>
        </w:rPr>
      </w:pPr>
      <w:r>
        <w:rPr>
          <w:rFonts w:hint="eastAsia" w:ascii="宋体" w:hAnsi="宋体" w:eastAsia="宋体" w:cs="Times New Roman"/>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46050914">
      <w:pPr>
        <w:tabs>
          <w:tab w:val="left" w:pos="1340"/>
        </w:tabs>
        <w:autoSpaceDE w:val="0"/>
        <w:autoSpaceDN w:val="0"/>
        <w:adjustRightInd w:val="0"/>
        <w:spacing w:beforeLines="0" w:line="400" w:lineRule="exact"/>
        <w:ind w:firstLine="420" w:firstLineChars="200"/>
        <w:outlineLvl w:val="9"/>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31A74597">
      <w:pPr>
        <w:numPr>
          <w:ilvl w:val="-1"/>
          <w:numId w:val="0"/>
        </w:numPr>
        <w:adjustRightInd w:val="0"/>
        <w:snapToGrid w:val="0"/>
        <w:spacing w:before="0" w:beforeLines="0" w:line="400" w:lineRule="exact"/>
        <w:ind w:firstLine="420" w:firstLineChars="200"/>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6362E59D">
      <w:pPr>
        <w:numPr>
          <w:ilvl w:val="-1"/>
          <w:numId w:val="0"/>
        </w:numPr>
        <w:adjustRightInd w:val="0"/>
        <w:snapToGrid w:val="0"/>
        <w:spacing w:before="0" w:beforeLines="0" w:line="400" w:lineRule="exact"/>
        <w:ind w:firstLine="840" w:firstLineChars="400"/>
        <w:outlineLvl w:val="9"/>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3E86D265">
      <w:pPr>
        <w:numPr>
          <w:ilvl w:val="-1"/>
          <w:numId w:val="0"/>
        </w:numPr>
        <w:adjustRightInd w:val="0"/>
        <w:snapToGrid w:val="0"/>
        <w:spacing w:before="0" w:beforeLines="0" w:line="400" w:lineRule="exact"/>
        <w:ind w:firstLine="840" w:firstLineChars="400"/>
        <w:outlineLvl w:val="9"/>
        <w:rPr>
          <w:rFonts w:hint="eastAsia" w:ascii="宋体" w:hAnsi="宋体" w:eastAsia="宋体" w:cs="Times New Roman"/>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Times New Roman"/>
          <w:iCs w:val="0"/>
          <w:szCs w:val="21"/>
        </w:rPr>
        <w:t xml:space="preserve">      </w:t>
      </w:r>
    </w:p>
    <w:p w14:paraId="30A52CF7">
      <w:pPr>
        <w:adjustRightInd w:val="0"/>
        <w:snapToGrid w:val="0"/>
        <w:spacing w:before="0" w:beforeLines="0" w:line="400" w:lineRule="exact"/>
        <w:ind w:firstLine="840" w:firstLineChars="400"/>
        <w:outlineLvl w:val="9"/>
        <w:rPr>
          <w:rFonts w:hint="eastAsia" w:ascii="宋体" w:hAnsi="宋体" w:eastAsia="宋体" w:cs="Times New Roman"/>
          <w:szCs w:val="21"/>
          <w:u w:val="none"/>
          <w:lang w:val="en-US" w:eastAsia="zh-CN"/>
        </w:rPr>
      </w:pPr>
      <w:r>
        <w:rPr>
          <w:rFonts w:hint="eastAsia" w:ascii="宋体" w:hAnsi="宋体" w:eastAsia="宋体" w:cs="Times New Roman"/>
          <w:iCs w:val="0"/>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lang w:eastAsia="zh-CN"/>
        </w:rPr>
        <w:t>否</w:t>
      </w:r>
    </w:p>
    <w:p w14:paraId="7685B96D">
      <w:pPr>
        <w:numPr>
          <w:ilvl w:val="-1"/>
          <w:numId w:val="0"/>
        </w:numPr>
        <w:tabs>
          <w:tab w:val="left" w:pos="740"/>
        </w:tabs>
        <w:adjustRightInd w:val="0"/>
        <w:snapToGrid w:val="0"/>
        <w:spacing w:before="0" w:beforeLines="0" w:line="400" w:lineRule="exact"/>
        <w:ind w:left="0"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b w:val="0"/>
          <w:bCs w:val="0"/>
          <w:sz w:val="21"/>
          <w:szCs w:val="21"/>
          <w:u w:val="none"/>
          <w:lang w:val="en-US" w:eastAsia="zh-CN"/>
        </w:rPr>
        <w:t xml:space="preserve">    （1</w:t>
      </w:r>
      <w:r>
        <w:rPr>
          <w:rFonts w:hint="default" w:ascii="宋体" w:hAnsi="宋体" w:eastAsia="宋体" w:cs="Times New Roman"/>
          <w:b w:val="0"/>
          <w:bCs w:val="0"/>
          <w:sz w:val="21"/>
          <w:szCs w:val="21"/>
          <w:u w:val="none"/>
          <w:lang w:val="en" w:eastAsia="zh-CN"/>
        </w:rPr>
        <w:t>0</w:t>
      </w:r>
      <w:r>
        <w:rPr>
          <w:rFonts w:hint="eastAsia" w:ascii="宋体" w:hAnsi="宋体" w:eastAsia="宋体" w:cs="Times New Roman"/>
          <w:b w:val="0"/>
          <w:bCs w:val="0"/>
          <w:sz w:val="21"/>
          <w:szCs w:val="21"/>
          <w:u w:val="none"/>
          <w:lang w:val="en-US" w:eastAsia="zh-CN"/>
        </w:rPr>
        <w:t>）是否涉及节能产品：</w:t>
      </w:r>
    </w:p>
    <w:p w14:paraId="0EB20122">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b w:val="0"/>
          <w:bCs w:val="0"/>
          <w:sz w:val="21"/>
          <w:szCs w:val="21"/>
          <w:u w:val="none"/>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是</w:t>
      </w:r>
      <w:r>
        <w:rPr>
          <w:rFonts w:hint="eastAsia" w:ascii="宋体" w:hAnsi="宋体" w:eastAsia="宋体" w:cs="Times New Roman"/>
          <w:iCs w:val="0"/>
          <w:szCs w:val="21"/>
          <w:lang w:eastAsia="zh-CN"/>
        </w:rPr>
        <w:t>，《节能产品政府采购品目清单》的底级品目名称：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iCs/>
          <w:szCs w:val="21"/>
          <w:lang w:val="en-US" w:eastAsia="zh-CN"/>
        </w:rPr>
        <w:t xml:space="preserve">     </w:t>
      </w:r>
    </w:p>
    <w:p w14:paraId="37CD9402">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7E602C02">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val="0"/>
          <w:szCs w:val="21"/>
        </w:rPr>
      </w:pPr>
      <w:r>
        <w:rPr>
          <w:rFonts w:hint="eastAsia" w:ascii="宋体" w:hAnsi="宋体" w:eastAsia="宋体" w:cs="Times New Roman"/>
          <w:iCs/>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p>
    <w:p w14:paraId="14A531DC">
      <w:pPr>
        <w:numPr>
          <w:ilvl w:val="-1"/>
          <w:numId w:val="0"/>
        </w:numPr>
        <w:tabs>
          <w:tab w:val="left" w:pos="740"/>
        </w:tabs>
        <w:adjustRightInd w:val="0"/>
        <w:snapToGrid w:val="0"/>
        <w:spacing w:before="0" w:beforeLines="0" w:line="400" w:lineRule="exact"/>
        <w:ind w:left="0"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b w:val="0"/>
          <w:bCs w:val="0"/>
          <w:sz w:val="21"/>
          <w:szCs w:val="21"/>
          <w:u w:val="none"/>
          <w:lang w:val="en-US" w:eastAsia="zh-CN"/>
        </w:rPr>
        <w:t xml:space="preserve">          是否涉及环境标志产品：</w:t>
      </w:r>
    </w:p>
    <w:p w14:paraId="6519DD36">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val="0"/>
          <w:szCs w:val="21"/>
          <w:lang w:eastAsia="zh-CN"/>
        </w:rPr>
      </w:pPr>
      <w:r>
        <w:rPr>
          <w:rFonts w:hint="eastAsia" w:ascii="宋体" w:hAnsi="宋体" w:eastAsia="宋体" w:cs="Times New Roman"/>
          <w:b w:val="0"/>
          <w:bCs w:val="0"/>
          <w:sz w:val="21"/>
          <w:szCs w:val="21"/>
          <w:u w:val="none"/>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是</w:t>
      </w:r>
      <w:r>
        <w:rPr>
          <w:rFonts w:hint="eastAsia" w:ascii="宋体" w:hAnsi="宋体" w:eastAsia="宋体" w:cs="Times New Roman"/>
          <w:iCs w:val="0"/>
          <w:szCs w:val="21"/>
          <w:lang w:eastAsia="zh-CN"/>
        </w:rPr>
        <w:t>，《环境标志产品政府采购品目清单》的底级品目名称：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iCs/>
          <w:szCs w:val="21"/>
          <w:lang w:val="en-US" w:eastAsia="zh-CN"/>
        </w:rPr>
        <w:t xml:space="preserve"> </w:t>
      </w:r>
    </w:p>
    <w:p w14:paraId="43529A31">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72BFB355">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p>
    <w:p w14:paraId="1C543D05">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14:paraId="33000875">
      <w:pPr>
        <w:autoSpaceDE w:val="0"/>
        <w:autoSpaceDN w:val="0"/>
        <w:adjustRightInd w:val="0"/>
        <w:spacing w:beforeLines="0" w:line="400" w:lineRule="exact"/>
        <w:ind w:firstLine="420" w:firstLineChars="0"/>
        <w:outlineLvl w:val="9"/>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14:paraId="7FCA0E23">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49B8C7B6">
      <w:pPr>
        <w:autoSpaceDE w:val="0"/>
        <w:autoSpaceDN w:val="0"/>
        <w:adjustRightInd w:val="0"/>
        <w:spacing w:beforeLines="0" w:line="400" w:lineRule="exact"/>
        <w:ind w:firstLine="420" w:firstLineChars="0"/>
        <w:outlineLvl w:val="9"/>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14:paraId="6EAC9C73">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（1</w:t>
      </w:r>
      <w:r>
        <w:rPr>
          <w:rFonts w:hint="default" w:ascii="宋体" w:hAnsi="宋体" w:eastAsia="宋体" w:cs="Times New Roman"/>
          <w:szCs w:val="21"/>
          <w:lang w:val="en" w:eastAsia="zh-CN"/>
        </w:rPr>
        <w:t>1</w:t>
      </w:r>
      <w:r>
        <w:rPr>
          <w:rFonts w:hint="eastAsia" w:ascii="宋体" w:hAnsi="宋体" w:eastAsia="宋体" w:cs="Times New Roman"/>
          <w:szCs w:val="21"/>
          <w:lang w:val="en-US" w:eastAsia="zh-CN"/>
        </w:rPr>
        <w:t>）涉及商品包装和快递包装的，是否参考</w:t>
      </w:r>
      <w:r>
        <w:rPr>
          <w:rFonts w:hint="eastAsia" w:ascii="宋体" w:hAnsi="宋体" w:eastAsia="宋体" w:cs="Times New Roman"/>
          <w:szCs w:val="21"/>
        </w:rPr>
        <w:t>《商品包装政府采购需求标准（试行）》、《快递包装政府采购需求标准（试行）》</w:t>
      </w:r>
      <w:r>
        <w:rPr>
          <w:rFonts w:hint="eastAsia" w:ascii="宋体" w:hAnsi="宋体" w:eastAsia="宋体" w:cs="Times New Roman"/>
          <w:szCs w:val="21"/>
          <w:lang w:eastAsia="zh-CN"/>
        </w:rPr>
        <w:t>明确产品及相关快递服务的具体包装要求：</w:t>
      </w:r>
    </w:p>
    <w:p w14:paraId="6A92E961">
      <w:pPr>
        <w:numPr>
          <w:ilvl w:val="-1"/>
          <w:numId w:val="0"/>
        </w:numPr>
        <w:adjustRightInd w:val="0"/>
        <w:snapToGrid w:val="0"/>
        <w:spacing w:before="0" w:beforeLines="0" w:line="400" w:lineRule="exact"/>
        <w:ind w:firstLine="840" w:firstLineChars="400"/>
        <w:outlineLvl w:val="9"/>
        <w:rPr>
          <w:rFonts w:hint="eastAsia" w:ascii="宋体" w:hAnsi="宋体" w:eastAsia="宋体" w:cs="Times New Roman"/>
          <w:iCs w:val="0"/>
          <w:szCs w:val="21"/>
          <w:lang w:val="en-US" w:eastAsia="zh-CN"/>
        </w:rPr>
      </w:pPr>
      <w:r>
        <w:rPr>
          <w:rFonts w:hint="eastAsia" w:ascii="宋体" w:hAnsi="宋体" w:eastAsia="宋体" w:cs="Times New Roman"/>
          <w:iCs w:val="0"/>
          <w:szCs w:val="21"/>
        </w:rPr>
        <w:sym w:font="Wingdings" w:char="00A8"/>
      </w:r>
      <w:r>
        <w:rPr>
          <w:rFonts w:hint="eastAsia" w:ascii="宋体" w:hAnsi="宋体" w:eastAsia="宋体" w:cs="Times New Roman"/>
          <w:iCs w:val="0"/>
          <w:szCs w:val="21"/>
        </w:rPr>
        <w:t xml:space="preserve">是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r>
        <w:rPr>
          <w:rFonts w:hint="eastAsia" w:ascii="宋体" w:hAnsi="宋体" w:eastAsia="宋体" w:cs="Times New Roman"/>
          <w:iCs w:val="0"/>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lang w:eastAsia="zh-CN"/>
        </w:rPr>
        <w:t>不涉及</w:t>
      </w:r>
    </w:p>
    <w:p w14:paraId="32AECFFB">
      <w:pPr>
        <w:numPr>
          <w:ilvl w:val="0"/>
          <w:numId w:val="16"/>
        </w:numPr>
        <w:adjustRightInd w:val="0"/>
        <w:snapToGrid w:val="0"/>
        <w:spacing w:before="0" w:beforeLines="0" w:line="400" w:lineRule="exact"/>
        <w:ind w:firstLine="422" w:firstLineChars="200"/>
        <w:outlineLvl w:val="9"/>
        <w:rPr>
          <w:rFonts w:ascii="宋体" w:hAnsi="宋体" w:eastAsia="宋体" w:cs="Times New Roman"/>
          <w:b/>
          <w:szCs w:val="21"/>
          <w:highlight w:val="none"/>
        </w:rPr>
      </w:pPr>
      <w:r>
        <w:rPr>
          <w:rFonts w:hint="eastAsia" w:ascii="宋体" w:hAnsi="宋体" w:eastAsia="宋体" w:cs="Times New Roman"/>
          <w:b/>
          <w:szCs w:val="21"/>
          <w:highlight w:val="none"/>
        </w:rPr>
        <w:t>合同金额</w:t>
      </w:r>
    </w:p>
    <w:p w14:paraId="0F9A2446">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（1）合同金额小写：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623A7EC1">
      <w:pPr>
        <w:adjustRightInd w:val="0"/>
        <w:snapToGrid w:val="0"/>
        <w:spacing w:before="0" w:beforeLines="0" w:line="400" w:lineRule="exact"/>
        <w:ind w:left="0" w:firstLine="0" w:firstLineChars="0"/>
        <w:outlineLvl w:val="9"/>
        <w:rPr>
          <w:rFonts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大写：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26BD07C5">
      <w:pPr>
        <w:adjustRightInd w:val="0"/>
        <w:snapToGrid w:val="0"/>
        <w:spacing w:before="0" w:beforeLines="0" w:line="400" w:lineRule="exact"/>
        <w:ind w:firstLine="0" w:firstLineChars="0"/>
        <w:outlineLvl w:val="9"/>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分包金额</w:t>
      </w:r>
      <w:r>
        <w:rPr>
          <w:rFonts w:hint="eastAsia" w:ascii="宋体" w:hAnsi="宋体" w:eastAsia="宋体" w:cs="Times New Roman"/>
          <w:szCs w:val="21"/>
          <w:lang w:eastAsia="zh-CN"/>
        </w:rPr>
        <w:t>（如有）</w:t>
      </w:r>
      <w:r>
        <w:rPr>
          <w:rFonts w:hint="eastAsia" w:ascii="宋体" w:hAnsi="宋体" w:eastAsia="宋体" w:cs="Times New Roman"/>
          <w:szCs w:val="21"/>
        </w:rPr>
        <w:t>小写：</w:t>
      </w:r>
      <w:r>
        <w:rPr>
          <w:rFonts w:hint="eastAsia" w:ascii="宋体" w:hAnsi="宋体" w:eastAsia="宋体" w:cs="Times New Roman"/>
          <w:szCs w:val="21"/>
          <w:u w:val="single"/>
        </w:rPr>
        <w:t xml:space="preserve">                   </w:t>
      </w:r>
    </w:p>
    <w:p w14:paraId="48E0732D">
      <w:pPr>
        <w:adjustRightInd w:val="0"/>
        <w:snapToGrid w:val="0"/>
        <w:spacing w:before="0" w:beforeLines="0" w:line="400" w:lineRule="exact"/>
        <w:ind w:firstLine="0" w:firstLineChars="0"/>
        <w:outlineLvl w:val="9"/>
        <w:rPr>
          <w:rFonts w:hint="eastAsia"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大写：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09F5BE8D">
      <w:pPr>
        <w:adjustRightInd w:val="0"/>
        <w:snapToGrid w:val="0"/>
        <w:spacing w:before="0" w:beforeLines="0" w:line="400" w:lineRule="exact"/>
        <w:ind w:firstLine="0" w:firstLineChars="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（注：固定单价合同应填写单价和最高限价）</w:t>
      </w:r>
    </w:p>
    <w:p w14:paraId="2DB604DE">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Times New Roman"/>
          <w:szCs w:val="21"/>
        </w:rPr>
        <w:t>合同定价方式</w:t>
      </w:r>
      <w:r>
        <w:rPr>
          <w:rFonts w:hint="eastAsia" w:ascii="宋体" w:hAnsi="宋体" w:eastAsia="宋体" w:cs="Times New Roman"/>
          <w:szCs w:val="21"/>
          <w:lang w:eastAsia="zh-CN"/>
        </w:rPr>
        <w:t>（采用组合定价方式的，可以勾选多项）</w:t>
      </w:r>
      <w:r>
        <w:rPr>
          <w:rFonts w:hint="eastAsia" w:ascii="宋体" w:hAnsi="宋体" w:eastAsia="宋体" w:cs="Times New Roman"/>
          <w:szCs w:val="21"/>
        </w:rPr>
        <w:t>：</w:t>
      </w:r>
    </w:p>
    <w:p w14:paraId="0DE6AE38">
      <w:pPr>
        <w:adjustRightInd w:val="0"/>
        <w:snapToGrid w:val="0"/>
        <w:spacing w:before="0" w:beforeLines="0" w:line="400" w:lineRule="exact"/>
        <w:ind w:firstLine="420" w:firstLineChars="200"/>
        <w:outlineLvl w:val="9"/>
        <w:rPr>
          <w:rFonts w:hint="eastAsia" w:ascii="宋体" w:hAnsi="宋体" w:eastAsia="宋体" w:cs="Times New Roman"/>
          <w:szCs w:val="21"/>
          <w:lang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固定总价 </w:t>
      </w:r>
      <w:r>
        <w:rPr>
          <w:rFonts w:hint="eastAsia" w:ascii="宋体" w:hAnsi="宋体" w:eastAsia="宋体" w:cs="Times New Roman"/>
          <w:iCs/>
          <w:szCs w:val="21"/>
        </w:rPr>
        <w:sym w:font="Wingdings" w:char="00A8"/>
      </w:r>
      <w:r>
        <w:rPr>
          <w:rFonts w:hint="eastAsia" w:ascii="宋体" w:hAnsi="宋体" w:eastAsia="宋体" w:cs="Times New Roman"/>
          <w:iCs/>
          <w:szCs w:val="21"/>
        </w:rPr>
        <w:t>固定单价</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固定费率</w:t>
      </w:r>
      <w:r>
        <w:rPr>
          <w:rFonts w:hint="eastAsia" w:ascii="宋体" w:hAnsi="宋体" w:eastAsia="宋体" w:cs="Times New Roman"/>
          <w:iCs/>
          <w:szCs w:val="21"/>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成本补偿 </w:t>
      </w:r>
      <w:r>
        <w:rPr>
          <w:rFonts w:hint="eastAsia" w:ascii="宋体" w:hAnsi="宋体" w:eastAsia="宋体" w:cs="Times New Roman"/>
          <w:iCs/>
          <w:szCs w:val="21"/>
        </w:rPr>
        <w:sym w:font="Wingdings" w:char="00A8"/>
      </w:r>
      <w:r>
        <w:rPr>
          <w:rFonts w:hint="eastAsia" w:ascii="宋体" w:hAnsi="宋体" w:eastAsia="宋体" w:cs="Times New Roman"/>
          <w:iCs/>
          <w:szCs w:val="21"/>
        </w:rPr>
        <w:t>绩效激励</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其他</w:t>
      </w:r>
      <w:r>
        <w:rPr>
          <w:rFonts w:hint="eastAsia" w:ascii="宋体" w:hAnsi="宋体" w:eastAsia="宋体" w:cs="Times New Roman"/>
          <w:szCs w:val="21"/>
          <w:u w:val="single"/>
        </w:rPr>
        <w:t xml:space="preserve">       </w:t>
      </w:r>
    </w:p>
    <w:p w14:paraId="18076D8A">
      <w:pPr>
        <w:widowControl w:val="0"/>
        <w:spacing w:beforeLines="0" w:line="400" w:lineRule="exact"/>
        <w:ind w:firstLine="420" w:firstLineChars="200"/>
        <w:jc w:val="both"/>
        <w:outlineLvl w:val="9"/>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14:paraId="3ACED685">
      <w:pPr>
        <w:adjustRightInd w:val="0"/>
        <w:snapToGrid w:val="0"/>
        <w:spacing w:before="0" w:beforeLines="0" w:line="400" w:lineRule="exact"/>
        <w:ind w:firstLine="630" w:firstLineChars="300"/>
        <w:outlineLvl w:val="9"/>
        <w:rPr>
          <w:rFonts w:ascii="宋体" w:hAnsi="宋体" w:eastAsia="宋体" w:cs="Times New Roman"/>
          <w:szCs w:val="21"/>
          <w:u w:val="single"/>
        </w:rPr>
      </w:pPr>
      <w:r>
        <w:rPr>
          <w:rFonts w:hint="eastAsia" w:ascii="宋体" w:hAnsi="宋体" w:eastAsia="宋体" w:cs="Times New Roman"/>
          <w:szCs w:val="21"/>
        </w:rPr>
        <w:sym w:font="Wingdings" w:char="00A8"/>
      </w:r>
      <w:r>
        <w:rPr>
          <w:rFonts w:hint="eastAsia" w:ascii="宋体" w:hAnsi="宋体" w:eastAsia="宋体" w:cs="Times New Roman"/>
          <w:szCs w:val="21"/>
        </w:rPr>
        <w:t>全额付款：</w:t>
      </w:r>
      <w:r>
        <w:rPr>
          <w:rFonts w:hint="eastAsia" w:ascii="宋体" w:hAnsi="宋体" w:eastAsia="宋体" w:cs="Times New Roman"/>
          <w:szCs w:val="21"/>
          <w:u w:val="single"/>
        </w:rPr>
        <w:t xml:space="preserve">     （应</w:t>
      </w:r>
      <w:r>
        <w:rPr>
          <w:rFonts w:hint="eastAsia" w:ascii="宋体" w:hAnsi="宋体" w:eastAsia="宋体" w:cs="Times New Roman"/>
          <w:szCs w:val="21"/>
          <w:u w:val="single"/>
          <w:lang w:eastAsia="zh-CN"/>
        </w:rPr>
        <w:t>明确</w:t>
      </w:r>
      <w:r>
        <w:rPr>
          <w:rFonts w:hint="eastAsia" w:ascii="宋体" w:hAnsi="宋体" w:eastAsia="宋体" w:cs="Times New Roman"/>
          <w:szCs w:val="21"/>
          <w:u w:val="single"/>
        </w:rPr>
        <w:t>一次性支付合同款项</w:t>
      </w:r>
      <w:r>
        <w:rPr>
          <w:rFonts w:hint="eastAsia" w:ascii="宋体" w:hAnsi="宋体" w:eastAsia="宋体" w:cs="Times New Roman"/>
          <w:szCs w:val="21"/>
          <w:u w:val="single"/>
          <w:lang w:eastAsia="zh-CN"/>
        </w:rPr>
        <w:t>的条件</w:t>
      </w:r>
      <w:r>
        <w:rPr>
          <w:rFonts w:hint="eastAsia" w:ascii="宋体" w:hAnsi="宋体" w:eastAsia="宋体" w:cs="Times New Roman"/>
          <w:szCs w:val="21"/>
          <w:u w:val="single"/>
        </w:rPr>
        <w:t xml:space="preserve">）                    </w:t>
      </w:r>
    </w:p>
    <w:p w14:paraId="4C81D19A">
      <w:pPr>
        <w:snapToGrid w:val="0"/>
        <w:spacing w:beforeLines="0" w:line="400" w:lineRule="exact"/>
        <w:ind w:firstLine="630" w:firstLineChars="300"/>
        <w:outlineLvl w:val="9"/>
        <w:rPr>
          <w:rFonts w:ascii="Times New Roman" w:hAnsi="Times New Roman" w:eastAsia="宋体" w:cs="Times New Roman"/>
          <w:szCs w:val="24"/>
        </w:rPr>
      </w:pPr>
      <w:r>
        <w:rPr>
          <w:rFonts w:hint="eastAsia" w:ascii="宋体" w:hAnsi="宋体" w:eastAsia="宋体" w:cs="Times New Roman"/>
          <w:szCs w:val="21"/>
        </w:rPr>
        <w:sym w:font="Wingdings" w:char="00A8"/>
      </w:r>
      <w:r>
        <w:rPr>
          <w:rFonts w:hint="eastAsia" w:ascii="宋体" w:hAnsi="宋体" w:eastAsia="宋体" w:cs="Times New Roman"/>
          <w:szCs w:val="21"/>
        </w:rPr>
        <w:t>分期付款：</w:t>
      </w:r>
      <w:r>
        <w:rPr>
          <w:rFonts w:hint="eastAsia" w:ascii="宋体" w:hAnsi="宋体" w:eastAsia="宋体" w:cs="Times New Roman"/>
          <w:szCs w:val="21"/>
          <w:u w:val="single"/>
        </w:rPr>
        <w:t xml:space="preserve">  （应明确分期支付合同款项的各期比例和支付条件</w:t>
      </w:r>
      <w:r>
        <w:rPr>
          <w:rFonts w:hint="eastAsia" w:ascii="宋体" w:hAnsi="宋体" w:eastAsia="宋体" w:cs="Times New Roman"/>
          <w:szCs w:val="21"/>
          <w:u w:val="single"/>
          <w:lang w:eastAsia="zh-CN"/>
        </w:rPr>
        <w:t>，各期支付条件应与分期履约验收情况挂钩</w:t>
      </w:r>
      <w:r>
        <w:rPr>
          <w:rFonts w:hint="eastAsia" w:ascii="宋体" w:hAnsi="宋体" w:eastAsia="宋体" w:cs="Times New Roman"/>
          <w:szCs w:val="21"/>
          <w:u w:val="single"/>
        </w:rPr>
        <w:t xml:space="preserve">） </w:t>
      </w:r>
      <w:r>
        <w:rPr>
          <w:rFonts w:hint="eastAsia" w:ascii="宋体" w:hAnsi="宋体" w:eastAsia="宋体" w:cs="Times New Roman"/>
          <w:szCs w:val="21"/>
          <w:u w:val="none"/>
          <w:lang w:eastAsia="zh-CN"/>
        </w:rPr>
        <w:t>，</w:t>
      </w:r>
      <w:r>
        <w:rPr>
          <w:rFonts w:hint="eastAsia" w:ascii="宋体" w:hAnsi="宋体" w:eastAsia="宋体" w:cs="Times New Roman"/>
          <w:szCs w:val="21"/>
          <w:lang w:eastAsia="zh-CN"/>
        </w:rPr>
        <w:t>其中涉及预付款的</w:t>
      </w:r>
      <w:r>
        <w:rPr>
          <w:rFonts w:hint="eastAsia" w:ascii="宋体" w:hAnsi="宋体" w:eastAsia="宋体" w:cs="Times New Roman"/>
          <w:szCs w:val="21"/>
        </w:rPr>
        <w:t>：</w:t>
      </w:r>
      <w:r>
        <w:rPr>
          <w:rFonts w:hint="eastAsia" w:ascii="宋体" w:hAnsi="宋体" w:eastAsia="宋体" w:cs="Times New Roman"/>
          <w:szCs w:val="21"/>
          <w:u w:val="single"/>
        </w:rPr>
        <w:t xml:space="preserve"> （应明确预付款的支付比例和支付条件） </w:t>
      </w:r>
    </w:p>
    <w:p w14:paraId="68DA1C3D">
      <w:pPr>
        <w:adjustRightInd w:val="0"/>
        <w:snapToGrid w:val="0"/>
        <w:spacing w:before="0" w:beforeLines="0" w:line="400" w:lineRule="exact"/>
        <w:ind w:firstLine="630" w:firstLineChars="300"/>
        <w:outlineLvl w:val="9"/>
        <w:rPr>
          <w:rFonts w:ascii="宋体" w:hAnsi="宋体" w:eastAsia="宋体" w:cs="Times New Roman"/>
          <w:szCs w:val="21"/>
          <w:u w:val="single"/>
        </w:rPr>
      </w:pPr>
      <w:r>
        <w:rPr>
          <w:rFonts w:hint="eastAsia" w:ascii="宋体" w:hAnsi="宋体" w:eastAsia="宋体" w:cs="Times New Roman"/>
          <w:szCs w:val="21"/>
        </w:rPr>
        <w:sym w:font="Wingdings" w:char="00A8"/>
      </w:r>
      <w:r>
        <w:rPr>
          <w:rFonts w:hint="eastAsia" w:ascii="宋体" w:hAnsi="宋体" w:eastAsia="宋体" w:cs="Times New Roman"/>
          <w:szCs w:val="21"/>
        </w:rPr>
        <w:t>成本补偿：</w:t>
      </w:r>
      <w:r>
        <w:rPr>
          <w:rFonts w:hint="eastAsia" w:ascii="宋体" w:hAnsi="宋体" w:eastAsia="宋体" w:cs="Times New Roman"/>
          <w:szCs w:val="21"/>
          <w:u w:val="single"/>
        </w:rPr>
        <w:t xml:space="preserve">      （应明确按照成本补偿方式的支付方式和支付条件）   </w:t>
      </w:r>
    </w:p>
    <w:p w14:paraId="745895FB">
      <w:pPr>
        <w:adjustRightInd w:val="0"/>
        <w:snapToGrid w:val="0"/>
        <w:spacing w:before="0" w:beforeLines="0" w:line="400" w:lineRule="exact"/>
        <w:ind w:firstLine="630" w:firstLineChars="300"/>
        <w:outlineLvl w:val="9"/>
        <w:rPr>
          <w:rFonts w:ascii="宋体" w:hAnsi="宋体" w:eastAsia="宋体" w:cs="Times New Roman"/>
          <w:szCs w:val="21"/>
        </w:rPr>
      </w:pPr>
      <w:r>
        <w:rPr>
          <w:rFonts w:hint="eastAsia" w:ascii="宋体" w:hAnsi="宋体" w:eastAsia="宋体" w:cs="Times New Roman"/>
          <w:szCs w:val="21"/>
        </w:rPr>
        <w:sym w:font="Wingdings" w:char="00A8"/>
      </w:r>
      <w:r>
        <w:rPr>
          <w:rFonts w:hint="eastAsia" w:ascii="宋体" w:hAnsi="宋体" w:eastAsia="宋体" w:cs="Times New Roman"/>
          <w:szCs w:val="21"/>
        </w:rPr>
        <w:t>绩效激励：</w:t>
      </w:r>
      <w:r>
        <w:rPr>
          <w:rFonts w:hint="eastAsia" w:ascii="宋体" w:hAnsi="宋体" w:eastAsia="宋体" w:cs="Times New Roman"/>
          <w:szCs w:val="21"/>
          <w:u w:val="single"/>
        </w:rPr>
        <w:t xml:space="preserve">      （应明确按照绩效激励方式的支付方式和支付条件）   </w:t>
      </w:r>
    </w:p>
    <w:p w14:paraId="1BB9B08F">
      <w:pPr>
        <w:numPr>
          <w:ilvl w:val="0"/>
          <w:numId w:val="16"/>
        </w:numPr>
        <w:adjustRightInd w:val="0"/>
        <w:snapToGrid w:val="0"/>
        <w:spacing w:before="0" w:beforeLines="0" w:line="400" w:lineRule="exact"/>
        <w:ind w:firstLine="422" w:firstLineChars="200"/>
        <w:outlineLvl w:val="9"/>
        <w:rPr>
          <w:rFonts w:ascii="宋体" w:hAnsi="宋体" w:eastAsia="宋体" w:cs="Times New Roman"/>
          <w:b/>
          <w:bCs w:val="0"/>
          <w:szCs w:val="21"/>
          <w:u w:val="single"/>
        </w:rPr>
      </w:pPr>
      <w:r>
        <w:rPr>
          <w:rFonts w:hint="eastAsia" w:ascii="宋体" w:hAnsi="宋体" w:eastAsia="宋体" w:cs="Times New Roman"/>
          <w:b/>
          <w:bCs w:val="0"/>
          <w:szCs w:val="21"/>
        </w:rPr>
        <w:t>合同履行</w:t>
      </w:r>
    </w:p>
    <w:p w14:paraId="6D6A4E7D">
      <w:pPr>
        <w:adjustRightInd w:val="0"/>
        <w:snapToGrid w:val="0"/>
        <w:spacing w:before="0" w:beforeLines="0" w:line="400" w:lineRule="exact"/>
        <w:ind w:firstLine="420" w:firstLineChars="200"/>
        <w:outlineLvl w:val="9"/>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FD37035">
      <w:pPr>
        <w:adjustRightInd w:val="0"/>
        <w:snapToGrid w:val="0"/>
        <w:spacing w:before="0" w:beforeLines="0" w:line="400" w:lineRule="exact"/>
        <w:ind w:firstLine="420" w:firstLineChars="200"/>
        <w:outlineLvl w:val="9"/>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0A8AC536">
      <w:pPr>
        <w:adjustRightInd w:val="0"/>
        <w:snapToGrid w:val="0"/>
        <w:spacing w:before="0" w:beforeLines="0" w:line="400" w:lineRule="exact"/>
        <w:ind w:firstLine="420" w:firstLineChars="200"/>
        <w:outlineLvl w:val="9"/>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szCs w:val="24"/>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33D590C">
      <w:pPr>
        <w:autoSpaceDE w:val="0"/>
        <w:autoSpaceDN w:val="0"/>
        <w:adjustRightInd w:val="0"/>
        <w:spacing w:beforeLines="0" w:line="400" w:lineRule="exact"/>
        <w:ind w:firstLine="440" w:firstLineChars="200"/>
        <w:outlineLvl w:val="9"/>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14:paraId="6749FE65">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14:paraId="5AFE5B3B">
      <w:pPr>
        <w:snapToGrid w:val="0"/>
        <w:spacing w:beforeLines="0" w:line="400" w:lineRule="exact"/>
        <w:ind w:firstLine="420" w:firstLineChars="200"/>
        <w:outlineLvl w:val="9"/>
        <w:rPr>
          <w:rFonts w:hint="eastAsia" w:ascii="宋体" w:hAnsi="宋体" w:eastAsia="宋体" w:cs="宋体"/>
          <w:sz w:val="21"/>
          <w:szCs w:val="24"/>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3ADABF7">
      <w:pPr>
        <w:adjustRightInd w:val="0"/>
        <w:snapToGrid w:val="0"/>
        <w:spacing w:before="0" w:beforeLines="0" w:line="400" w:lineRule="exact"/>
        <w:ind w:firstLine="420" w:firstLineChars="200"/>
        <w:outlineLvl w:val="9"/>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3F5DB986">
      <w:pPr>
        <w:adjustRightInd w:val="0"/>
        <w:snapToGrid w:val="0"/>
        <w:spacing w:before="0" w:beforeLines="0" w:line="400" w:lineRule="exact"/>
        <w:ind w:firstLine="420" w:firstLineChars="200"/>
        <w:outlineLvl w:val="9"/>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5EA620DE">
      <w:pPr>
        <w:numPr>
          <w:ilvl w:val="0"/>
          <w:numId w:val="16"/>
        </w:numPr>
        <w:adjustRightInd w:val="0"/>
        <w:snapToGrid w:val="0"/>
        <w:spacing w:before="0" w:beforeLines="0" w:line="400" w:lineRule="exact"/>
        <w:ind w:firstLine="422" w:firstLineChars="200"/>
        <w:outlineLvl w:val="9"/>
        <w:rPr>
          <w:rFonts w:ascii="宋体" w:hAnsi="宋体" w:eastAsia="宋体" w:cs="Times New Roman"/>
          <w:b/>
          <w:szCs w:val="21"/>
        </w:rPr>
      </w:pPr>
      <w:r>
        <w:rPr>
          <w:rFonts w:hint="eastAsia" w:ascii="宋体" w:hAnsi="宋体" w:eastAsia="宋体" w:cs="Times New Roman"/>
          <w:b/>
          <w:szCs w:val="21"/>
        </w:rPr>
        <w:t>合同验收</w:t>
      </w:r>
    </w:p>
    <w:p w14:paraId="3FC2605C">
      <w:pPr>
        <w:numPr>
          <w:ilvl w:val="0"/>
          <w:numId w:val="18"/>
        </w:numPr>
        <w:adjustRightInd w:val="0"/>
        <w:snapToGrid w:val="0"/>
        <w:spacing w:before="0" w:beforeLines="0" w:line="400" w:lineRule="exact"/>
        <w:ind w:firstLine="420" w:firstLineChars="200"/>
        <w:outlineLvl w:val="9"/>
        <w:rPr>
          <w:rFonts w:hint="eastAsia" w:ascii="宋体" w:hAnsi="宋体" w:eastAsia="宋体" w:cs="Times New Roman"/>
          <w:bCs/>
          <w:szCs w:val="21"/>
        </w:rPr>
      </w:pPr>
      <w:r>
        <w:rPr>
          <w:rFonts w:hint="eastAsia" w:ascii="宋体" w:hAnsi="宋体" w:eastAsia="宋体" w:cs="Times New Roman"/>
          <w:bCs/>
          <w:szCs w:val="21"/>
        </w:rPr>
        <w:t>验收组织方式：</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Times New Roman"/>
          <w:bCs/>
          <w:szCs w:val="21"/>
        </w:rPr>
        <w:t>委托第三方组织</w:t>
      </w:r>
    </w:p>
    <w:p w14:paraId="69C53C12">
      <w:pPr>
        <w:numPr>
          <w:ilvl w:val="0"/>
          <w:numId w:val="0"/>
        </w:numPr>
        <w:adjustRightInd w:val="0"/>
        <w:snapToGrid w:val="0"/>
        <w:spacing w:before="0" w:beforeLines="0" w:line="400" w:lineRule="exact"/>
        <w:outlineLvl w:val="9"/>
        <w:rPr>
          <w:rFonts w:ascii="宋体" w:hAnsi="宋体" w:eastAsia="宋体" w:cs="Times New Roman"/>
          <w:bCs/>
          <w:szCs w:val="21"/>
        </w:rPr>
      </w:pPr>
      <w:r>
        <w:rPr>
          <w:rFonts w:hint="eastAsia" w:ascii="宋体" w:hAnsi="宋体" w:eastAsia="宋体" w:cs="Times New Roman"/>
          <w:bCs/>
          <w:szCs w:val="21"/>
          <w:lang w:val="en-US" w:eastAsia="zh-CN"/>
        </w:rPr>
        <w:t xml:space="preserve">         </w:t>
      </w:r>
      <w:r>
        <w:rPr>
          <w:rFonts w:hint="eastAsia" w:ascii="宋体" w:hAnsi="宋体" w:eastAsia="宋体" w:cs="Times New Roman"/>
          <w:bCs/>
          <w:szCs w:val="21"/>
        </w:rPr>
        <w:t>验收主体：</w:t>
      </w:r>
      <w:r>
        <w:rPr>
          <w:rFonts w:hint="eastAsia" w:ascii="宋体" w:hAnsi="宋体" w:eastAsia="宋体" w:cs="Times New Roman"/>
          <w:bCs/>
          <w:szCs w:val="21"/>
          <w:u w:val="single"/>
        </w:rPr>
        <w:t xml:space="preserve">                  </w:t>
      </w:r>
    </w:p>
    <w:p w14:paraId="5503D792">
      <w:pPr>
        <w:adjustRightInd w:val="0"/>
        <w:snapToGrid w:val="0"/>
        <w:spacing w:before="0" w:beforeLines="0" w:line="400" w:lineRule="exact"/>
        <w:ind w:firstLine="0" w:firstLineChars="0"/>
        <w:outlineLvl w:val="9"/>
        <w:rPr>
          <w:rFonts w:ascii="宋体" w:hAnsi="宋体" w:eastAsia="宋体" w:cs="Times New Roman"/>
          <w:bCs/>
          <w:szCs w:val="21"/>
        </w:rPr>
      </w:pPr>
      <w:r>
        <w:rPr>
          <w:rFonts w:hint="eastAsia" w:ascii="宋体" w:hAnsi="宋体" w:eastAsia="宋体" w:cs="Times New Roman"/>
          <w:bCs/>
          <w:szCs w:val="21"/>
          <w:lang w:val="en-US" w:eastAsia="zh-CN"/>
        </w:rPr>
        <w:t xml:space="preserve">        </w:t>
      </w:r>
      <w:r>
        <w:rPr>
          <w:rFonts w:hint="eastAsia" w:ascii="宋体" w:hAnsi="宋体" w:eastAsia="宋体" w:cs="Times New Roman"/>
          <w:bCs/>
          <w:szCs w:val="21"/>
        </w:rPr>
        <w:t>是否邀请本项目的其他供应商</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191DC648">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是否邀请专家</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0C024C4C">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是否邀请服务对象</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07D08C7A">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是否邀请第三方检测机构</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1A74E95B">
      <w:pPr>
        <w:adjustRightInd w:val="0"/>
        <w:snapToGrid w:val="0"/>
        <w:spacing w:before="0" w:beforeLines="0" w:line="400" w:lineRule="exact"/>
        <w:ind w:firstLine="840" w:firstLineChars="400"/>
        <w:outlineLvl w:val="9"/>
        <w:rPr>
          <w:rFonts w:hint="eastAsia" w:ascii="宋体" w:hAnsi="宋体" w:eastAsia="宋体" w:cs="Times New Roman"/>
          <w:bCs/>
          <w:szCs w:val="21"/>
        </w:rPr>
      </w:pPr>
      <w:r>
        <w:rPr>
          <w:rFonts w:hint="eastAsia" w:ascii="宋体" w:hAnsi="宋体" w:eastAsia="宋体" w:cs="Times New Roman"/>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Times New Roman"/>
          <w:bCs/>
          <w:szCs w:val="21"/>
        </w:rPr>
        <w:t>是</w:t>
      </w:r>
      <w:r>
        <w:rPr>
          <w:rFonts w:hint="eastAsia" w:ascii="宋体" w:hAnsi="宋体" w:eastAsia="宋体" w:cs="Times New Roman"/>
          <w:bCs/>
          <w:szCs w:val="21"/>
          <w:lang w:eastAsia="zh-CN"/>
        </w:rPr>
        <w:t>，抽查比例：</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val="en-US" w:eastAsia="zh-CN"/>
        </w:rPr>
        <w:t xml:space="preserve">     </w:t>
      </w:r>
      <w:r>
        <w:rPr>
          <w:rFonts w:hint="eastAsia" w:ascii="宋体" w:hAnsi="宋体" w:eastAsia="宋体" w:cs="Times New Roman"/>
          <w:bCs/>
          <w:szCs w:val="21"/>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7FC238D8">
      <w:pPr>
        <w:adjustRightInd w:val="0"/>
        <w:snapToGrid w:val="0"/>
        <w:spacing w:before="0" w:beforeLines="0" w:line="400" w:lineRule="exact"/>
        <w:ind w:firstLine="840" w:firstLineChars="400"/>
        <w:outlineLvl w:val="9"/>
        <w:rPr>
          <w:rFonts w:hint="eastAsia" w:ascii="宋体" w:hAnsi="宋体" w:eastAsia="宋体" w:cs="Times New Roman"/>
          <w:bCs/>
          <w:szCs w:val="21"/>
          <w:u w:val="single"/>
          <w:lang w:eastAsia="zh-CN"/>
        </w:rPr>
      </w:pPr>
      <w:r>
        <w:rPr>
          <w:rFonts w:hint="eastAsia" w:ascii="宋体" w:hAnsi="宋体" w:eastAsia="宋体" w:cs="Times New Roman"/>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Times New Roman"/>
          <w:bCs/>
          <w:szCs w:val="21"/>
        </w:rPr>
        <w:t>是</w:t>
      </w:r>
      <w:r>
        <w:rPr>
          <w:rFonts w:hint="eastAsia" w:ascii="宋体" w:hAnsi="宋体" w:eastAsia="宋体" w:cs="Times New Roman"/>
          <w:bCs/>
          <w:szCs w:val="21"/>
          <w:lang w:eastAsia="zh-CN"/>
        </w:rPr>
        <w:t>，</w:t>
      </w:r>
      <w:r>
        <w:rPr>
          <w:rFonts w:hint="eastAsia" w:ascii="宋体" w:hAnsi="宋体" w:eastAsia="宋体" w:cs="Times New Roman"/>
          <w:bCs/>
          <w:szCs w:val="21"/>
          <w:u w:val="single"/>
          <w:lang w:eastAsia="zh-CN"/>
        </w:rPr>
        <w:t>（应明确对被破坏的检测产品的处理方式）</w:t>
      </w:r>
    </w:p>
    <w:p w14:paraId="4BD7F372">
      <w:pPr>
        <w:adjustRightInd w:val="0"/>
        <w:snapToGrid w:val="0"/>
        <w:spacing w:before="0" w:beforeLines="0" w:line="400" w:lineRule="exact"/>
        <w:ind w:firstLine="840" w:firstLineChars="400"/>
        <w:outlineLvl w:val="9"/>
        <w:rPr>
          <w:rFonts w:hint="eastAsia" w:ascii="宋体" w:hAnsi="宋体" w:eastAsia="宋体" w:cs="Times New Roman"/>
          <w:bCs/>
          <w:szCs w:val="21"/>
          <w:lang w:eastAsia="zh-CN"/>
        </w:rPr>
      </w:pPr>
      <w:r>
        <w:rPr>
          <w:rFonts w:hint="eastAsia" w:ascii="宋体" w:hAnsi="宋体" w:eastAsia="宋体" w:cs="Times New Roman"/>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63EC5BE4">
      <w:pPr>
        <w:adjustRightInd w:val="0"/>
        <w:snapToGrid w:val="0"/>
        <w:spacing w:before="0" w:beforeLines="0" w:line="400" w:lineRule="exact"/>
        <w:ind w:firstLine="840" w:firstLineChars="400"/>
        <w:outlineLvl w:val="9"/>
        <w:rPr>
          <w:rFonts w:hint="eastAsia" w:ascii="宋体" w:hAnsi="宋体" w:eastAsia="宋体" w:cs="Times New Roman"/>
          <w:bCs/>
          <w:szCs w:val="21"/>
          <w:u w:val="single"/>
        </w:rPr>
      </w:pPr>
      <w:r>
        <w:rPr>
          <w:rFonts w:hint="eastAsia" w:ascii="宋体" w:hAnsi="宋体" w:eastAsia="宋体" w:cs="Times New Roman"/>
          <w:bCs/>
          <w:szCs w:val="21"/>
        </w:rPr>
        <w:t>验收组织的其他事项：</w:t>
      </w:r>
      <w:r>
        <w:rPr>
          <w:rFonts w:hint="eastAsia" w:ascii="宋体" w:hAnsi="宋体" w:eastAsia="宋体" w:cs="Times New Roman"/>
          <w:bCs/>
          <w:szCs w:val="21"/>
          <w:u w:val="single"/>
        </w:rPr>
        <w:t xml:space="preserve">                </w:t>
      </w:r>
    </w:p>
    <w:p w14:paraId="305B13BA">
      <w:pPr>
        <w:adjustRightInd w:val="0"/>
        <w:snapToGrid w:val="0"/>
        <w:spacing w:before="0" w:beforeLines="0" w:line="400" w:lineRule="exact"/>
        <w:ind w:firstLine="420" w:firstLineChars="200"/>
        <w:outlineLvl w:val="9"/>
        <w:rPr>
          <w:rFonts w:hint="eastAsia" w:ascii="宋体" w:hAnsi="宋体" w:eastAsia="宋体" w:cs="Times New Roman"/>
          <w:bCs/>
          <w:szCs w:val="21"/>
          <w:u w:val="single"/>
        </w:rPr>
      </w:pPr>
      <w:r>
        <w:rPr>
          <w:rFonts w:hint="eastAsia" w:ascii="宋体" w:hAnsi="宋体" w:eastAsia="宋体" w:cs="Times New Roman"/>
          <w:bCs/>
          <w:szCs w:val="21"/>
        </w:rPr>
        <w:t>（2）履约验收时间：</w:t>
      </w:r>
      <w:r>
        <w:rPr>
          <w:rFonts w:hint="eastAsia" w:ascii="宋体" w:hAnsi="宋体" w:eastAsia="宋体" w:cs="Times New Roman"/>
          <w:bCs/>
          <w:szCs w:val="21"/>
          <w:u w:val="single"/>
        </w:rPr>
        <w:t>（计划于何时验收/供应商提出验收申请之日起   日内组织验收）</w:t>
      </w:r>
      <w:r>
        <w:rPr>
          <w:rFonts w:hint="eastAsia" w:ascii="宋体" w:hAnsi="宋体" w:eastAsia="宋体" w:cs="Times New Roman"/>
          <w:bCs/>
          <w:szCs w:val="21"/>
          <w:u w:val="single"/>
          <w:lang w:val="en-US" w:eastAsia="zh-CN"/>
        </w:rPr>
        <w:t xml:space="preserve"> </w:t>
      </w:r>
    </w:p>
    <w:p w14:paraId="0FFCDC17">
      <w:pPr>
        <w:adjustRightInd w:val="0"/>
        <w:snapToGrid w:val="0"/>
        <w:spacing w:before="0" w:beforeLines="0" w:line="400" w:lineRule="exact"/>
        <w:ind w:firstLine="420" w:firstLineChars="200"/>
        <w:outlineLvl w:val="9"/>
        <w:rPr>
          <w:rFonts w:hint="eastAsia" w:ascii="宋体" w:hAnsi="宋体" w:eastAsia="宋体" w:cs="Times New Roman"/>
          <w:bCs/>
          <w:szCs w:val="21"/>
        </w:rPr>
      </w:pPr>
      <w:r>
        <w:rPr>
          <w:rFonts w:hint="eastAsia" w:ascii="宋体" w:hAnsi="宋体" w:eastAsia="宋体" w:cs="Times New Roman"/>
          <w:bCs/>
          <w:szCs w:val="21"/>
        </w:rPr>
        <w:t>（3）履约验收方式：</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一次性验收         </w:t>
      </w:r>
    </w:p>
    <w:p w14:paraId="46E8CDCC">
      <w:pPr>
        <w:adjustRightInd w:val="0"/>
        <w:snapToGrid w:val="0"/>
        <w:spacing w:before="0" w:beforeLines="0" w:line="400" w:lineRule="exact"/>
        <w:ind w:firstLine="0" w:firstLineChars="0"/>
        <w:outlineLvl w:val="9"/>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分期/分项验收</w:t>
      </w:r>
      <w:r>
        <w:rPr>
          <w:rFonts w:hint="eastAsia" w:ascii="宋体" w:hAnsi="宋体" w:eastAsia="宋体" w:cs="Times New Roman"/>
          <w:bCs/>
          <w:szCs w:val="21"/>
          <w:lang w:eastAsia="zh-CN"/>
        </w:rPr>
        <w:t>：</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eastAsia="zh-CN"/>
        </w:rPr>
        <w:t>（应明确分期</w:t>
      </w:r>
      <w:r>
        <w:rPr>
          <w:rFonts w:hint="default" w:ascii="宋体" w:hAnsi="宋体" w:eastAsia="宋体" w:cs="Times New Roman"/>
          <w:bCs/>
          <w:szCs w:val="21"/>
          <w:u w:val="single"/>
          <w:lang w:val="en" w:eastAsia="zh-CN"/>
        </w:rPr>
        <w:t>/</w:t>
      </w:r>
      <w:r>
        <w:rPr>
          <w:rFonts w:hint="eastAsia" w:ascii="宋体" w:hAnsi="宋体" w:eastAsia="宋体" w:cs="Times New Roman"/>
          <w:bCs/>
          <w:szCs w:val="21"/>
          <w:u w:val="single"/>
          <w:lang w:val="en" w:eastAsia="zh-CN"/>
        </w:rPr>
        <w:t>分项验收的工作安排</w:t>
      </w:r>
      <w:r>
        <w:rPr>
          <w:rFonts w:hint="eastAsia" w:ascii="宋体" w:hAnsi="宋体" w:eastAsia="宋体" w:cs="Times New Roman"/>
          <w:bCs/>
          <w:szCs w:val="21"/>
          <w:u w:val="single"/>
          <w:lang w:eastAsia="zh-CN"/>
        </w:rPr>
        <w:t>）</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val="en-US" w:eastAsia="zh-CN"/>
        </w:rPr>
        <w:t xml:space="preserve"> </w:t>
      </w:r>
    </w:p>
    <w:p w14:paraId="5196B3E7">
      <w:pPr>
        <w:adjustRightInd w:val="0"/>
        <w:snapToGrid w:val="0"/>
        <w:spacing w:before="0" w:beforeLines="0" w:line="400" w:lineRule="exact"/>
        <w:ind w:firstLine="420" w:firstLineChars="200"/>
        <w:outlineLvl w:val="9"/>
        <w:rPr>
          <w:rFonts w:ascii="宋体" w:hAnsi="宋体" w:eastAsia="宋体" w:cs="Times New Roman"/>
          <w:bCs/>
          <w:szCs w:val="21"/>
        </w:rPr>
      </w:pPr>
      <w:r>
        <w:rPr>
          <w:rFonts w:hint="eastAsia" w:ascii="宋体" w:hAnsi="宋体" w:eastAsia="宋体" w:cs="Times New Roman"/>
          <w:bCs/>
          <w:szCs w:val="21"/>
        </w:rPr>
        <w:t>（4）履约验收程序：</w:t>
      </w:r>
      <w:r>
        <w:rPr>
          <w:rFonts w:hint="eastAsia" w:ascii="宋体" w:hAnsi="宋体" w:eastAsia="宋体" w:cs="Times New Roman"/>
          <w:bCs/>
          <w:szCs w:val="21"/>
          <w:u w:val="single"/>
        </w:rPr>
        <w:t xml:space="preserve">                                         </w:t>
      </w:r>
    </w:p>
    <w:p w14:paraId="74924802">
      <w:pPr>
        <w:adjustRightInd w:val="0"/>
        <w:snapToGrid w:val="0"/>
        <w:spacing w:before="0" w:beforeLines="0" w:line="400" w:lineRule="exact"/>
        <w:ind w:firstLine="420" w:firstLineChars="200"/>
        <w:outlineLvl w:val="9"/>
        <w:rPr>
          <w:rFonts w:ascii="宋体" w:hAnsi="宋体" w:eastAsia="宋体" w:cs="Times New Roman"/>
          <w:bCs/>
          <w:szCs w:val="21"/>
          <w:u w:val="single"/>
        </w:rPr>
      </w:pPr>
      <w:r>
        <w:rPr>
          <w:rFonts w:hint="eastAsia" w:ascii="宋体" w:hAnsi="宋体" w:eastAsia="宋体" w:cs="Times New Roman"/>
          <w:bCs/>
          <w:szCs w:val="21"/>
        </w:rPr>
        <w:t>（5）履约验收的内容：</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Times New Roman"/>
          <w:bCs/>
          <w:szCs w:val="21"/>
          <w:u w:val="single"/>
        </w:rPr>
        <w:t xml:space="preserve">                                      </w:t>
      </w:r>
    </w:p>
    <w:p w14:paraId="52887F1B">
      <w:pPr>
        <w:adjustRightInd w:val="0"/>
        <w:snapToGrid w:val="0"/>
        <w:spacing w:before="0" w:beforeLines="0" w:line="400" w:lineRule="exact"/>
        <w:ind w:firstLine="420" w:firstLineChars="200"/>
        <w:outlineLvl w:val="9"/>
        <w:rPr>
          <w:rFonts w:hint="eastAsia" w:ascii="宋体" w:hAnsi="宋体" w:eastAsia="宋体" w:cs="Times New Roman"/>
          <w:bCs/>
          <w:szCs w:val="21"/>
          <w:u w:val="single"/>
        </w:rPr>
      </w:pPr>
      <w:r>
        <w:rPr>
          <w:rFonts w:hint="eastAsia" w:ascii="宋体" w:hAnsi="宋体" w:eastAsia="宋体" w:cs="Times New Roman"/>
          <w:bCs/>
          <w:szCs w:val="21"/>
        </w:rPr>
        <w:t>（6）履约验收标准：</w:t>
      </w:r>
      <w:r>
        <w:rPr>
          <w:rFonts w:hint="eastAsia" w:ascii="宋体" w:hAnsi="宋体" w:eastAsia="宋体" w:cs="Times New Roman"/>
          <w:bCs/>
          <w:szCs w:val="21"/>
          <w:u w:val="single"/>
        </w:rPr>
        <w:t xml:space="preserve">                                         </w:t>
      </w:r>
    </w:p>
    <w:p w14:paraId="5AE3BC4C">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14:paraId="6E4406D2">
      <w:pPr>
        <w:adjustRightInd w:val="0"/>
        <w:snapToGrid w:val="0"/>
        <w:spacing w:before="0" w:beforeLines="0" w:line="400" w:lineRule="exact"/>
        <w:ind w:firstLine="420" w:firstLineChars="200"/>
        <w:outlineLvl w:val="9"/>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256260FD">
      <w:pPr>
        <w:numPr>
          <w:ilvl w:val="0"/>
          <w:numId w:val="16"/>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组成合同的文件</w:t>
      </w:r>
    </w:p>
    <w:p w14:paraId="2CB74549">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本协议书与下列文件一起构成合同文件，如下述文件之间有任何抵触、矛盾或歧义，应按以下顺序解释：</w:t>
      </w:r>
    </w:p>
    <w:p w14:paraId="087B7D77">
      <w:pPr>
        <w:adjustRightInd w:val="0"/>
        <w:snapToGrid w:val="0"/>
        <w:spacing w:before="0" w:beforeLines="0" w:line="400" w:lineRule="exact"/>
        <w:ind w:firstLine="420" w:firstLineChars="200"/>
        <w:outlineLvl w:val="9"/>
        <w:rPr>
          <w:rFonts w:hint="eastAsia" w:ascii="宋体" w:hAnsi="宋体" w:eastAsia="宋体" w:cs="Times New Roman"/>
          <w:color w:val="auto"/>
          <w:szCs w:val="21"/>
          <w:lang w:eastAsia="zh-CN"/>
        </w:rPr>
      </w:pPr>
      <w:r>
        <w:rPr>
          <w:rFonts w:hint="eastAsia" w:ascii="宋体" w:hAnsi="宋体" w:eastAsia="宋体" w:cs="Times New Roman"/>
          <w:color w:val="auto"/>
          <w:szCs w:val="21"/>
        </w:rPr>
        <w:t>（1）</w:t>
      </w:r>
      <w:r>
        <w:rPr>
          <w:rFonts w:hint="eastAsia" w:ascii="宋体" w:hAnsi="宋体" w:eastAsia="宋体" w:cs="Times New Roman"/>
          <w:color w:val="auto"/>
          <w:szCs w:val="21"/>
          <w:lang w:eastAsia="zh-CN"/>
        </w:rPr>
        <w:t>政府采购</w:t>
      </w:r>
      <w:r>
        <w:rPr>
          <w:rFonts w:hint="eastAsia" w:ascii="宋体" w:hAnsi="宋体" w:eastAsia="宋体" w:cs="Times New Roman"/>
          <w:color w:val="auto"/>
          <w:szCs w:val="21"/>
        </w:rPr>
        <w:t>合同协议书及其变更、补充</w:t>
      </w:r>
      <w:r>
        <w:rPr>
          <w:rFonts w:hint="eastAsia" w:ascii="宋体" w:hAnsi="宋体" w:eastAsia="宋体" w:cs="Times New Roman"/>
          <w:color w:val="auto"/>
          <w:szCs w:val="21"/>
          <w:lang w:eastAsia="zh-CN"/>
        </w:rPr>
        <w:t>协议</w:t>
      </w:r>
    </w:p>
    <w:p w14:paraId="7A56A132">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w:t>
      </w:r>
      <w:r>
        <w:rPr>
          <w:rFonts w:hint="eastAsia" w:ascii="宋体" w:hAnsi="宋体" w:eastAsia="宋体" w:cs="Times New Roman"/>
          <w:szCs w:val="21"/>
        </w:rPr>
        <w:t>）政府采购合同专用条款</w:t>
      </w:r>
    </w:p>
    <w:p w14:paraId="439169C8">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）政府采购合同通用条款</w:t>
      </w:r>
    </w:p>
    <w:p w14:paraId="5C7EC116">
      <w:pPr>
        <w:adjustRightInd w:val="0"/>
        <w:snapToGrid w:val="0"/>
        <w:spacing w:before="0" w:beforeLines="0" w:line="400" w:lineRule="exact"/>
        <w:ind w:firstLine="420" w:firstLineChars="200"/>
        <w:outlineLvl w:val="9"/>
        <w:rPr>
          <w:rFonts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）中标</w:t>
      </w:r>
      <w:r>
        <w:rPr>
          <w:rFonts w:hint="eastAsia" w:ascii="宋体" w:hAnsi="宋体" w:eastAsia="宋体" w:cs="Times New Roman"/>
          <w:color w:val="auto"/>
          <w:szCs w:val="21"/>
          <w:lang w:eastAsia="zh-CN"/>
        </w:rPr>
        <w:t>（成交）</w:t>
      </w:r>
      <w:r>
        <w:rPr>
          <w:rFonts w:hint="eastAsia" w:ascii="宋体" w:hAnsi="宋体" w:eastAsia="宋体" w:cs="Times New Roman"/>
          <w:color w:val="auto"/>
          <w:szCs w:val="21"/>
        </w:rPr>
        <w:t>通知书</w:t>
      </w:r>
    </w:p>
    <w:p w14:paraId="5B04020D">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）投标（响应）文件</w:t>
      </w:r>
    </w:p>
    <w:p w14:paraId="5CCAB1FE">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（6）采购文件</w:t>
      </w:r>
    </w:p>
    <w:p w14:paraId="36D5EDC4">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（7）有关技术文件，图纸</w:t>
      </w:r>
    </w:p>
    <w:p w14:paraId="75F42B5E">
      <w:pPr>
        <w:autoSpaceDE w:val="0"/>
        <w:autoSpaceDN w:val="0"/>
        <w:adjustRightInd w:val="0"/>
        <w:spacing w:beforeLines="0" w:line="40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42497BFE">
      <w:pPr>
        <w:numPr>
          <w:ilvl w:val="0"/>
          <w:numId w:val="16"/>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合同生效</w:t>
      </w:r>
    </w:p>
    <w:p w14:paraId="70C58FAE">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本合同自</w:t>
      </w:r>
      <w:r>
        <w:rPr>
          <w:rFonts w:hint="eastAsia" w:ascii="宋体" w:hAnsi="宋体" w:eastAsia="宋体" w:cs="Times New Roman"/>
          <w:szCs w:val="21"/>
          <w:u w:val="single"/>
        </w:rPr>
        <w:t xml:space="preserve">                             </w:t>
      </w:r>
      <w:r>
        <w:rPr>
          <w:rFonts w:hint="eastAsia" w:ascii="宋体" w:hAnsi="宋体" w:eastAsia="宋体" w:cs="Times New Roman"/>
          <w:szCs w:val="21"/>
        </w:rPr>
        <w:t>生效。</w:t>
      </w:r>
    </w:p>
    <w:p w14:paraId="3F62EE0F">
      <w:pPr>
        <w:numPr>
          <w:ilvl w:val="0"/>
          <w:numId w:val="16"/>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合同份数</w:t>
      </w:r>
    </w:p>
    <w:p w14:paraId="1B9E9189">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本合同一式</w:t>
      </w:r>
      <w:r>
        <w:rPr>
          <w:rFonts w:hint="eastAsia" w:ascii="宋体" w:hAnsi="宋体" w:eastAsia="宋体" w:cs="Times New Roman"/>
          <w:szCs w:val="21"/>
          <w:u w:val="single"/>
        </w:rPr>
        <w:t xml:space="preserve">    </w:t>
      </w:r>
      <w:r>
        <w:rPr>
          <w:rFonts w:hint="eastAsia" w:ascii="宋体" w:hAnsi="宋体" w:eastAsia="宋体" w:cs="Times New Roman"/>
          <w:szCs w:val="21"/>
        </w:rPr>
        <w:t>份，</w:t>
      </w:r>
      <w:r>
        <w:rPr>
          <w:rFonts w:hint="eastAsia" w:ascii="宋体" w:hAnsi="宋体" w:eastAsia="宋体" w:cs="Times New Roman"/>
          <w:szCs w:val="21"/>
          <w:lang w:eastAsia="zh-CN"/>
        </w:rPr>
        <w:t>甲方</w:t>
      </w:r>
      <w:r>
        <w:rPr>
          <w:rFonts w:hint="eastAsia" w:ascii="宋体" w:hAnsi="宋体" w:eastAsia="宋体" w:cs="Times New Roman"/>
          <w:szCs w:val="21"/>
        </w:rPr>
        <w:t>执</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份，</w:t>
      </w:r>
      <w:r>
        <w:rPr>
          <w:rFonts w:hint="eastAsia" w:ascii="宋体" w:hAnsi="宋体" w:eastAsia="宋体" w:cs="Times New Roman"/>
          <w:szCs w:val="21"/>
          <w:lang w:eastAsia="zh-CN"/>
        </w:rPr>
        <w:t>乙方</w:t>
      </w:r>
      <w:r>
        <w:rPr>
          <w:rFonts w:hint="eastAsia" w:ascii="宋体" w:hAnsi="宋体" w:eastAsia="宋体" w:cs="Times New Roman"/>
          <w:szCs w:val="21"/>
        </w:rPr>
        <w:t>执</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份，均具有同等法律效力。</w:t>
      </w:r>
    </w:p>
    <w:p w14:paraId="4CA265A6">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合同订立时间：</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5EC8353C">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合同订立地点：</w:t>
      </w:r>
      <w:r>
        <w:rPr>
          <w:rFonts w:hint="eastAsia" w:ascii="宋体" w:hAnsi="宋体" w:eastAsia="宋体" w:cs="Times New Roman"/>
          <w:szCs w:val="21"/>
          <w:u w:val="single"/>
        </w:rPr>
        <w:t xml:space="preserve">                           </w:t>
      </w:r>
    </w:p>
    <w:p w14:paraId="28B88DD5">
      <w:pPr>
        <w:adjustRightInd w:val="0"/>
        <w:snapToGrid w:val="0"/>
        <w:spacing w:before="0" w:beforeLines="0" w:line="400" w:lineRule="exact"/>
        <w:ind w:firstLine="420" w:firstLineChars="200"/>
        <w:outlineLvl w:val="9"/>
        <w:rPr>
          <w:rFonts w:ascii="Times New Roman" w:hAnsi="Times New Roman" w:eastAsia="宋体" w:cs="Times New Roman"/>
          <w:szCs w:val="24"/>
        </w:rPr>
      </w:pPr>
      <w:r>
        <w:rPr>
          <w:rFonts w:hint="eastAsia" w:ascii="宋体" w:hAnsi="宋体" w:eastAsia="宋体" w:cs="Times New Roman"/>
          <w:szCs w:val="21"/>
        </w:rPr>
        <w:t>附件：具体标</w:t>
      </w:r>
      <w:r>
        <w:rPr>
          <w:rFonts w:hint="eastAsia" w:ascii="宋体" w:hAnsi="宋体" w:eastAsia="宋体" w:cs="Times New Roman"/>
          <w:szCs w:val="21"/>
          <w:lang w:eastAsia="zh-CN"/>
        </w:rPr>
        <w:t>的及其</w:t>
      </w:r>
      <w:r>
        <w:rPr>
          <w:rFonts w:hint="eastAsia" w:ascii="宋体" w:hAnsi="宋体" w:eastAsia="宋体" w:cs="Times New Roman"/>
          <w:szCs w:val="21"/>
          <w:highlight w:val="none"/>
          <w:u w:val="none"/>
          <w:lang w:val="en-US" w:eastAsia="zh-CN"/>
        </w:rPr>
        <w:t>技术要求和商务要求</w:t>
      </w:r>
      <w:r>
        <w:rPr>
          <w:rFonts w:hint="eastAsia" w:ascii="宋体" w:hAnsi="宋体" w:eastAsia="宋体" w:cs="Times New Roman"/>
          <w:szCs w:val="21"/>
        </w:rPr>
        <w:t>、联合协议、分包</w:t>
      </w:r>
      <w:r>
        <w:rPr>
          <w:rFonts w:hint="eastAsia" w:ascii="宋体" w:hAnsi="宋体" w:eastAsia="宋体" w:cs="Times New Roman"/>
          <w:szCs w:val="21"/>
          <w:lang w:eastAsia="zh-CN"/>
        </w:rPr>
        <w:t>意向</w:t>
      </w:r>
      <w:r>
        <w:rPr>
          <w:rFonts w:hint="eastAsia" w:ascii="宋体" w:hAnsi="宋体" w:eastAsia="宋体" w:cs="Times New Roman"/>
          <w:szCs w:val="21"/>
        </w:rPr>
        <w:t>协议等。</w:t>
      </w:r>
    </w:p>
    <w:p w14:paraId="46314CC3">
      <w:pPr>
        <w:widowControl w:val="0"/>
        <w:spacing w:beforeLines="0" w:line="400" w:lineRule="exact"/>
        <w:ind w:firstLine="420" w:firstLineChars="200"/>
        <w:jc w:val="both"/>
        <w:outlineLvl w:val="9"/>
        <w:rPr>
          <w:rFonts w:ascii="Times New Roman" w:hAnsi="Times New Roman" w:eastAsia="宋体" w:cs="Times New Roman"/>
          <w:kern w:val="2"/>
          <w:sz w:val="21"/>
          <w:szCs w:val="21"/>
          <w:lang w:val="en-US" w:eastAsia="zh-CN" w:bidi="ar-SA"/>
        </w:rPr>
      </w:pPr>
    </w:p>
    <w:p w14:paraId="5341A6DA">
      <w:pPr>
        <w:keepNext/>
        <w:keepLines/>
        <w:widowControl w:val="0"/>
        <w:spacing w:beforeLines="0" w:line="400" w:lineRule="exact"/>
        <w:jc w:val="both"/>
        <w:outlineLvl w:val="9"/>
        <w:rPr>
          <w:rFonts w:hint="eastAsia" w:ascii="宋体" w:hAnsi="宋体" w:eastAsia="宋体" w:cs="Times New Roman"/>
          <w:b w:val="0"/>
          <w:bCs w:val="0"/>
          <w:kern w:val="2"/>
          <w:sz w:val="21"/>
          <w:szCs w:val="21"/>
          <w:highlight w:val="none"/>
          <w:lang w:val="en-US" w:eastAsia="zh-CN" w:bidi="ar-SA"/>
        </w:rPr>
      </w:pPr>
      <w:r>
        <w:rPr>
          <w:rFonts w:hint="default" w:ascii="Arial" w:hAnsi="Arial" w:eastAsia="宋体" w:cs="Times New Roman"/>
          <w:b/>
          <w:bCs/>
          <w:kern w:val="2"/>
          <w:sz w:val="24"/>
          <w:szCs w:val="32"/>
          <w:lang w:val="en" w:eastAsia="zh-CN" w:bidi="ar-SA"/>
        </w:rPr>
        <w:t xml:space="preserve">   </w:t>
      </w:r>
    </w:p>
    <w:p w14:paraId="5DE88522">
      <w:pPr>
        <w:outlineLvl w:val="9"/>
        <w:rPr>
          <w:rFonts w:hint="eastAsia" w:ascii="Times New Roman" w:hAnsi="Times New Roman" w:eastAsia="宋体" w:cs="Times New Roman"/>
          <w:szCs w:val="24"/>
        </w:rPr>
      </w:pPr>
      <w:r>
        <w:rPr>
          <w:rFonts w:hint="eastAsia" w:ascii="Times New Roman" w:hAnsi="Times New Roman" w:eastAsia="宋体" w:cs="Times New Roman"/>
          <w:szCs w:val="24"/>
        </w:rPr>
        <w:br w:type="page"/>
      </w:r>
    </w:p>
    <w:p w14:paraId="6E6CD7AD">
      <w:pPr>
        <w:widowControl w:val="0"/>
        <w:ind w:firstLine="420" w:firstLineChars="200"/>
        <w:jc w:val="both"/>
        <w:outlineLvl w:val="9"/>
        <w:rPr>
          <w:rFonts w:hint="eastAsia" w:ascii="Times New Roman" w:hAnsi="Times New Roman" w:eastAsia="宋体" w:cs="Times New Roman"/>
          <w:kern w:val="2"/>
          <w:sz w:val="21"/>
          <w:szCs w:val="21"/>
          <w:lang w:val="en-US" w:eastAsia="zh-CN" w:bidi="ar-SA"/>
        </w:rPr>
      </w:pPr>
    </w:p>
    <w:tbl>
      <w:tblPr>
        <w:tblStyle w:val="4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7DFA79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EADCCF5">
            <w:pPr>
              <w:adjustRightInd w:val="0"/>
              <w:snapToGrid w:val="0"/>
              <w:spacing w:line="300" w:lineRule="exact"/>
              <w:jc w:val="center"/>
              <w:outlineLvl w:val="9"/>
              <w:rPr>
                <w:rFonts w:ascii="Times New Roman" w:hAnsi="Times New Roman" w:eastAsia="宋体" w:cs="Times New Roman"/>
                <w:szCs w:val="24"/>
              </w:rPr>
            </w:pPr>
            <w:r>
              <w:rPr>
                <w:rFonts w:ascii="Times New Roman" w:hAnsi="Times New Roman" w:eastAsia="宋体" w:cs="Times New Roman"/>
                <w:szCs w:val="21"/>
              </w:rPr>
              <w:t>甲方</w:t>
            </w:r>
            <w:r>
              <w:rPr>
                <w:rFonts w:hint="eastAsia" w:ascii="Times New Roman" w:hAnsi="Times New Roman" w:eastAsia="宋体" w:cs="Times New Roman"/>
                <w:szCs w:val="21"/>
              </w:rPr>
              <w:t>（采购人</w:t>
            </w:r>
            <w:r>
              <w:rPr>
                <w:rFonts w:hint="eastAsia" w:ascii="宋体" w:hAnsi="宋体" w:eastAsia="宋体" w:cs="Times New Roman"/>
                <w:szCs w:val="21"/>
                <w:lang w:eastAsia="zh-CN"/>
              </w:rPr>
              <w:t>、受采购人委托签订合同的单位</w:t>
            </w:r>
            <w:r>
              <w:rPr>
                <w:rFonts w:hint="eastAsia" w:ascii="宋体" w:hAnsi="宋体" w:eastAsia="宋体" w:cs="Times New Roman"/>
                <w:szCs w:val="21"/>
              </w:rPr>
              <w:t>或</w:t>
            </w:r>
            <w:r>
              <w:rPr>
                <w:rFonts w:hint="eastAsia" w:ascii="Times New Roman" w:hAnsi="Times New Roman" w:eastAsia="宋体" w:cs="Times New Roman"/>
                <w:szCs w:val="21"/>
              </w:rPr>
              <w:t>采购文件约定的合同甲方）</w:t>
            </w:r>
          </w:p>
        </w:tc>
        <w:tc>
          <w:tcPr>
            <w:tcW w:w="2437" w:type="pct"/>
            <w:gridSpan w:val="2"/>
            <w:tcBorders>
              <w:left w:val="single" w:color="auto" w:sz="2" w:space="0"/>
              <w:bottom w:val="single" w:color="auto" w:sz="2" w:space="0"/>
            </w:tcBorders>
            <w:vAlign w:val="center"/>
          </w:tcPr>
          <w:p w14:paraId="60294E2B">
            <w:pPr>
              <w:adjustRightInd w:val="0"/>
              <w:snapToGrid w:val="0"/>
              <w:spacing w:line="300" w:lineRule="exact"/>
              <w:jc w:val="center"/>
              <w:outlineLvl w:val="9"/>
              <w:rPr>
                <w:rFonts w:ascii="Times New Roman" w:hAnsi="Times New Roman" w:eastAsia="宋体" w:cs="Times New Roman"/>
                <w:szCs w:val="24"/>
              </w:rPr>
            </w:pPr>
            <w:r>
              <w:rPr>
                <w:rFonts w:ascii="Times New Roman" w:hAnsi="Times New Roman" w:eastAsia="宋体" w:cs="Times New Roman"/>
                <w:szCs w:val="21"/>
              </w:rPr>
              <w:t>乙方</w:t>
            </w:r>
            <w:r>
              <w:rPr>
                <w:rFonts w:hint="eastAsia" w:ascii="Times New Roman" w:hAnsi="Times New Roman" w:eastAsia="宋体" w:cs="Times New Roman"/>
                <w:szCs w:val="21"/>
              </w:rPr>
              <w:t>（供应商）</w:t>
            </w:r>
          </w:p>
        </w:tc>
      </w:tr>
      <w:tr w14:paraId="0C1C77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1D9B871">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单位名称</w:t>
            </w:r>
            <w:r>
              <w:rPr>
                <w:rFonts w:hint="eastAsia" w:ascii="Times New Roman" w:hAnsi="Times New Roman" w:eastAsia="宋体" w:cs="Times New Roman"/>
                <w:szCs w:val="21"/>
              </w:rPr>
              <w:t>（公章</w:t>
            </w:r>
            <w:r>
              <w:rPr>
                <w:rFonts w:hint="eastAsia" w:ascii="Times New Roman" w:hAnsi="Times New Roman" w:eastAsia="宋体" w:cs="Times New Roman"/>
                <w:szCs w:val="21"/>
                <w:lang w:eastAsia="zh-CN"/>
              </w:rPr>
              <w:t>或合同章</w:t>
            </w:r>
            <w:r>
              <w:rPr>
                <w:rFonts w:hint="eastAsia" w:ascii="Times New Roman" w:hAnsi="Times New Roman" w:eastAsia="宋体" w:cs="Times New Roman"/>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55BF1C1">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3E01C01">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单位名称</w:t>
            </w:r>
            <w:r>
              <w:rPr>
                <w:rFonts w:hint="eastAsia" w:ascii="Times New Roman" w:hAnsi="Times New Roman" w:eastAsia="宋体" w:cs="Times New Roman"/>
                <w:szCs w:val="21"/>
              </w:rPr>
              <w:t>（公章</w:t>
            </w:r>
            <w:r>
              <w:rPr>
                <w:rFonts w:hint="eastAsia" w:ascii="Times New Roman" w:hAnsi="Times New Roman" w:eastAsia="宋体" w:cs="Times New Roman"/>
                <w:szCs w:val="21"/>
                <w:lang w:eastAsia="zh-CN"/>
              </w:rPr>
              <w:t>或合同章</w:t>
            </w:r>
            <w:r>
              <w:rPr>
                <w:rFonts w:hint="eastAsia" w:ascii="Times New Roman" w:hAnsi="Times New Roman" w:eastAsia="宋体" w:cs="Times New Roman"/>
                <w:szCs w:val="21"/>
              </w:rPr>
              <w:t>）</w:t>
            </w:r>
          </w:p>
        </w:tc>
        <w:tc>
          <w:tcPr>
            <w:tcW w:w="1259" w:type="pct"/>
            <w:tcBorders>
              <w:top w:val="single" w:color="auto" w:sz="2" w:space="0"/>
              <w:left w:val="single" w:color="auto" w:sz="2" w:space="0"/>
              <w:bottom w:val="single" w:color="auto" w:sz="2" w:space="0"/>
            </w:tcBorders>
            <w:vAlign w:val="center"/>
          </w:tcPr>
          <w:p w14:paraId="0BBA2492">
            <w:pPr>
              <w:adjustRightInd w:val="0"/>
              <w:snapToGrid w:val="0"/>
              <w:spacing w:line="300" w:lineRule="exact"/>
              <w:jc w:val="center"/>
              <w:outlineLvl w:val="9"/>
              <w:rPr>
                <w:rFonts w:ascii="Times New Roman" w:hAnsi="Times New Roman" w:eastAsia="宋体" w:cs="Times New Roman"/>
                <w:spacing w:val="20"/>
                <w:szCs w:val="21"/>
              </w:rPr>
            </w:pPr>
          </w:p>
        </w:tc>
      </w:tr>
      <w:tr w14:paraId="27C914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F4DC135">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法定代表人</w:t>
            </w:r>
          </w:p>
          <w:p w14:paraId="3FA24352">
            <w:pPr>
              <w:adjustRightInd w:val="0"/>
              <w:snapToGrid w:val="0"/>
              <w:spacing w:line="300" w:lineRule="exact"/>
              <w:ind w:firstLine="100" w:firstLineChars="48"/>
              <w:jc w:val="center"/>
              <w:outlineLvl w:val="9"/>
              <w:rPr>
                <w:rFonts w:ascii="Times New Roman" w:hAnsi="Times New Roman" w:eastAsia="宋体" w:cs="Times New Roman"/>
                <w:szCs w:val="21"/>
              </w:rPr>
            </w:pPr>
            <w:r>
              <w:rPr>
                <w:rFonts w:hint="eastAsia" w:ascii="Times New Roman" w:hAnsi="Times New Roman" w:eastAsia="宋体" w:cs="Times New Roman"/>
                <w:szCs w:val="21"/>
              </w:rPr>
              <w:t>或其</w:t>
            </w:r>
            <w:r>
              <w:rPr>
                <w:rFonts w:ascii="Times New Roman" w:hAnsi="Times New Roman" w:eastAsia="宋体" w:cs="Times New Roman"/>
                <w:szCs w:val="21"/>
              </w:rPr>
              <w:t>委托代理人</w:t>
            </w:r>
            <w:r>
              <w:rPr>
                <w:rFonts w:hint="eastAsia" w:ascii="Times New Roman" w:hAnsi="Times New Roman" w:eastAsia="宋体" w:cs="Times New Roman"/>
                <w:szCs w:val="21"/>
              </w:rPr>
              <w:t>（签章）</w:t>
            </w:r>
          </w:p>
        </w:tc>
        <w:tc>
          <w:tcPr>
            <w:tcW w:w="1436" w:type="pct"/>
            <w:vMerge w:val="restart"/>
            <w:tcBorders>
              <w:top w:val="single" w:color="auto" w:sz="2" w:space="0"/>
              <w:left w:val="single" w:color="auto" w:sz="2" w:space="0"/>
              <w:right w:val="single" w:color="auto" w:sz="2" w:space="0"/>
            </w:tcBorders>
            <w:vAlign w:val="center"/>
          </w:tcPr>
          <w:p w14:paraId="02F9F866">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right w:val="single" w:color="auto" w:sz="2" w:space="0"/>
            </w:tcBorders>
            <w:vAlign w:val="center"/>
          </w:tcPr>
          <w:p w14:paraId="722F3CC6">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法定代表人</w:t>
            </w:r>
          </w:p>
          <w:p w14:paraId="71C50FBF">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或其</w:t>
            </w:r>
            <w:r>
              <w:rPr>
                <w:rFonts w:ascii="Times New Roman" w:hAnsi="Times New Roman" w:eastAsia="宋体" w:cs="Times New Roman"/>
                <w:szCs w:val="21"/>
              </w:rPr>
              <w:t>委托代理人</w:t>
            </w:r>
            <w:r>
              <w:rPr>
                <w:rFonts w:hint="eastAsia" w:ascii="Times New Roman" w:hAnsi="Times New Roman" w:eastAsia="宋体" w:cs="Times New Roman"/>
                <w:szCs w:val="21"/>
              </w:rPr>
              <w:t>（签章）</w:t>
            </w:r>
          </w:p>
        </w:tc>
        <w:tc>
          <w:tcPr>
            <w:tcW w:w="1259" w:type="pct"/>
            <w:tcBorders>
              <w:top w:val="single" w:color="auto" w:sz="2" w:space="0"/>
              <w:left w:val="single" w:color="auto" w:sz="2" w:space="0"/>
              <w:bottom w:val="single" w:color="auto" w:sz="2" w:space="0"/>
            </w:tcBorders>
            <w:vAlign w:val="center"/>
          </w:tcPr>
          <w:p w14:paraId="4F2C8921">
            <w:pPr>
              <w:adjustRightInd w:val="0"/>
              <w:snapToGrid w:val="0"/>
              <w:spacing w:line="300" w:lineRule="exact"/>
              <w:jc w:val="center"/>
              <w:outlineLvl w:val="9"/>
              <w:rPr>
                <w:rFonts w:ascii="Times New Roman" w:hAnsi="Times New Roman" w:eastAsia="宋体" w:cs="Times New Roman"/>
                <w:szCs w:val="21"/>
              </w:rPr>
            </w:pPr>
          </w:p>
        </w:tc>
      </w:tr>
      <w:tr w14:paraId="69CE0A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707F93F">
            <w:pPr>
              <w:adjustRightInd w:val="0"/>
              <w:snapToGrid w:val="0"/>
              <w:spacing w:line="300" w:lineRule="exact"/>
              <w:jc w:val="center"/>
              <w:outlineLvl w:val="9"/>
              <w:rPr>
                <w:rFonts w:ascii="Times New Roman" w:hAnsi="Times New Roman" w:eastAsia="宋体" w:cs="Times New Roman"/>
                <w:szCs w:val="21"/>
              </w:rPr>
            </w:pPr>
          </w:p>
        </w:tc>
        <w:tc>
          <w:tcPr>
            <w:tcW w:w="1436" w:type="pct"/>
            <w:vMerge w:val="continue"/>
            <w:tcBorders>
              <w:left w:val="single" w:color="auto" w:sz="2" w:space="0"/>
              <w:bottom w:val="single" w:color="auto" w:sz="2" w:space="0"/>
              <w:right w:val="single" w:color="auto" w:sz="2" w:space="0"/>
            </w:tcBorders>
            <w:vAlign w:val="center"/>
          </w:tcPr>
          <w:p w14:paraId="0D489A91">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A77C70">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07FF290">
            <w:pPr>
              <w:adjustRightInd w:val="0"/>
              <w:snapToGrid w:val="0"/>
              <w:spacing w:line="300" w:lineRule="exact"/>
              <w:jc w:val="center"/>
              <w:outlineLvl w:val="9"/>
              <w:rPr>
                <w:rFonts w:ascii="Times New Roman" w:hAnsi="Times New Roman" w:eastAsia="宋体" w:cs="Times New Roman"/>
                <w:spacing w:val="20"/>
                <w:szCs w:val="21"/>
              </w:rPr>
            </w:pPr>
          </w:p>
        </w:tc>
      </w:tr>
      <w:tr w14:paraId="396987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5E2C79">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住</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F2FF1AA">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94F42ED">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住</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eastAsia="zh-CN"/>
              </w:rPr>
              <w:t>所</w:t>
            </w:r>
          </w:p>
        </w:tc>
        <w:tc>
          <w:tcPr>
            <w:tcW w:w="1259" w:type="pct"/>
            <w:tcBorders>
              <w:top w:val="single" w:color="auto" w:sz="2" w:space="0"/>
              <w:left w:val="single" w:color="auto" w:sz="2" w:space="0"/>
              <w:bottom w:val="single" w:color="auto" w:sz="2" w:space="0"/>
            </w:tcBorders>
            <w:vAlign w:val="center"/>
          </w:tcPr>
          <w:p w14:paraId="3507C1BF">
            <w:pPr>
              <w:adjustRightInd w:val="0"/>
              <w:snapToGrid w:val="0"/>
              <w:spacing w:line="300" w:lineRule="exact"/>
              <w:jc w:val="center"/>
              <w:outlineLvl w:val="9"/>
              <w:rPr>
                <w:rFonts w:ascii="Times New Roman" w:hAnsi="Times New Roman" w:eastAsia="宋体" w:cs="Times New Roman"/>
                <w:spacing w:val="20"/>
                <w:szCs w:val="21"/>
              </w:rPr>
            </w:pPr>
          </w:p>
        </w:tc>
      </w:tr>
      <w:tr w14:paraId="1B3159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772947">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F228CC2">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4643AE">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 系 人</w:t>
            </w:r>
          </w:p>
        </w:tc>
        <w:tc>
          <w:tcPr>
            <w:tcW w:w="1259" w:type="pct"/>
            <w:tcBorders>
              <w:top w:val="single" w:color="auto" w:sz="2" w:space="0"/>
              <w:left w:val="single" w:color="auto" w:sz="2" w:space="0"/>
              <w:bottom w:val="single" w:color="auto" w:sz="2" w:space="0"/>
            </w:tcBorders>
            <w:vAlign w:val="center"/>
          </w:tcPr>
          <w:p w14:paraId="5FAAF469">
            <w:pPr>
              <w:adjustRightInd w:val="0"/>
              <w:snapToGrid w:val="0"/>
              <w:spacing w:line="300" w:lineRule="exact"/>
              <w:jc w:val="center"/>
              <w:outlineLvl w:val="9"/>
              <w:rPr>
                <w:rFonts w:ascii="Times New Roman" w:hAnsi="Times New Roman" w:eastAsia="宋体" w:cs="Times New Roman"/>
                <w:spacing w:val="20"/>
                <w:szCs w:val="21"/>
              </w:rPr>
            </w:pPr>
          </w:p>
        </w:tc>
      </w:tr>
      <w:tr w14:paraId="1CD9CA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AE757D">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F5C716E">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F406E95">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联系电话</w:t>
            </w:r>
          </w:p>
        </w:tc>
        <w:tc>
          <w:tcPr>
            <w:tcW w:w="1259" w:type="pct"/>
            <w:tcBorders>
              <w:top w:val="single" w:color="auto" w:sz="2" w:space="0"/>
              <w:left w:val="single" w:color="auto" w:sz="2" w:space="0"/>
              <w:bottom w:val="single" w:color="auto" w:sz="2" w:space="0"/>
            </w:tcBorders>
            <w:vAlign w:val="center"/>
          </w:tcPr>
          <w:p w14:paraId="7C77309A">
            <w:pPr>
              <w:adjustRightInd w:val="0"/>
              <w:snapToGrid w:val="0"/>
              <w:spacing w:line="300" w:lineRule="exact"/>
              <w:jc w:val="center"/>
              <w:outlineLvl w:val="9"/>
              <w:rPr>
                <w:rFonts w:ascii="Times New Roman" w:hAnsi="Times New Roman" w:eastAsia="宋体" w:cs="Times New Roman"/>
                <w:spacing w:val="20"/>
                <w:szCs w:val="21"/>
              </w:rPr>
            </w:pPr>
          </w:p>
        </w:tc>
      </w:tr>
      <w:tr w14:paraId="06AE63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CED627">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870EE28">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2FAA2F8">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10260CAA">
            <w:pPr>
              <w:adjustRightInd w:val="0"/>
              <w:snapToGrid w:val="0"/>
              <w:spacing w:line="300" w:lineRule="exact"/>
              <w:jc w:val="center"/>
              <w:outlineLvl w:val="9"/>
              <w:rPr>
                <w:rFonts w:ascii="Times New Roman" w:hAnsi="Times New Roman" w:eastAsia="宋体" w:cs="Times New Roman"/>
                <w:spacing w:val="20"/>
                <w:szCs w:val="21"/>
              </w:rPr>
            </w:pPr>
          </w:p>
        </w:tc>
      </w:tr>
      <w:tr w14:paraId="3583E0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B23FC3">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928D64C">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17BD685">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邮政编码</w:t>
            </w:r>
          </w:p>
        </w:tc>
        <w:tc>
          <w:tcPr>
            <w:tcW w:w="1259" w:type="pct"/>
            <w:tcBorders>
              <w:top w:val="single" w:color="auto" w:sz="2" w:space="0"/>
              <w:left w:val="single" w:color="auto" w:sz="2" w:space="0"/>
              <w:bottom w:val="single" w:color="auto" w:sz="2" w:space="0"/>
            </w:tcBorders>
            <w:vAlign w:val="center"/>
          </w:tcPr>
          <w:p w14:paraId="6154B007">
            <w:pPr>
              <w:adjustRightInd w:val="0"/>
              <w:snapToGrid w:val="0"/>
              <w:spacing w:line="300" w:lineRule="exact"/>
              <w:jc w:val="center"/>
              <w:outlineLvl w:val="9"/>
              <w:rPr>
                <w:rFonts w:ascii="Times New Roman" w:hAnsi="Times New Roman" w:eastAsia="宋体" w:cs="Times New Roman"/>
                <w:spacing w:val="20"/>
                <w:szCs w:val="21"/>
              </w:rPr>
            </w:pPr>
          </w:p>
        </w:tc>
      </w:tr>
      <w:tr w14:paraId="2B9F48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E2649B">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D428340">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9869F5">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1259" w:type="pct"/>
            <w:tcBorders>
              <w:top w:val="single" w:color="auto" w:sz="2" w:space="0"/>
              <w:left w:val="single" w:color="auto" w:sz="2" w:space="0"/>
              <w:bottom w:val="single" w:color="auto" w:sz="2" w:space="0"/>
            </w:tcBorders>
            <w:vAlign w:val="center"/>
          </w:tcPr>
          <w:p w14:paraId="324743F3">
            <w:pPr>
              <w:adjustRightInd w:val="0"/>
              <w:snapToGrid w:val="0"/>
              <w:spacing w:line="300" w:lineRule="exact"/>
              <w:jc w:val="center"/>
              <w:outlineLvl w:val="9"/>
              <w:rPr>
                <w:rFonts w:ascii="Times New Roman" w:hAnsi="Times New Roman" w:eastAsia="宋体" w:cs="Times New Roman"/>
                <w:spacing w:val="20"/>
                <w:szCs w:val="21"/>
              </w:rPr>
            </w:pPr>
          </w:p>
        </w:tc>
      </w:tr>
      <w:tr w14:paraId="4FD8EE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8EB52C">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284E8E5">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E83152E">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统一社会信用代码</w:t>
            </w:r>
          </w:p>
        </w:tc>
        <w:tc>
          <w:tcPr>
            <w:tcW w:w="1259" w:type="pct"/>
            <w:tcBorders>
              <w:top w:val="single" w:color="auto" w:sz="2" w:space="0"/>
              <w:left w:val="single" w:color="auto" w:sz="2" w:space="0"/>
              <w:bottom w:val="single" w:color="auto" w:sz="2" w:space="0"/>
            </w:tcBorders>
            <w:vAlign w:val="center"/>
          </w:tcPr>
          <w:p w14:paraId="7AE466FB">
            <w:pPr>
              <w:adjustRightInd w:val="0"/>
              <w:snapToGrid w:val="0"/>
              <w:spacing w:line="300" w:lineRule="exact"/>
              <w:jc w:val="center"/>
              <w:outlineLvl w:val="9"/>
              <w:rPr>
                <w:rFonts w:ascii="Times New Roman" w:hAnsi="Times New Roman" w:eastAsia="宋体" w:cs="Times New Roman"/>
                <w:spacing w:val="20"/>
                <w:szCs w:val="21"/>
              </w:rPr>
            </w:pPr>
          </w:p>
        </w:tc>
      </w:tr>
      <w:tr w14:paraId="4D6839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BA3782">
            <w:pPr>
              <w:adjustRightInd w:val="0"/>
              <w:snapToGrid w:val="0"/>
              <w:spacing w:line="300" w:lineRule="exact"/>
              <w:jc w:val="center"/>
              <w:outlineLvl w:val="9"/>
              <w:rPr>
                <w:rFonts w:ascii="Times New Roman" w:hAnsi="Times New Roman" w:eastAsia="宋体" w:cs="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37AAA3B">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D9F324">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开户名称</w:t>
            </w:r>
          </w:p>
        </w:tc>
        <w:tc>
          <w:tcPr>
            <w:tcW w:w="1259" w:type="pct"/>
            <w:tcBorders>
              <w:top w:val="single" w:color="auto" w:sz="2" w:space="0"/>
              <w:left w:val="single" w:color="auto" w:sz="2" w:space="0"/>
              <w:bottom w:val="single" w:color="auto" w:sz="2" w:space="0"/>
            </w:tcBorders>
            <w:vAlign w:val="center"/>
          </w:tcPr>
          <w:p w14:paraId="37E68BC9">
            <w:pPr>
              <w:adjustRightInd w:val="0"/>
              <w:snapToGrid w:val="0"/>
              <w:spacing w:line="300" w:lineRule="exact"/>
              <w:jc w:val="center"/>
              <w:outlineLvl w:val="9"/>
              <w:rPr>
                <w:rFonts w:ascii="Times New Roman" w:hAnsi="Times New Roman" w:eastAsia="宋体" w:cs="Times New Roman"/>
                <w:spacing w:val="20"/>
                <w:szCs w:val="21"/>
              </w:rPr>
            </w:pPr>
          </w:p>
        </w:tc>
      </w:tr>
      <w:tr w14:paraId="34960F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E9E62C">
            <w:pPr>
              <w:adjustRightInd w:val="0"/>
              <w:snapToGrid w:val="0"/>
              <w:spacing w:line="300" w:lineRule="exact"/>
              <w:jc w:val="center"/>
              <w:outlineLvl w:val="9"/>
              <w:rPr>
                <w:rFonts w:ascii="Times New Roman" w:hAnsi="Times New Roman" w:eastAsia="宋体" w:cs="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6A74069">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F9FE31">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开户银行</w:t>
            </w:r>
          </w:p>
        </w:tc>
        <w:tc>
          <w:tcPr>
            <w:tcW w:w="1259" w:type="pct"/>
            <w:tcBorders>
              <w:top w:val="single" w:color="auto" w:sz="2" w:space="0"/>
              <w:left w:val="single" w:color="auto" w:sz="2" w:space="0"/>
              <w:bottom w:val="single" w:color="auto" w:sz="2" w:space="0"/>
            </w:tcBorders>
            <w:vAlign w:val="center"/>
          </w:tcPr>
          <w:p w14:paraId="3A48347A">
            <w:pPr>
              <w:adjustRightInd w:val="0"/>
              <w:snapToGrid w:val="0"/>
              <w:spacing w:line="300" w:lineRule="exact"/>
              <w:jc w:val="center"/>
              <w:outlineLvl w:val="9"/>
              <w:rPr>
                <w:rFonts w:ascii="Times New Roman" w:hAnsi="Times New Roman" w:eastAsia="宋体" w:cs="Times New Roman"/>
                <w:spacing w:val="20"/>
                <w:szCs w:val="21"/>
              </w:rPr>
            </w:pPr>
          </w:p>
        </w:tc>
      </w:tr>
      <w:tr w14:paraId="6B7A74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A5A3BE">
            <w:pPr>
              <w:adjustRightInd w:val="0"/>
              <w:snapToGrid w:val="0"/>
              <w:spacing w:line="300" w:lineRule="exact"/>
              <w:jc w:val="center"/>
              <w:outlineLvl w:val="9"/>
              <w:rPr>
                <w:rFonts w:ascii="Times New Roman" w:hAnsi="Times New Roman" w:eastAsia="宋体" w:cs="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84F9B2E">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2152DD">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银行账号</w:t>
            </w:r>
          </w:p>
        </w:tc>
        <w:tc>
          <w:tcPr>
            <w:tcW w:w="1259" w:type="pct"/>
            <w:tcBorders>
              <w:top w:val="single" w:color="auto" w:sz="2" w:space="0"/>
              <w:left w:val="single" w:color="auto" w:sz="2" w:space="0"/>
              <w:bottom w:val="single" w:color="auto" w:sz="2" w:space="0"/>
            </w:tcBorders>
            <w:vAlign w:val="center"/>
          </w:tcPr>
          <w:p w14:paraId="09484066">
            <w:pPr>
              <w:adjustRightInd w:val="0"/>
              <w:snapToGrid w:val="0"/>
              <w:spacing w:line="300" w:lineRule="exact"/>
              <w:jc w:val="center"/>
              <w:outlineLvl w:val="9"/>
              <w:rPr>
                <w:rFonts w:ascii="Times New Roman" w:hAnsi="Times New Roman" w:eastAsia="宋体" w:cs="Times New Roman"/>
                <w:spacing w:val="20"/>
                <w:szCs w:val="21"/>
              </w:rPr>
            </w:pPr>
          </w:p>
        </w:tc>
      </w:tr>
      <w:tr w14:paraId="08B1F1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21845AF">
            <w:pPr>
              <w:widowControl w:val="0"/>
              <w:adjustRightInd w:val="0"/>
              <w:snapToGrid w:val="0"/>
              <w:spacing w:before="156" w:beforeLines="50" w:after="0" w:line="360" w:lineRule="auto"/>
              <w:ind w:left="0" w:leftChars="0"/>
              <w:jc w:val="left"/>
              <w:outlineLvl w:val="9"/>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14:paraId="5855C36C">
      <w:pPr>
        <w:keepNext/>
        <w:keepLines/>
        <w:widowControl w:val="0"/>
        <w:adjustRightInd w:val="0"/>
        <w:snapToGrid w:val="0"/>
        <w:spacing w:before="156" w:beforeLines="50" w:line="360" w:lineRule="auto"/>
        <w:jc w:val="center"/>
        <w:outlineLvl w:val="9"/>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135" w:name="_Toc27624"/>
      <w:r>
        <w:rPr>
          <w:rFonts w:hint="eastAsia" w:ascii="黑体" w:hAnsi="黑体" w:eastAsia="黑体" w:cs="Times New Roman"/>
          <w:b w:val="0"/>
          <w:bCs w:val="0"/>
          <w:kern w:val="2"/>
          <w:sz w:val="28"/>
          <w:szCs w:val="28"/>
          <w:lang w:val="en-US" w:eastAsia="zh-CN" w:bidi="ar-SA"/>
        </w:rPr>
        <w:t>第二节 政府采购合同通用条款</w:t>
      </w:r>
      <w:bookmarkEnd w:id="135"/>
    </w:p>
    <w:p w14:paraId="2F87282E">
      <w:pPr>
        <w:tabs>
          <w:tab w:val="left" w:pos="8820"/>
          <w:tab w:val="left" w:pos="9345"/>
          <w:tab w:val="left" w:pos="9765"/>
        </w:tabs>
        <w:adjustRightInd w:val="0"/>
        <w:snapToGrid w:val="0"/>
        <w:spacing w:before="0" w:line="400" w:lineRule="exact"/>
        <w:jc w:val="left"/>
        <w:outlineLvl w:val="9"/>
        <w:rPr>
          <w:rFonts w:ascii="宋体" w:hAnsi="宋体" w:eastAsia="宋体" w:cs="Times New Roman"/>
          <w:b/>
          <w:bCs/>
          <w:sz w:val="24"/>
          <w:szCs w:val="24"/>
        </w:rPr>
      </w:pPr>
      <w:r>
        <w:rPr>
          <w:rFonts w:hint="eastAsia" w:ascii="宋体" w:hAnsi="宋体" w:eastAsia="宋体" w:cs="Times New Roman"/>
          <w:b/>
          <w:sz w:val="24"/>
          <w:szCs w:val="24"/>
        </w:rPr>
        <w:t>1.</w:t>
      </w:r>
      <w:r>
        <w:rPr>
          <w:rFonts w:hint="eastAsia" w:ascii="宋体" w:hAnsi="宋体" w:eastAsia="宋体" w:cs="Times New Roman"/>
          <w:b/>
          <w:sz w:val="24"/>
          <w:szCs w:val="24"/>
          <w:lang w:val="en-US" w:eastAsia="zh-CN"/>
        </w:rPr>
        <w:t xml:space="preserve"> </w:t>
      </w:r>
      <w:r>
        <w:rPr>
          <w:rFonts w:hint="eastAsia" w:ascii="宋体" w:hAnsi="宋体" w:eastAsia="宋体" w:cs="Times New Roman"/>
          <w:b/>
          <w:bCs/>
          <w:sz w:val="24"/>
          <w:szCs w:val="24"/>
        </w:rPr>
        <w:t>定义</w:t>
      </w:r>
    </w:p>
    <w:p w14:paraId="6094FF1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1.1合同当事人</w:t>
      </w:r>
    </w:p>
    <w:p w14:paraId="6348D5A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（1）采购人（以下称甲方）是指使用财政性资金，通过政府采购方式向供应商购买货物</w:t>
      </w:r>
      <w:r>
        <w:rPr>
          <w:rFonts w:hint="eastAsia" w:ascii="宋体" w:hAnsi="宋体" w:eastAsia="宋体" w:cs="Times New Roman"/>
          <w:color w:val="auto"/>
          <w:szCs w:val="21"/>
          <w:highlight w:val="none"/>
          <w:lang w:val="en-US" w:eastAsia="zh-CN"/>
        </w:rPr>
        <w:t>及其相关服务的</w:t>
      </w:r>
      <w:r>
        <w:rPr>
          <w:rFonts w:hint="eastAsia" w:ascii="宋体" w:hAnsi="宋体" w:eastAsia="宋体" w:cs="Times New Roman"/>
          <w:color w:val="auto"/>
          <w:szCs w:val="21"/>
          <w:highlight w:val="none"/>
        </w:rPr>
        <w:t>国家机关、事业单位、团体组织。</w:t>
      </w:r>
    </w:p>
    <w:p w14:paraId="511A829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（2）供应商（以下称</w:t>
      </w:r>
      <w:r>
        <w:rPr>
          <w:rFonts w:hint="eastAsia" w:ascii="宋体" w:hAnsi="宋体" w:eastAsia="宋体" w:cs="Times New Roman"/>
          <w:color w:val="auto"/>
          <w:szCs w:val="21"/>
          <w:highlight w:val="none"/>
          <w:lang w:eastAsia="zh-CN"/>
        </w:rPr>
        <w:t>乙</w:t>
      </w:r>
      <w:r>
        <w:rPr>
          <w:rFonts w:hint="eastAsia" w:ascii="宋体" w:hAnsi="宋体" w:eastAsia="宋体" w:cs="Times New Roman"/>
          <w:color w:val="auto"/>
          <w:szCs w:val="21"/>
          <w:highlight w:val="none"/>
        </w:rPr>
        <w:t>方）是指参加政府采购活动并且中标（成交），向采购人提供</w:t>
      </w:r>
      <w:r>
        <w:rPr>
          <w:rFonts w:hint="eastAsia" w:ascii="宋体" w:hAnsi="宋体" w:eastAsia="宋体" w:cs="Times New Roman"/>
          <w:color w:val="auto"/>
          <w:szCs w:val="21"/>
          <w:highlight w:val="none"/>
          <w:lang w:val="en-US" w:eastAsia="zh-CN"/>
        </w:rPr>
        <w:t>合同约定的货物及其相关服务的法人、非法人组织或者自然人</w:t>
      </w:r>
      <w:r>
        <w:rPr>
          <w:rFonts w:hint="eastAsia" w:ascii="宋体" w:hAnsi="宋体" w:eastAsia="宋体" w:cs="Times New Roman"/>
          <w:color w:val="auto"/>
          <w:szCs w:val="21"/>
          <w:highlight w:val="none"/>
        </w:rPr>
        <w:t>。</w:t>
      </w:r>
    </w:p>
    <w:p w14:paraId="7CCC7AF5">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s="Times New Roman"/>
          <w:color w:val="auto"/>
          <w:szCs w:val="21"/>
          <w:highlight w:val="none"/>
        </w:rPr>
        <w:t>。</w:t>
      </w:r>
    </w:p>
    <w:p w14:paraId="348A6994">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1.2本合同下列术语应解释为：</w:t>
      </w:r>
    </w:p>
    <w:p w14:paraId="6F4E34FF">
      <w:pPr>
        <w:adjustRightInd w:val="0"/>
        <w:snapToGrid w:val="0"/>
        <w:spacing w:before="0" w:beforeLines="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s="Times New Roman"/>
          <w:color w:val="auto"/>
          <w:szCs w:val="21"/>
          <w:lang w:eastAsia="zh-CN"/>
        </w:rPr>
        <w:t>政府采购</w:t>
      </w:r>
      <w:r>
        <w:rPr>
          <w:rFonts w:hint="eastAsia" w:ascii="宋体" w:hAnsi="宋体" w:eastAsia="宋体" w:cs="Times New Roman"/>
          <w:color w:val="auto"/>
          <w:szCs w:val="21"/>
        </w:rPr>
        <w:t>合同协议书及其变更、补充</w:t>
      </w:r>
      <w:r>
        <w:rPr>
          <w:rFonts w:hint="eastAsia" w:ascii="宋体" w:hAnsi="宋体" w:eastAsia="宋体" w:cs="Times New Roman"/>
          <w:color w:val="auto"/>
          <w:szCs w:val="21"/>
          <w:lang w:eastAsia="zh-CN"/>
        </w:rPr>
        <w:t>协议，</w:t>
      </w:r>
      <w:r>
        <w:rPr>
          <w:rFonts w:hint="eastAsia" w:ascii="宋体" w:hAnsi="宋体" w:eastAsia="宋体" w:cs="Times New Roman"/>
          <w:szCs w:val="21"/>
        </w:rPr>
        <w:t>政府采购合同专用条款</w:t>
      </w:r>
      <w:r>
        <w:rPr>
          <w:rFonts w:hint="eastAsia" w:ascii="宋体" w:hAnsi="宋体" w:eastAsia="宋体" w:cs="Times New Roman"/>
          <w:szCs w:val="21"/>
          <w:lang w:eastAsia="zh-CN"/>
        </w:rPr>
        <w:t>，</w:t>
      </w:r>
      <w:r>
        <w:rPr>
          <w:rFonts w:hint="eastAsia" w:ascii="宋体" w:hAnsi="宋体" w:eastAsia="宋体" w:cs="Times New Roman"/>
          <w:szCs w:val="21"/>
        </w:rPr>
        <w:t>政府采购合同通用条款</w:t>
      </w:r>
      <w:r>
        <w:rPr>
          <w:rFonts w:hint="eastAsia" w:ascii="宋体" w:hAnsi="宋体" w:eastAsia="宋体" w:cs="Times New Roman"/>
          <w:szCs w:val="21"/>
          <w:lang w:eastAsia="zh-CN"/>
        </w:rPr>
        <w:t>，</w:t>
      </w:r>
      <w:r>
        <w:rPr>
          <w:rFonts w:hint="eastAsia" w:ascii="宋体" w:hAnsi="宋体" w:eastAsia="宋体" w:cs="Times New Roman"/>
          <w:color w:val="auto"/>
          <w:szCs w:val="21"/>
        </w:rPr>
        <w:t>中标</w:t>
      </w:r>
      <w:r>
        <w:rPr>
          <w:rFonts w:hint="eastAsia" w:ascii="宋体" w:hAnsi="宋体" w:eastAsia="宋体" w:cs="Times New Roman"/>
          <w:color w:val="auto"/>
          <w:szCs w:val="21"/>
          <w:lang w:eastAsia="zh-CN"/>
        </w:rPr>
        <w:t>（成交）</w:t>
      </w:r>
      <w:r>
        <w:rPr>
          <w:rFonts w:hint="eastAsia" w:ascii="宋体" w:hAnsi="宋体" w:eastAsia="宋体" w:cs="Times New Roman"/>
          <w:color w:val="auto"/>
          <w:szCs w:val="21"/>
        </w:rPr>
        <w:t>通知书</w:t>
      </w:r>
      <w:r>
        <w:rPr>
          <w:rFonts w:hint="eastAsia" w:ascii="宋体" w:hAnsi="宋体" w:eastAsia="宋体" w:cs="Times New Roman"/>
          <w:color w:val="auto"/>
          <w:szCs w:val="21"/>
          <w:lang w:eastAsia="zh-CN"/>
        </w:rPr>
        <w:t>，</w:t>
      </w:r>
      <w:r>
        <w:rPr>
          <w:rFonts w:hint="eastAsia" w:ascii="宋体" w:hAnsi="宋体" w:eastAsia="宋体" w:cs="Times New Roman"/>
          <w:szCs w:val="21"/>
        </w:rPr>
        <w:t>投标（响应）文件</w:t>
      </w:r>
      <w:r>
        <w:rPr>
          <w:rFonts w:hint="eastAsia" w:ascii="宋体" w:hAnsi="宋体" w:eastAsia="宋体" w:cs="Times New Roman"/>
          <w:szCs w:val="21"/>
          <w:lang w:eastAsia="zh-CN"/>
        </w:rPr>
        <w:t>，</w:t>
      </w:r>
      <w:r>
        <w:rPr>
          <w:rFonts w:hint="eastAsia" w:ascii="宋体" w:hAnsi="宋体" w:eastAsia="宋体" w:cs="Times New Roman"/>
          <w:szCs w:val="21"/>
        </w:rPr>
        <w:t>采购文件</w:t>
      </w:r>
      <w:r>
        <w:rPr>
          <w:rFonts w:hint="eastAsia" w:ascii="宋体" w:hAnsi="宋体" w:eastAsia="宋体" w:cs="Times New Roman"/>
          <w:szCs w:val="21"/>
          <w:lang w:eastAsia="zh-CN"/>
        </w:rPr>
        <w:t>，</w:t>
      </w:r>
      <w:r>
        <w:rPr>
          <w:rFonts w:hint="eastAsia" w:ascii="宋体" w:hAnsi="宋体" w:eastAsia="宋体" w:cs="Times New Roman"/>
          <w:szCs w:val="21"/>
        </w:rPr>
        <w:t>有关技术文件</w:t>
      </w:r>
      <w:r>
        <w:rPr>
          <w:rFonts w:hint="eastAsia" w:ascii="宋体" w:hAnsi="宋体" w:eastAsia="宋体" w:cs="Times New Roman"/>
          <w:szCs w:val="21"/>
          <w:lang w:eastAsia="zh-CN"/>
        </w:rPr>
        <w:t>和</w:t>
      </w:r>
      <w:r>
        <w:rPr>
          <w:rFonts w:hint="eastAsia" w:ascii="宋体" w:hAnsi="宋体" w:eastAsia="宋体" w:cs="Times New Roman"/>
          <w:szCs w:val="21"/>
        </w:rPr>
        <w:t>图纸</w:t>
      </w:r>
      <w:r>
        <w:rPr>
          <w:rFonts w:hint="eastAsia" w:ascii="宋体" w:hAnsi="宋体" w:eastAsia="宋体" w:cs="Times New Roman"/>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s="Times New Roman"/>
          <w:color w:val="auto"/>
          <w:szCs w:val="21"/>
          <w:highlight w:val="none"/>
        </w:rPr>
        <w:t>。</w:t>
      </w:r>
    </w:p>
    <w:p w14:paraId="65938CF8">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）“合同价</w:t>
      </w:r>
      <w:r>
        <w:rPr>
          <w:rFonts w:hint="eastAsia" w:ascii="宋体" w:hAnsi="宋体" w:eastAsia="宋体" w:cs="Times New Roman"/>
          <w:color w:val="auto"/>
          <w:szCs w:val="21"/>
          <w:highlight w:val="none"/>
          <w:lang w:val="en-US" w:eastAsia="zh-CN"/>
        </w:rPr>
        <w:t>款</w:t>
      </w:r>
      <w:r>
        <w:rPr>
          <w:rFonts w:hint="eastAsia" w:ascii="宋体" w:hAnsi="宋体" w:eastAsia="宋体" w:cs="Times New Roman"/>
          <w:color w:val="auto"/>
          <w:szCs w:val="21"/>
          <w:highlight w:val="none"/>
        </w:rPr>
        <w:t>”系指根据本合同规定乙方在全面履行合同义务后甲方应支付给乙方的价款。</w:t>
      </w:r>
    </w:p>
    <w:p w14:paraId="0E29E07E">
      <w:pPr>
        <w:tabs>
          <w:tab w:val="left" w:pos="570"/>
          <w:tab w:val="left" w:pos="9240"/>
          <w:tab w:val="left" w:pos="9555"/>
        </w:tabs>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lang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）“货物”系指乙方根据本合同规定须向甲方提供的各种形态和种类的物品，包括原材料、设备、产品（</w:t>
      </w:r>
      <w:r>
        <w:rPr>
          <w:rFonts w:hint="eastAsia" w:ascii="宋体" w:hAnsi="宋体" w:eastAsia="宋体" w:cs="Times New Roman"/>
          <w:color w:val="000000"/>
          <w:szCs w:val="21"/>
          <w:highlight w:val="none"/>
        </w:rPr>
        <w:t>包括软件）及相关的其备品备件、工具、手册及</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技术资料和材料</w:t>
      </w:r>
      <w:r>
        <w:rPr>
          <w:rFonts w:hint="eastAsia" w:ascii="宋体" w:hAnsi="宋体" w:eastAsia="宋体" w:cs="Times New Roman"/>
          <w:color w:val="000000"/>
          <w:szCs w:val="21"/>
          <w:highlight w:val="none"/>
          <w:lang w:eastAsia="zh-CN"/>
        </w:rPr>
        <w:t>等</w:t>
      </w:r>
      <w:r>
        <w:rPr>
          <w:rFonts w:hint="eastAsia" w:ascii="宋体" w:hAnsi="宋体" w:eastAsia="宋体" w:cs="Times New Roman"/>
          <w:color w:val="000000"/>
          <w:szCs w:val="21"/>
          <w:highlight w:val="none"/>
        </w:rPr>
        <w:t>。</w:t>
      </w:r>
    </w:p>
    <w:p w14:paraId="0CFA7209">
      <w:pPr>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yellow"/>
          <w:lang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auto"/>
          <w:szCs w:val="21"/>
          <w:highlight w:val="none"/>
          <w:lang w:val="en-US" w:eastAsia="zh-CN"/>
        </w:rPr>
        <w:t>相关</w:t>
      </w:r>
      <w:r>
        <w:rPr>
          <w:rFonts w:hint="eastAsia" w:ascii="宋体" w:hAnsi="宋体" w:eastAsia="宋体" w:cs="Times New Roman"/>
          <w:color w:val="000000"/>
          <w:szCs w:val="21"/>
          <w:highlight w:val="none"/>
        </w:rPr>
        <w:t>服务”系指根据合同规定，乙方应提供的</w:t>
      </w:r>
      <w:r>
        <w:rPr>
          <w:rFonts w:hint="eastAsia" w:ascii="宋体" w:hAnsi="宋体" w:eastAsia="宋体" w:cs="Times New Roman"/>
          <w:color w:val="000000"/>
          <w:szCs w:val="21"/>
          <w:highlight w:val="none"/>
          <w:lang w:val="en-US" w:eastAsia="zh-CN"/>
        </w:rPr>
        <w:t>与货物有关的</w:t>
      </w:r>
      <w:r>
        <w:rPr>
          <w:rFonts w:hint="eastAsia" w:ascii="宋体" w:hAnsi="宋体" w:eastAsia="宋体" w:cs="Times New Roman"/>
          <w:color w:val="000000"/>
          <w:szCs w:val="21"/>
          <w:highlight w:val="none"/>
        </w:rPr>
        <w:t>技术、管理和</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服务，包括但不限于：管理和质量保证、运输、保险、检验、现场准备、安装、集成、调试、培训、维修、</w:t>
      </w:r>
      <w:r>
        <w:rPr>
          <w:rFonts w:hint="eastAsia" w:ascii="宋体" w:hAnsi="宋体" w:eastAsia="宋体" w:cs="Times New Roman"/>
          <w:color w:val="000000"/>
          <w:szCs w:val="21"/>
          <w:highlight w:val="none"/>
          <w:lang w:eastAsia="zh-CN"/>
        </w:rPr>
        <w:t>废弃处置、</w:t>
      </w:r>
      <w:r>
        <w:rPr>
          <w:rFonts w:hint="eastAsia" w:ascii="宋体" w:hAnsi="宋体" w:eastAsia="宋体" w:cs="Times New Roman"/>
          <w:color w:val="000000"/>
          <w:szCs w:val="21"/>
          <w:highlight w:val="none"/>
        </w:rPr>
        <w:t>技术支持等以及合同中规定乙方应承担的</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义务。</w:t>
      </w:r>
    </w:p>
    <w:p w14:paraId="7BF51469">
      <w:pPr>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yellow"/>
          <w:lang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）“分包”系指中标</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成交</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供应商按采购文件、投标（响应）文件的规定，根据分包意向协议，将中标</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成交</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项目中的部分履约内容，分给具有相应资质条件的供应商履行合同的行为。</w:t>
      </w:r>
    </w:p>
    <w:p w14:paraId="7C9D24C5">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Times New Roman"/>
          <w:szCs w:val="21"/>
        </w:rPr>
        <w:t>“联合体”系指</w:t>
      </w:r>
      <w:r>
        <w:rPr>
          <w:rFonts w:hint="eastAsia" w:ascii="宋体" w:hAnsi="宋体" w:eastAsia="宋体" w:cs="Times New Roman"/>
          <w:szCs w:val="21"/>
          <w:lang w:eastAsia="zh-CN"/>
        </w:rPr>
        <w:t>由</w:t>
      </w:r>
      <w:r>
        <w:rPr>
          <w:rFonts w:hint="eastAsia" w:ascii="宋体" w:hAnsi="宋体" w:eastAsia="宋体" w:cs="Times New Roman"/>
          <w:szCs w:val="21"/>
        </w:rPr>
        <w:t>两个以上的自然人、法人或者</w:t>
      </w:r>
      <w:r>
        <w:rPr>
          <w:rFonts w:hint="eastAsia" w:ascii="宋体" w:hAnsi="宋体" w:eastAsia="宋体" w:cs="Times New Roman"/>
          <w:szCs w:val="21"/>
          <w:lang w:val="en-US" w:eastAsia="zh-CN"/>
        </w:rPr>
        <w:t>非法人</w:t>
      </w:r>
      <w:r>
        <w:rPr>
          <w:rFonts w:hint="eastAsia" w:ascii="宋体" w:hAnsi="宋体" w:eastAsia="宋体" w:cs="Times New Roman"/>
          <w:szCs w:val="21"/>
        </w:rPr>
        <w:t>组织组成，</w:t>
      </w:r>
      <w:r>
        <w:rPr>
          <w:rFonts w:hint="eastAsia" w:ascii="宋体" w:hAnsi="宋体" w:eastAsia="宋体" w:cs="Times New Roman"/>
          <w:szCs w:val="21"/>
          <w:lang w:eastAsia="zh-CN"/>
        </w:rPr>
        <w:t>以一个供应商的身份共同参加政府采购的主体</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Times New Roman"/>
          <w:color w:val="000000"/>
          <w:szCs w:val="21"/>
          <w:highlight w:val="none"/>
          <w:lang w:eastAsia="zh-CN"/>
        </w:rPr>
        <w:t>甲方</w:t>
      </w:r>
      <w:r>
        <w:rPr>
          <w:rFonts w:hint="eastAsia" w:ascii="宋体" w:hAnsi="宋体" w:eastAsia="宋体" w:cs="Times New Roman"/>
          <w:color w:val="000000"/>
          <w:szCs w:val="21"/>
          <w:highlight w:val="none"/>
        </w:rPr>
        <w:t>承担连带责任。联合体具体要求见【</w:t>
      </w:r>
      <w:r>
        <w:rPr>
          <w:rFonts w:hint="eastAsia" w:ascii="宋体" w:hAnsi="宋体" w:eastAsia="宋体" w:cs="Times New Roman"/>
          <w:b/>
          <w:bCs/>
          <w:color w:val="000000"/>
          <w:szCs w:val="21"/>
          <w:highlight w:val="none"/>
        </w:rPr>
        <w:t>政府采购合同专用条款</w:t>
      </w:r>
      <w:r>
        <w:rPr>
          <w:rFonts w:hint="eastAsia" w:ascii="宋体" w:hAnsi="宋体" w:eastAsia="宋体" w:cs="Times New Roman"/>
          <w:color w:val="000000"/>
          <w:szCs w:val="21"/>
          <w:highlight w:val="none"/>
        </w:rPr>
        <w:t>】。</w:t>
      </w:r>
    </w:p>
    <w:p w14:paraId="392B95BF">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）其他术语解释，见【</w:t>
      </w:r>
      <w:r>
        <w:rPr>
          <w:rFonts w:hint="eastAsia" w:ascii="宋体" w:hAnsi="宋体" w:eastAsia="宋体" w:cs="Times New Roman"/>
          <w:b/>
          <w:bCs/>
          <w:color w:val="000000"/>
          <w:szCs w:val="21"/>
          <w:highlight w:val="none"/>
        </w:rPr>
        <w:t>政府采购合同专用条款</w:t>
      </w:r>
      <w:r>
        <w:rPr>
          <w:rFonts w:hint="eastAsia" w:ascii="宋体" w:hAnsi="宋体" w:eastAsia="宋体" w:cs="Times New Roman"/>
          <w:color w:val="000000"/>
          <w:szCs w:val="21"/>
          <w:highlight w:val="none"/>
        </w:rPr>
        <w:t>】。</w:t>
      </w:r>
    </w:p>
    <w:p w14:paraId="722308D1">
      <w:pPr>
        <w:numPr>
          <w:ilvl w:val="0"/>
          <w:numId w:val="19"/>
        </w:num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color w:val="000000"/>
          <w:sz w:val="24"/>
          <w:szCs w:val="24"/>
          <w:highlight w:val="none"/>
        </w:rPr>
        <w:t>合同标的及金额</w:t>
      </w:r>
    </w:p>
    <w:p w14:paraId="2202836A">
      <w:pPr>
        <w:autoSpaceDE w:val="0"/>
        <w:autoSpaceDN w:val="0"/>
        <w:adjustRightInd w:val="0"/>
        <w:snapToGrid w:val="0"/>
        <w:spacing w:before="0" w:line="400" w:lineRule="exact"/>
        <w:ind w:firstLine="420" w:firstLineChars="200"/>
        <w:jc w:val="left"/>
        <w:outlineLvl w:val="9"/>
        <w:rPr>
          <w:rFonts w:ascii="宋体" w:hAnsi="宋体" w:eastAsia="宋体" w:cs="Times New Roman"/>
          <w:b/>
          <w:bCs/>
          <w:i/>
          <w:iCs/>
          <w:color w:val="000000"/>
          <w:szCs w:val="21"/>
          <w:highlight w:val="none"/>
        </w:rPr>
      </w:pPr>
      <w:r>
        <w:rPr>
          <w:rFonts w:hint="eastAsia" w:ascii="宋体" w:hAnsi="宋体" w:eastAsia="宋体" w:cs="Times New Roman"/>
          <w:color w:val="000000"/>
          <w:szCs w:val="21"/>
          <w:highlight w:val="none"/>
          <w:lang w:eastAsia="zh-CN"/>
        </w:rPr>
        <w:t>2</w:t>
      </w:r>
      <w:r>
        <w:rPr>
          <w:rFonts w:hint="eastAsia" w:ascii="宋体" w:hAnsi="宋体" w:eastAsia="宋体" w:cs="Times New Roman"/>
          <w:color w:val="000000"/>
          <w:szCs w:val="21"/>
          <w:highlight w:val="none"/>
        </w:rPr>
        <w:t>.1 合同标的及金额应与中标（成交）结果一致。乙方为履行本合同而发生的所有费用均应包含在合同</w:t>
      </w:r>
      <w:r>
        <w:rPr>
          <w:rFonts w:hint="eastAsia" w:ascii="宋体" w:hAnsi="宋体" w:eastAsia="宋体" w:cs="Times New Roman"/>
          <w:color w:val="000000"/>
          <w:szCs w:val="21"/>
          <w:highlight w:val="none"/>
          <w:lang w:eastAsia="zh-CN"/>
        </w:rPr>
        <w:t>价款</w:t>
      </w:r>
      <w:r>
        <w:rPr>
          <w:rFonts w:hint="eastAsia" w:ascii="宋体" w:hAnsi="宋体" w:eastAsia="宋体" w:cs="Times New Roman"/>
          <w:color w:val="000000"/>
          <w:szCs w:val="21"/>
          <w:highlight w:val="none"/>
        </w:rPr>
        <w:t>中，甲方不再另行支付</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任何费用。</w:t>
      </w:r>
    </w:p>
    <w:p w14:paraId="70AE3D5F">
      <w:pPr>
        <w:adjustRightInd w:val="0"/>
        <w:snapToGrid w:val="0"/>
        <w:spacing w:before="0" w:line="400" w:lineRule="exact"/>
        <w:jc w:val="left"/>
        <w:outlineLvl w:val="9"/>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lang w:eastAsia="zh-CN"/>
        </w:rPr>
        <w:t>3</w:t>
      </w:r>
      <w:r>
        <w:rPr>
          <w:rFonts w:hint="eastAsia" w:ascii="宋体" w:hAnsi="宋体" w:eastAsia="宋体" w:cs="Times New Roman"/>
          <w:b/>
          <w:color w:val="000000"/>
          <w:sz w:val="24"/>
          <w:szCs w:val="24"/>
          <w:highlight w:val="none"/>
          <w:lang w:val="en-US" w:eastAsia="zh-CN"/>
        </w:rPr>
        <w:t xml:space="preserve">. </w:t>
      </w:r>
      <w:r>
        <w:rPr>
          <w:rFonts w:hint="eastAsia" w:ascii="宋体" w:hAnsi="宋体" w:eastAsia="宋体" w:cs="Times New Roman"/>
          <w:b/>
          <w:color w:val="000000"/>
          <w:sz w:val="24"/>
          <w:szCs w:val="24"/>
          <w:highlight w:val="none"/>
        </w:rPr>
        <w:t>履行合同的时间、地点和方式</w:t>
      </w:r>
    </w:p>
    <w:p w14:paraId="2DEB797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3</w:t>
      </w:r>
      <w:r>
        <w:rPr>
          <w:rFonts w:hint="eastAsia" w:ascii="宋体" w:hAnsi="宋体" w:eastAsia="宋体" w:cs="Times New Roman"/>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351867F8">
      <w:p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4</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甲方的权利和义务</w:t>
      </w:r>
    </w:p>
    <w:p w14:paraId="3C8E897C">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.1</w:t>
      </w:r>
      <w:r>
        <w:rPr>
          <w:rFonts w:ascii="宋体" w:hAnsi="宋体" w:eastAsia="宋体" w:cs="Times New Roman"/>
          <w:color w:val="000000"/>
          <w:szCs w:val="21"/>
          <w:highlight w:val="none"/>
        </w:rPr>
        <w:t xml:space="preserve"> 签署合同后，甲方</w:t>
      </w:r>
      <w:r>
        <w:rPr>
          <w:rFonts w:hint="eastAsia" w:ascii="宋体" w:hAnsi="宋体" w:eastAsia="宋体" w:cs="Times New Roman"/>
          <w:color w:val="000000"/>
          <w:szCs w:val="21"/>
          <w:highlight w:val="none"/>
          <w:lang w:eastAsia="zh-CN"/>
        </w:rPr>
        <w:t>应</w:t>
      </w:r>
      <w:r>
        <w:rPr>
          <w:rFonts w:ascii="宋体" w:hAnsi="宋体" w:eastAsia="宋体" w:cs="Times New Roman"/>
          <w:color w:val="000000"/>
          <w:szCs w:val="21"/>
          <w:highlight w:val="none"/>
        </w:rPr>
        <w:t>确定</w:t>
      </w:r>
      <w:r>
        <w:rPr>
          <w:rFonts w:hint="eastAsia" w:ascii="宋体" w:hAnsi="宋体" w:eastAsia="宋体" w:cs="Times New Roman"/>
          <w:color w:val="000000"/>
          <w:szCs w:val="21"/>
          <w:highlight w:val="none"/>
          <w:lang w:val="en-US" w:eastAsia="zh-CN"/>
        </w:rPr>
        <w:t>项目负责人（或项目联系人）</w:t>
      </w:r>
      <w:r>
        <w:rPr>
          <w:rFonts w:ascii="宋体" w:hAnsi="宋体" w:eastAsia="宋体" w:cs="Times New Roman"/>
          <w:color w:val="000000"/>
          <w:szCs w:val="21"/>
          <w:highlight w:val="none"/>
        </w:rPr>
        <w:t>，负责与本合同有关的事务。</w:t>
      </w:r>
      <w:r>
        <w:rPr>
          <w:rFonts w:hint="eastAsia" w:ascii="宋体" w:hAnsi="宋体" w:eastAsia="宋体" w:cs="Times New Roman"/>
          <w:color w:val="000000"/>
          <w:szCs w:val="21"/>
          <w:highlight w:val="none"/>
        </w:rPr>
        <w:t>甲方有权对乙方的履约行为进行检查，并</w:t>
      </w:r>
      <w:r>
        <w:rPr>
          <w:rFonts w:ascii="宋体" w:hAnsi="宋体" w:eastAsia="宋体" w:cs="Times New Roman"/>
          <w:color w:val="000000"/>
          <w:szCs w:val="21"/>
          <w:highlight w:val="none"/>
        </w:rPr>
        <w:t>及时确认乙方提交的事项</w:t>
      </w:r>
      <w:r>
        <w:rPr>
          <w:rFonts w:hint="eastAsia" w:ascii="宋体" w:hAnsi="宋体" w:eastAsia="宋体" w:cs="Times New Roman"/>
          <w:color w:val="000000"/>
          <w:szCs w:val="21"/>
          <w:highlight w:val="none"/>
        </w:rPr>
        <w:t>。甲方应当</w:t>
      </w:r>
      <w:r>
        <w:rPr>
          <w:rFonts w:ascii="宋体" w:hAnsi="宋体" w:eastAsia="宋体" w:cs="Times New Roman"/>
          <w:color w:val="000000"/>
          <w:szCs w:val="21"/>
          <w:highlight w:val="none"/>
        </w:rPr>
        <w:t>配合乙方完成</w:t>
      </w:r>
      <w:r>
        <w:rPr>
          <w:rFonts w:hint="eastAsia" w:ascii="宋体" w:hAnsi="宋体" w:eastAsia="宋体" w:cs="Times New Roman"/>
          <w:color w:val="000000"/>
          <w:szCs w:val="21"/>
          <w:highlight w:val="none"/>
        </w:rPr>
        <w:t>相关项目</w:t>
      </w:r>
      <w:r>
        <w:rPr>
          <w:rFonts w:ascii="宋体" w:hAnsi="宋体" w:eastAsia="宋体" w:cs="Times New Roman"/>
          <w:color w:val="000000"/>
          <w:szCs w:val="21"/>
          <w:highlight w:val="none"/>
        </w:rPr>
        <w:t>实施工作。</w:t>
      </w:r>
    </w:p>
    <w:p w14:paraId="7D9A4C74">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 xml:space="preserve">.2 </w:t>
      </w:r>
      <w:r>
        <w:rPr>
          <w:rFonts w:ascii="宋体" w:hAnsi="宋体" w:eastAsia="宋体" w:cs="Times New Roman"/>
          <w:color w:val="000000"/>
          <w:szCs w:val="21"/>
          <w:highlight w:val="none"/>
        </w:rPr>
        <w:t>甲方有权要求乙方按时提交各阶段有关</w:t>
      </w:r>
      <w:r>
        <w:rPr>
          <w:rFonts w:hint="eastAsia" w:ascii="宋体" w:hAnsi="宋体" w:eastAsia="宋体" w:cs="Times New Roman"/>
          <w:color w:val="000000"/>
          <w:szCs w:val="21"/>
          <w:highlight w:val="none"/>
        </w:rPr>
        <w:t>安排计划</w:t>
      </w:r>
      <w:r>
        <w:rPr>
          <w:rFonts w:ascii="宋体" w:hAnsi="宋体" w:eastAsia="宋体" w:cs="Times New Roman"/>
          <w:color w:val="000000"/>
          <w:szCs w:val="21"/>
          <w:highlight w:val="none"/>
        </w:rPr>
        <w:t>，并有权</w:t>
      </w:r>
      <w:r>
        <w:rPr>
          <w:rFonts w:hint="eastAsia" w:ascii="宋体" w:hAnsi="宋体" w:eastAsia="宋体" w:cs="Times New Roman"/>
          <w:color w:val="000000"/>
          <w:szCs w:val="21"/>
          <w:highlight w:val="none"/>
        </w:rPr>
        <w:t>定期核对乙方提供货物数量、规格、质量等内容。甲方</w:t>
      </w:r>
      <w:r>
        <w:rPr>
          <w:rFonts w:ascii="宋体" w:hAnsi="宋体" w:eastAsia="宋体" w:cs="Times New Roman"/>
          <w:color w:val="000000"/>
          <w:szCs w:val="21"/>
          <w:highlight w:val="none"/>
        </w:rPr>
        <w:t>有权督促乙方工作并要求乙方</w:t>
      </w:r>
      <w:r>
        <w:rPr>
          <w:rFonts w:hint="eastAsia" w:ascii="宋体" w:hAnsi="宋体" w:eastAsia="宋体" w:cs="Times New Roman"/>
          <w:color w:val="000000"/>
          <w:szCs w:val="21"/>
          <w:highlight w:val="none"/>
        </w:rPr>
        <w:t>更</w:t>
      </w:r>
      <w:r>
        <w:rPr>
          <w:rFonts w:ascii="宋体" w:hAnsi="宋体" w:eastAsia="宋体" w:cs="Times New Roman"/>
          <w:color w:val="000000"/>
          <w:szCs w:val="21"/>
          <w:highlight w:val="none"/>
        </w:rPr>
        <w:t>换不符合要求的</w:t>
      </w:r>
      <w:r>
        <w:rPr>
          <w:rFonts w:hint="eastAsia" w:ascii="宋体" w:hAnsi="宋体" w:eastAsia="宋体" w:cs="Times New Roman"/>
          <w:color w:val="000000"/>
          <w:szCs w:val="21"/>
          <w:highlight w:val="none"/>
        </w:rPr>
        <w:t>货物</w:t>
      </w:r>
      <w:r>
        <w:rPr>
          <w:rFonts w:ascii="宋体" w:hAnsi="宋体" w:eastAsia="宋体" w:cs="Times New Roman"/>
          <w:color w:val="000000"/>
          <w:szCs w:val="21"/>
          <w:highlight w:val="none"/>
        </w:rPr>
        <w:t>。</w:t>
      </w:r>
    </w:p>
    <w:p w14:paraId="141389CC">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ascii="宋体" w:hAnsi="宋体" w:eastAsia="宋体" w:cs="Times New Roman"/>
          <w:color w:val="000000"/>
          <w:szCs w:val="21"/>
          <w:highlight w:val="none"/>
        </w:rPr>
        <w:t>3</w:t>
      </w:r>
      <w:r>
        <w:rPr>
          <w:rFonts w:hint="eastAsia" w:ascii="宋体" w:hAnsi="宋体" w:eastAsia="宋体" w:cs="Times New Roman"/>
          <w:color w:val="000000"/>
          <w:szCs w:val="21"/>
          <w:highlight w:val="none"/>
        </w:rPr>
        <w:t xml:space="preserve"> </w:t>
      </w:r>
      <w:r>
        <w:rPr>
          <w:rFonts w:ascii="宋体" w:hAnsi="宋体" w:eastAsia="宋体" w:cs="Times New Roman"/>
          <w:color w:val="000000"/>
          <w:szCs w:val="21"/>
          <w:highlight w:val="none"/>
        </w:rPr>
        <w:t>甲方</w:t>
      </w:r>
      <w:r>
        <w:rPr>
          <w:rFonts w:hint="eastAsia" w:ascii="宋体" w:hAnsi="宋体" w:eastAsia="宋体" w:cs="Times New Roman"/>
          <w:color w:val="000000"/>
          <w:szCs w:val="21"/>
          <w:highlight w:val="none"/>
        </w:rPr>
        <w:t>有权要求乙方对缺陷部分予以修复，并按合同约定享有货物保修及其他合同约定的权利。</w:t>
      </w:r>
    </w:p>
    <w:p w14:paraId="6B520DC3">
      <w:pPr>
        <w:snapToGrid w:val="0"/>
        <w:spacing w:line="400" w:lineRule="exact"/>
        <w:ind w:firstLine="420" w:firstLineChars="200"/>
        <w:outlineLvl w:val="9"/>
        <w:rPr>
          <w:rFonts w:hint="eastAsia" w:ascii="Times New Roman" w:hAnsi="Times New Roman" w:eastAsia="华文楷体" w:cs="Times New Roman"/>
          <w:szCs w:val="24"/>
          <w:lang w:val="en-US" w:eastAsia="zh-CN"/>
        </w:rPr>
      </w:pPr>
      <w:r>
        <w:rPr>
          <w:rFonts w:hint="default" w:ascii="宋体" w:hAnsi="宋体" w:eastAsia="宋体" w:cs="Times New Roman"/>
          <w:color w:val="000000"/>
          <w:szCs w:val="21"/>
          <w:highlight w:val="none"/>
          <w:lang w:val="en-US" w:eastAsia="zh-CN"/>
        </w:rPr>
        <w:t>4.4 甲方应当按照合同约定及时对交付的货物进行验收</w:t>
      </w:r>
      <w:r>
        <w:rPr>
          <w:rFonts w:hint="eastAsia" w:ascii="宋体" w:hAnsi="宋体" w:eastAsia="宋体" w:cs="Times New Roman"/>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s="Times New Roman"/>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Times New Roman"/>
          <w:color w:val="000000"/>
          <w:szCs w:val="21"/>
          <w:highlight w:val="none"/>
          <w:lang w:val="en-US" w:eastAsia="zh-CN"/>
        </w:rPr>
        <w:t>视为验收通过。</w:t>
      </w:r>
    </w:p>
    <w:p w14:paraId="274E89AF">
      <w:pPr>
        <w:autoSpaceDE w:val="0"/>
        <w:autoSpaceDN w:val="0"/>
        <w:adjustRightInd w:val="0"/>
        <w:snapToGrid w:val="0"/>
        <w:spacing w:line="400" w:lineRule="exact"/>
        <w:ind w:firstLine="420" w:firstLineChars="200"/>
        <w:jc w:val="left"/>
        <w:outlineLvl w:val="9"/>
        <w:rPr>
          <w:rFonts w:hint="eastAsia" w:ascii="宋体" w:hAnsi="宋体" w:eastAsia="宋体" w:cs="Times New Roman"/>
          <w:color w:val="000000"/>
          <w:szCs w:val="21"/>
          <w:highlight w:val="none"/>
        </w:rPr>
      </w:pPr>
      <w:r>
        <w:rPr>
          <w:rFonts w:hint="default"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hint="default" w:ascii="宋体" w:hAnsi="宋体" w:eastAsia="宋体" w:cs="Times New Roman"/>
          <w:color w:val="000000"/>
          <w:szCs w:val="21"/>
          <w:highlight w:val="none"/>
          <w:lang w:val="en-US" w:eastAsia="zh-CN"/>
        </w:rPr>
        <w:t>5</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甲方应当根据合同约定</w:t>
      </w:r>
      <w:r>
        <w:rPr>
          <w:rFonts w:hint="eastAsia" w:ascii="宋体" w:hAnsi="宋体" w:eastAsia="宋体" w:cs="Times New Roman"/>
          <w:color w:val="000000"/>
          <w:szCs w:val="21"/>
          <w:highlight w:val="none"/>
          <w:lang w:eastAsia="zh-CN"/>
        </w:rPr>
        <w:t>及</w:t>
      </w:r>
      <w:r>
        <w:rPr>
          <w:rFonts w:hint="eastAsia" w:ascii="宋体" w:hAnsi="宋体" w:eastAsia="宋体" w:cs="Times New Roman"/>
          <w:color w:val="000000"/>
          <w:szCs w:val="21"/>
          <w:highlight w:val="none"/>
        </w:rPr>
        <w:t>时向乙方支付</w:t>
      </w:r>
      <w:r>
        <w:rPr>
          <w:rFonts w:hint="eastAsia" w:ascii="宋体" w:hAnsi="宋体" w:eastAsia="宋体" w:cs="Times New Roman"/>
          <w:color w:val="000000"/>
          <w:szCs w:val="21"/>
          <w:highlight w:val="none"/>
          <w:lang w:eastAsia="zh-CN"/>
        </w:rPr>
        <w:t>合同价款</w:t>
      </w:r>
      <w:r>
        <w:rPr>
          <w:rFonts w:hint="default" w:ascii="宋体" w:hAnsi="宋体" w:eastAsia="宋体" w:cs="Times New Roman"/>
          <w:color w:val="000000"/>
          <w:szCs w:val="21"/>
          <w:highlight w:val="none"/>
          <w:lang w:eastAsia="zh-CN"/>
        </w:rPr>
        <w:t>，不得以内部人员变更、履行内部付款流程等为由，拒绝或迟延支付。</w:t>
      </w:r>
    </w:p>
    <w:p w14:paraId="26C5E74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6</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国家法律法规规定</w:t>
      </w:r>
      <w:r>
        <w:rPr>
          <w:rFonts w:hint="eastAsia" w:ascii="宋体" w:hAnsi="宋体" w:eastAsia="宋体" w:cs="Times New Roman"/>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szCs w:val="21"/>
          <w:highlight w:val="none"/>
          <w:lang w:eastAsia="zh-CN"/>
        </w:rPr>
        <w:t>约定应</w:t>
      </w:r>
      <w:r>
        <w:rPr>
          <w:rFonts w:hint="eastAsia" w:ascii="宋体" w:hAnsi="宋体" w:eastAsia="宋体" w:cs="Times New Roman"/>
          <w:color w:val="000000"/>
          <w:szCs w:val="21"/>
          <w:highlight w:val="none"/>
        </w:rPr>
        <w:t>由甲方承担的其他义务和责任。</w:t>
      </w:r>
    </w:p>
    <w:p w14:paraId="5B5A89BD">
      <w:p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5</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乙方的权利和义务</w:t>
      </w:r>
    </w:p>
    <w:p w14:paraId="49DCA5AA">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5</w:t>
      </w:r>
      <w:r>
        <w:rPr>
          <w:rFonts w:hint="eastAsia" w:ascii="宋体" w:hAnsi="宋体" w:eastAsia="宋体" w:cs="Times New Roman"/>
          <w:color w:val="000000"/>
          <w:szCs w:val="21"/>
          <w:highlight w:val="none"/>
        </w:rPr>
        <w:t xml:space="preserve">.1 </w:t>
      </w:r>
      <w:r>
        <w:rPr>
          <w:rFonts w:ascii="宋体" w:hAnsi="宋体" w:eastAsia="宋体" w:cs="Times New Roman"/>
          <w:color w:val="000000"/>
          <w:szCs w:val="21"/>
          <w:highlight w:val="none"/>
        </w:rPr>
        <w:t>签署合同后，乙方</w:t>
      </w:r>
      <w:r>
        <w:rPr>
          <w:rFonts w:hint="eastAsia" w:ascii="宋体" w:hAnsi="宋体" w:eastAsia="宋体" w:cs="Times New Roman"/>
          <w:color w:val="000000"/>
          <w:szCs w:val="21"/>
          <w:highlight w:val="none"/>
          <w:lang w:eastAsia="zh-CN"/>
        </w:rPr>
        <w:t>应</w:t>
      </w:r>
      <w:r>
        <w:rPr>
          <w:rFonts w:ascii="宋体" w:hAnsi="宋体" w:eastAsia="宋体" w:cs="Times New Roman"/>
          <w:color w:val="000000"/>
          <w:szCs w:val="21"/>
          <w:highlight w:val="none"/>
        </w:rPr>
        <w:t>确定</w:t>
      </w:r>
      <w:r>
        <w:rPr>
          <w:rFonts w:hint="eastAsia" w:ascii="宋体" w:hAnsi="宋体" w:eastAsia="宋体" w:cs="Times New Roman"/>
          <w:color w:val="000000"/>
          <w:szCs w:val="21"/>
          <w:highlight w:val="none"/>
          <w:lang w:val="en-US" w:eastAsia="zh-CN"/>
        </w:rPr>
        <w:t>项目负责人（或项目联系人）</w:t>
      </w:r>
      <w:r>
        <w:rPr>
          <w:rFonts w:ascii="宋体" w:hAnsi="宋体" w:eastAsia="宋体" w:cs="Times New Roman"/>
          <w:color w:val="000000"/>
          <w:szCs w:val="21"/>
          <w:highlight w:val="none"/>
        </w:rPr>
        <w:t>，负责与本合同有关的事务。</w:t>
      </w:r>
    </w:p>
    <w:p w14:paraId="5332AEFF">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5</w:t>
      </w:r>
      <w:r>
        <w:rPr>
          <w:rFonts w:hint="eastAsia" w:ascii="宋体" w:hAnsi="宋体" w:eastAsia="宋体" w:cs="Times New Roman"/>
          <w:color w:val="000000"/>
          <w:szCs w:val="21"/>
          <w:highlight w:val="none"/>
        </w:rPr>
        <w:t>.</w:t>
      </w:r>
      <w:r>
        <w:rPr>
          <w:rFonts w:ascii="宋体" w:hAnsi="宋体" w:eastAsia="宋体" w:cs="Times New Roman"/>
          <w:color w:val="000000"/>
          <w:szCs w:val="21"/>
          <w:highlight w:val="none"/>
        </w:rPr>
        <w:t>2 乙方应按照合同要求</w:t>
      </w:r>
      <w:r>
        <w:rPr>
          <w:rFonts w:hint="eastAsia" w:ascii="宋体" w:hAnsi="宋体" w:eastAsia="宋体" w:cs="Times New Roman"/>
          <w:color w:val="000000"/>
          <w:szCs w:val="21"/>
          <w:highlight w:val="none"/>
        </w:rPr>
        <w:t>履约</w:t>
      </w:r>
      <w:r>
        <w:rPr>
          <w:rFonts w:ascii="宋体" w:hAnsi="宋体" w:eastAsia="宋体" w:cs="Times New Roman"/>
          <w:color w:val="000000"/>
          <w:szCs w:val="21"/>
          <w:highlight w:val="none"/>
        </w:rPr>
        <w:t>，充分合理安排，确保</w:t>
      </w:r>
      <w:r>
        <w:rPr>
          <w:rFonts w:hint="eastAsia" w:ascii="宋体" w:hAnsi="宋体" w:eastAsia="宋体" w:cs="Times New Roman"/>
          <w:color w:val="000000"/>
          <w:szCs w:val="21"/>
          <w:highlight w:val="none"/>
        </w:rPr>
        <w:t>提供的货物</w:t>
      </w:r>
      <w:r>
        <w:rPr>
          <w:rFonts w:hint="eastAsia" w:ascii="宋体" w:hAnsi="宋体" w:eastAsia="宋体" w:cs="Times New Roman"/>
          <w:color w:val="000000"/>
          <w:szCs w:val="21"/>
          <w:highlight w:val="none"/>
          <w:lang w:eastAsia="zh-CN"/>
        </w:rPr>
        <w:t>及相关</w:t>
      </w:r>
      <w:r>
        <w:rPr>
          <w:rFonts w:hint="eastAsia" w:ascii="宋体" w:hAnsi="宋体" w:eastAsia="宋体" w:cs="Times New Roman"/>
          <w:color w:val="000000"/>
          <w:szCs w:val="21"/>
          <w:highlight w:val="none"/>
        </w:rPr>
        <w:t>服务符合合同</w:t>
      </w:r>
      <w:r>
        <w:rPr>
          <w:rFonts w:hint="eastAsia" w:ascii="宋体" w:hAnsi="宋体" w:eastAsia="宋体" w:cs="Times New Roman"/>
          <w:color w:val="000000"/>
          <w:szCs w:val="21"/>
          <w:highlight w:val="none"/>
          <w:lang w:eastAsia="zh-CN"/>
        </w:rPr>
        <w:t>有关</w:t>
      </w:r>
      <w:r>
        <w:rPr>
          <w:rFonts w:ascii="宋体" w:hAnsi="宋体" w:eastAsia="宋体" w:cs="Times New Roman"/>
          <w:color w:val="000000"/>
          <w:szCs w:val="21"/>
          <w:highlight w:val="none"/>
        </w:rPr>
        <w:t>要求</w:t>
      </w:r>
      <w:r>
        <w:rPr>
          <w:rFonts w:hint="eastAsia" w:ascii="宋体" w:hAnsi="宋体" w:eastAsia="宋体" w:cs="Times New Roman"/>
          <w:color w:val="000000"/>
          <w:szCs w:val="21"/>
          <w:highlight w:val="none"/>
        </w:rPr>
        <w:t>。接受项目行业管理部门及政府有关部门的指导，配合甲方的履约检查</w:t>
      </w:r>
      <w:r>
        <w:rPr>
          <w:rFonts w:hint="eastAsia" w:ascii="宋体" w:hAnsi="宋体" w:eastAsia="宋体" w:cs="Times New Roman"/>
          <w:color w:val="000000"/>
          <w:szCs w:val="21"/>
          <w:highlight w:val="none"/>
          <w:lang w:eastAsia="zh-CN"/>
        </w:rPr>
        <w:t>及验收</w:t>
      </w:r>
      <w:r>
        <w:rPr>
          <w:rFonts w:hint="eastAsia" w:ascii="宋体" w:hAnsi="宋体" w:eastAsia="宋体" w:cs="Times New Roman"/>
          <w:color w:val="000000"/>
          <w:szCs w:val="21"/>
          <w:highlight w:val="none"/>
        </w:rPr>
        <w:t>，并</w:t>
      </w:r>
      <w:r>
        <w:rPr>
          <w:rFonts w:ascii="宋体" w:hAnsi="宋体" w:eastAsia="宋体" w:cs="Times New Roman"/>
          <w:color w:val="000000"/>
          <w:szCs w:val="21"/>
          <w:highlight w:val="none"/>
        </w:rPr>
        <w:t>负责项目实施过程中的所有协调工作。</w:t>
      </w:r>
    </w:p>
    <w:p w14:paraId="516F0C23">
      <w:pPr>
        <w:widowControl w:val="0"/>
        <w:spacing w:after="0" w:line="400" w:lineRule="exact"/>
        <w:ind w:firstLine="369" w:firstLineChars="176"/>
        <w:jc w:val="both"/>
        <w:outlineLvl w:val="9"/>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14:paraId="34F4D82F">
      <w:pPr>
        <w:widowControl w:val="0"/>
        <w:spacing w:after="0" w:line="400" w:lineRule="exact"/>
        <w:ind w:firstLine="369" w:firstLineChars="176"/>
        <w:jc w:val="both"/>
        <w:outlineLvl w:val="9"/>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7A548014">
      <w:pPr>
        <w:numPr>
          <w:ilvl w:val="0"/>
          <w:numId w:val="20"/>
        </w:numPr>
        <w:autoSpaceDE w:val="0"/>
        <w:autoSpaceDN w:val="0"/>
        <w:adjustRightInd w:val="0"/>
        <w:snapToGrid w:val="0"/>
        <w:spacing w:before="0" w:line="400" w:lineRule="exact"/>
        <w:jc w:val="left"/>
        <w:outlineLvl w:val="9"/>
        <w:rPr>
          <w:rFonts w:hint="eastAsia"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rPr>
        <w:t>合同履</w:t>
      </w:r>
      <w:r>
        <w:rPr>
          <w:rFonts w:hint="eastAsia" w:ascii="宋体" w:hAnsi="宋体" w:eastAsia="宋体" w:cs="Times New Roman"/>
          <w:b/>
          <w:bCs/>
          <w:color w:val="000000"/>
          <w:sz w:val="24"/>
          <w:szCs w:val="24"/>
          <w:highlight w:val="none"/>
          <w:lang w:val="en-US" w:eastAsia="zh-CN"/>
        </w:rPr>
        <w:t>行</w:t>
      </w:r>
    </w:p>
    <w:p w14:paraId="3013F995">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6</w:t>
      </w:r>
      <w:r>
        <w:rPr>
          <w:rFonts w:hint="eastAsia" w:ascii="宋体" w:hAnsi="宋体" w:eastAsia="宋体" w:cs="Times New Roman"/>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szCs w:val="21"/>
          <w:highlight w:val="none"/>
        </w:rPr>
        <w:t>约定顺序履行合同义务；如果没有先后顺序的，应当同时履行。</w:t>
      </w:r>
    </w:p>
    <w:p w14:paraId="47B1CF11">
      <w:pPr>
        <w:autoSpaceDE w:val="0"/>
        <w:autoSpaceDN w:val="0"/>
        <w:adjustRightInd w:val="0"/>
        <w:snapToGrid w:val="0"/>
        <w:spacing w:before="0" w:line="400" w:lineRule="exact"/>
        <w:ind w:firstLine="420" w:firstLineChars="200"/>
        <w:jc w:val="left"/>
        <w:outlineLvl w:val="9"/>
        <w:rPr>
          <w:rFonts w:ascii="Times New Roman" w:hAnsi="Times New Roman" w:eastAsia="宋体" w:cs="Times New Roman"/>
          <w:szCs w:val="24"/>
        </w:rPr>
      </w:pPr>
      <w:r>
        <w:rPr>
          <w:rFonts w:hint="eastAsia" w:ascii="宋体" w:hAnsi="宋体" w:eastAsia="宋体" w:cs="Times New Roman"/>
          <w:color w:val="000000"/>
          <w:szCs w:val="21"/>
          <w:highlight w:val="none"/>
          <w:lang w:eastAsia="zh-CN"/>
        </w:rPr>
        <w:t>6</w:t>
      </w:r>
      <w:r>
        <w:rPr>
          <w:rFonts w:hint="eastAsia" w:ascii="宋体" w:hAnsi="宋体" w:eastAsia="宋体" w:cs="Times New Roman"/>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A3545CA">
      <w:pPr>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7</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货物包装、运输</w:t>
      </w:r>
      <w:r>
        <w:rPr>
          <w:rFonts w:hint="eastAsia" w:ascii="宋体" w:hAnsi="宋体" w:eastAsia="宋体" w:cs="Times New Roman"/>
          <w:b/>
          <w:bCs/>
          <w:color w:val="000000"/>
          <w:sz w:val="24"/>
          <w:szCs w:val="24"/>
          <w:highlight w:val="none"/>
          <w:lang w:eastAsia="zh-CN"/>
        </w:rPr>
        <w:t>、</w:t>
      </w:r>
      <w:r>
        <w:rPr>
          <w:rFonts w:hint="eastAsia" w:ascii="宋体" w:hAnsi="宋体" w:eastAsia="宋体" w:cs="Times New Roman"/>
          <w:b/>
          <w:bCs/>
          <w:color w:val="000000"/>
          <w:sz w:val="24"/>
          <w:szCs w:val="24"/>
          <w:highlight w:val="none"/>
        </w:rPr>
        <w:t>保险</w:t>
      </w:r>
      <w:r>
        <w:rPr>
          <w:rFonts w:hint="eastAsia" w:ascii="宋体" w:hAnsi="宋体" w:eastAsia="宋体" w:cs="Times New Roman"/>
          <w:b/>
          <w:bCs/>
          <w:color w:val="000000"/>
          <w:sz w:val="24"/>
          <w:szCs w:val="24"/>
          <w:highlight w:val="none"/>
          <w:lang w:eastAsia="zh-CN"/>
        </w:rPr>
        <w:t>和交付</w:t>
      </w:r>
      <w:r>
        <w:rPr>
          <w:rFonts w:hint="eastAsia" w:ascii="宋体" w:hAnsi="宋体" w:eastAsia="宋体" w:cs="Times New Roman"/>
          <w:b/>
          <w:bCs/>
          <w:color w:val="000000"/>
          <w:sz w:val="24"/>
          <w:szCs w:val="24"/>
          <w:highlight w:val="none"/>
        </w:rPr>
        <w:t>要求</w:t>
      </w:r>
    </w:p>
    <w:p w14:paraId="5FE62FC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.1 本合同</w:t>
      </w:r>
      <w:r>
        <w:rPr>
          <w:rFonts w:hint="eastAsia" w:ascii="宋体" w:hAnsi="宋体" w:eastAsia="宋体" w:cs="Times New Roman"/>
          <w:bCs/>
          <w:color w:val="000000"/>
          <w:szCs w:val="21"/>
          <w:highlight w:val="none"/>
        </w:rPr>
        <w:t>涉及商品包装</w:t>
      </w:r>
      <w:r>
        <w:rPr>
          <w:rFonts w:hint="eastAsia" w:ascii="宋体" w:hAnsi="宋体" w:eastAsia="宋体" w:cs="Times New Roman"/>
          <w:bCs/>
          <w:color w:val="000000"/>
          <w:szCs w:val="21"/>
          <w:highlight w:val="none"/>
          <w:lang w:eastAsia="zh-CN"/>
        </w:rPr>
        <w:t>、</w:t>
      </w:r>
      <w:r>
        <w:rPr>
          <w:rFonts w:hint="eastAsia" w:ascii="宋体" w:hAnsi="宋体" w:eastAsia="宋体" w:cs="Times New Roman"/>
          <w:bCs/>
          <w:color w:val="000000"/>
          <w:szCs w:val="21"/>
          <w:highlight w:val="none"/>
        </w:rPr>
        <w:t>快递包装的，</w:t>
      </w:r>
      <w:r>
        <w:rPr>
          <w:rFonts w:hint="eastAsia" w:ascii="宋体" w:hAnsi="宋体" w:eastAsia="宋体" w:cs="Times New Roman"/>
          <w:color w:val="000000"/>
          <w:szCs w:val="21"/>
          <w:highlight w:val="none"/>
        </w:rPr>
        <w:t>除</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另有</w:t>
      </w:r>
      <w:r>
        <w:rPr>
          <w:rFonts w:hint="eastAsia" w:ascii="宋体" w:hAnsi="宋体" w:eastAsia="宋体" w:cs="Times New Roman"/>
          <w:bCs/>
          <w:color w:val="000000"/>
          <w:szCs w:val="21"/>
          <w:highlight w:val="none"/>
          <w:lang w:eastAsia="zh-CN"/>
        </w:rPr>
        <w:t>约</w:t>
      </w:r>
      <w:r>
        <w:rPr>
          <w:rFonts w:hint="eastAsia" w:ascii="宋体" w:hAnsi="宋体" w:eastAsia="宋体" w:cs="Times New Roman"/>
          <w:bCs/>
          <w:color w:val="000000"/>
          <w:szCs w:val="21"/>
          <w:highlight w:val="none"/>
        </w:rPr>
        <w:t>定</w:t>
      </w:r>
      <w:r>
        <w:rPr>
          <w:rFonts w:hint="eastAsia" w:ascii="宋体" w:hAnsi="宋体" w:eastAsia="宋体" w:cs="Times New Roman"/>
          <w:bCs/>
          <w:color w:val="000000"/>
          <w:szCs w:val="21"/>
          <w:highlight w:val="none"/>
          <w:lang w:eastAsia="zh-CN"/>
        </w:rPr>
        <w:t>外</w:t>
      </w:r>
      <w:r>
        <w:rPr>
          <w:rFonts w:hint="eastAsia" w:ascii="宋体" w:hAnsi="宋体" w:eastAsia="宋体" w:cs="Times New Roman"/>
          <w:bCs/>
          <w:color w:val="000000"/>
          <w:szCs w:val="21"/>
          <w:highlight w:val="none"/>
        </w:rPr>
        <w:t>，</w:t>
      </w:r>
      <w:r>
        <w:rPr>
          <w:rFonts w:hint="eastAsia" w:ascii="宋体" w:hAnsi="宋体" w:eastAsia="宋体" w:cs="Times New Roman"/>
          <w:color w:val="000000"/>
          <w:szCs w:val="21"/>
          <w:highlight w:val="none"/>
        </w:rPr>
        <w:t>包装应适应远距离运输、防潮、防震、防锈和防野蛮装卸等要求，确保货物安全无损地运抵</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 w:val="0"/>
          <w:bCs/>
          <w:color w:val="000000"/>
          <w:szCs w:val="21"/>
          <w:highlight w:val="none"/>
          <w:lang w:eastAsia="zh-CN"/>
        </w:rPr>
        <w:t>约定的</w:t>
      </w:r>
      <w:r>
        <w:rPr>
          <w:rFonts w:hint="eastAsia" w:ascii="宋体" w:hAnsi="宋体" w:eastAsia="宋体" w:cs="Times New Roman"/>
          <w:color w:val="000000"/>
          <w:szCs w:val="21"/>
          <w:highlight w:val="none"/>
        </w:rPr>
        <w:t>指定现场。</w:t>
      </w:r>
    </w:p>
    <w:p w14:paraId="5FCA7D24">
      <w:pPr>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.2 除</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另有</w:t>
      </w:r>
      <w:r>
        <w:rPr>
          <w:rFonts w:hint="eastAsia" w:ascii="宋体" w:hAnsi="宋体" w:eastAsia="宋体" w:cs="Times New Roman"/>
          <w:bCs/>
          <w:color w:val="000000"/>
          <w:szCs w:val="21"/>
          <w:highlight w:val="none"/>
          <w:lang w:eastAsia="zh-CN"/>
        </w:rPr>
        <w:t>约</w:t>
      </w:r>
      <w:r>
        <w:rPr>
          <w:rFonts w:hint="eastAsia" w:ascii="宋体" w:hAnsi="宋体" w:eastAsia="宋体" w:cs="Times New Roman"/>
          <w:bCs/>
          <w:color w:val="000000"/>
          <w:szCs w:val="21"/>
          <w:highlight w:val="none"/>
        </w:rPr>
        <w:t>定</w:t>
      </w:r>
      <w:r>
        <w:rPr>
          <w:rFonts w:hint="eastAsia" w:ascii="宋体" w:hAnsi="宋体" w:eastAsia="宋体" w:cs="Times New Roman"/>
          <w:bCs/>
          <w:color w:val="000000"/>
          <w:szCs w:val="21"/>
          <w:highlight w:val="none"/>
          <w:lang w:eastAsia="zh-CN"/>
        </w:rPr>
        <w:t>外</w:t>
      </w:r>
      <w:r>
        <w:rPr>
          <w:rFonts w:hint="eastAsia" w:ascii="宋体" w:hAnsi="宋体" w:eastAsia="宋体" w:cs="Times New Roman"/>
          <w:bCs/>
          <w:color w:val="000000"/>
          <w:szCs w:val="21"/>
          <w:highlight w:val="none"/>
        </w:rPr>
        <w:t>，</w:t>
      </w:r>
      <w:r>
        <w:rPr>
          <w:rFonts w:hint="eastAsia" w:ascii="宋体" w:hAnsi="宋体" w:eastAsia="宋体" w:cs="Times New Roman"/>
          <w:color w:val="000000"/>
          <w:szCs w:val="21"/>
          <w:highlight w:val="none"/>
        </w:rPr>
        <w:t>乙方负责办理将货物运抵本合同规定的交货地点</w:t>
      </w:r>
      <w:r>
        <w:rPr>
          <w:rFonts w:hint="eastAsia" w:ascii="宋体" w:hAnsi="宋体" w:eastAsia="宋体" w:cs="Times New Roman"/>
          <w:color w:val="000000"/>
          <w:szCs w:val="21"/>
          <w:highlight w:val="none"/>
          <w:lang w:eastAsia="zh-CN"/>
        </w:rPr>
        <w:t>，并装卸、交付至甲方</w:t>
      </w:r>
      <w:r>
        <w:rPr>
          <w:rFonts w:hint="eastAsia" w:ascii="宋体" w:hAnsi="宋体" w:eastAsia="宋体" w:cs="Times New Roman"/>
          <w:color w:val="000000"/>
          <w:szCs w:val="21"/>
          <w:highlight w:val="none"/>
        </w:rPr>
        <w:t>的一切运输事项，相关费用应</w:t>
      </w:r>
      <w:r>
        <w:rPr>
          <w:rFonts w:hint="eastAsia" w:ascii="宋体" w:hAnsi="宋体" w:eastAsia="宋体" w:cs="Times New Roman"/>
          <w:color w:val="000000"/>
          <w:szCs w:val="21"/>
          <w:highlight w:val="none"/>
          <w:lang w:eastAsia="zh-CN"/>
        </w:rPr>
        <w:t>包含</w:t>
      </w:r>
      <w:r>
        <w:rPr>
          <w:rFonts w:hint="eastAsia" w:ascii="宋体" w:hAnsi="宋体" w:eastAsia="宋体" w:cs="Times New Roman"/>
          <w:color w:val="000000"/>
          <w:szCs w:val="21"/>
          <w:highlight w:val="none"/>
        </w:rPr>
        <w:t>在合同</w:t>
      </w:r>
      <w:r>
        <w:rPr>
          <w:rFonts w:hint="eastAsia" w:ascii="宋体" w:hAnsi="宋体" w:eastAsia="宋体" w:cs="Times New Roman"/>
          <w:color w:val="000000"/>
          <w:szCs w:val="21"/>
          <w:highlight w:val="none"/>
          <w:lang w:eastAsia="zh-CN"/>
        </w:rPr>
        <w:t>价款</w:t>
      </w:r>
      <w:r>
        <w:rPr>
          <w:rFonts w:hint="eastAsia" w:ascii="宋体" w:hAnsi="宋体" w:eastAsia="宋体" w:cs="Times New Roman"/>
          <w:color w:val="000000"/>
          <w:szCs w:val="21"/>
          <w:highlight w:val="none"/>
        </w:rPr>
        <w:t>中。</w:t>
      </w:r>
    </w:p>
    <w:p w14:paraId="15F40E36">
      <w:pPr>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.3 货物保险要求按</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规定执行</w:t>
      </w:r>
      <w:r>
        <w:rPr>
          <w:rFonts w:hint="eastAsia" w:ascii="宋体" w:hAnsi="宋体" w:eastAsia="宋体" w:cs="Times New Roman"/>
          <w:color w:val="000000"/>
          <w:szCs w:val="21"/>
          <w:highlight w:val="none"/>
        </w:rPr>
        <w:t>。</w:t>
      </w:r>
    </w:p>
    <w:p w14:paraId="6683C793">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 xml:space="preserve">.4 </w:t>
      </w:r>
      <w:r>
        <w:rPr>
          <w:rFonts w:hint="eastAsia" w:ascii="宋体" w:hAnsi="宋体" w:eastAsia="宋体" w:cs="Times New Roman"/>
          <w:color w:val="000000"/>
          <w:szCs w:val="21"/>
          <w:highlight w:val="none"/>
          <w:lang w:val="en-US" w:eastAsia="zh-CN"/>
        </w:rPr>
        <w:t>除采购活动</w:t>
      </w:r>
      <w:r>
        <w:rPr>
          <w:rFonts w:hint="eastAsia" w:ascii="宋体" w:hAnsi="宋体" w:eastAsia="宋体" w:cs="Times New Roman"/>
          <w:color w:val="000000"/>
          <w:szCs w:val="21"/>
          <w:highlight w:val="none"/>
        </w:rPr>
        <w:t>对商品包装</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快递包装</w:t>
      </w:r>
      <w:r>
        <w:rPr>
          <w:rFonts w:hint="eastAsia" w:ascii="宋体" w:hAnsi="宋体" w:eastAsia="宋体" w:cs="Times New Roman"/>
          <w:color w:val="000000"/>
          <w:szCs w:val="21"/>
          <w:highlight w:val="none"/>
          <w:lang w:val="en-US" w:eastAsia="zh-CN"/>
        </w:rPr>
        <w:t>达成具体约定外</w:t>
      </w:r>
      <w:r>
        <w:rPr>
          <w:rFonts w:hint="eastAsia" w:ascii="宋体" w:hAnsi="宋体" w:eastAsia="宋体" w:cs="Times New Roman"/>
          <w:color w:val="000000"/>
          <w:szCs w:val="21"/>
          <w:highlight w:val="none"/>
        </w:rPr>
        <w:t>，乙方提供产品及相关快递服务</w:t>
      </w:r>
      <w:r>
        <w:rPr>
          <w:rFonts w:hint="eastAsia" w:ascii="宋体" w:hAnsi="宋体" w:eastAsia="宋体" w:cs="Times New Roman"/>
          <w:color w:val="000000"/>
          <w:szCs w:val="21"/>
          <w:highlight w:val="none"/>
          <w:lang w:val="en-US" w:eastAsia="zh-CN"/>
        </w:rPr>
        <w:t>涉及到</w:t>
      </w:r>
      <w:r>
        <w:rPr>
          <w:rFonts w:hint="eastAsia" w:ascii="宋体" w:hAnsi="宋体" w:eastAsia="宋体" w:cs="Times New Roman"/>
          <w:color w:val="000000"/>
          <w:szCs w:val="21"/>
          <w:highlight w:val="none"/>
        </w:rPr>
        <w:t>具体包装要求</w:t>
      </w:r>
      <w:r>
        <w:rPr>
          <w:rFonts w:hint="eastAsia" w:ascii="宋体" w:hAnsi="宋体" w:eastAsia="宋体" w:cs="Times New Roman"/>
          <w:color w:val="000000"/>
          <w:szCs w:val="21"/>
          <w:highlight w:val="none"/>
          <w:lang w:val="en-US" w:eastAsia="zh-CN"/>
        </w:rPr>
        <w:t>的，</w:t>
      </w:r>
      <w:r>
        <w:rPr>
          <w:rFonts w:hint="eastAsia" w:ascii="宋体" w:hAnsi="宋体" w:eastAsia="宋体" w:cs="Times New Roman"/>
          <w:color w:val="000000"/>
          <w:szCs w:val="21"/>
          <w:highlight w:val="none"/>
        </w:rPr>
        <w:t>应</w:t>
      </w:r>
      <w:r>
        <w:rPr>
          <w:rFonts w:hint="eastAsia" w:ascii="宋体" w:hAnsi="宋体" w:eastAsia="宋体" w:cs="Times New Roman"/>
          <w:color w:val="000000"/>
          <w:szCs w:val="21"/>
          <w:highlight w:val="none"/>
          <w:lang w:val="en-US" w:eastAsia="zh-CN"/>
        </w:rPr>
        <w:t>不低于</w:t>
      </w:r>
      <w:r>
        <w:rPr>
          <w:rFonts w:hint="eastAsia" w:ascii="宋体" w:hAnsi="宋体" w:eastAsia="宋体" w:cs="Times New Roman"/>
          <w:color w:val="000000"/>
          <w:szCs w:val="21"/>
          <w:highlight w:val="none"/>
        </w:rPr>
        <w:t>《商品包装政府采购需求标准（试行）</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快递包装政府采购需求标准（试行）》</w:t>
      </w:r>
      <w:r>
        <w:rPr>
          <w:rFonts w:hint="eastAsia" w:ascii="宋体" w:hAnsi="宋体" w:eastAsia="宋体" w:cs="Times New Roman"/>
          <w:color w:val="000000"/>
          <w:szCs w:val="21"/>
          <w:highlight w:val="none"/>
          <w:lang w:val="en-US" w:eastAsia="zh-CN"/>
        </w:rPr>
        <w:t>标准</w:t>
      </w:r>
      <w:r>
        <w:rPr>
          <w:rFonts w:hint="eastAsia" w:ascii="宋体" w:hAnsi="宋体" w:eastAsia="宋体" w:cs="Times New Roman"/>
          <w:color w:val="000000"/>
          <w:szCs w:val="21"/>
          <w:highlight w:val="none"/>
        </w:rPr>
        <w:t>，并作为履约验收的内容，必要时甲方可以要求乙方在履约验收环节出具检测报告。</w:t>
      </w:r>
    </w:p>
    <w:p w14:paraId="15A17880">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6086604C">
      <w:pPr>
        <w:autoSpaceDE w:val="0"/>
        <w:autoSpaceDN w:val="0"/>
        <w:adjustRightInd w:val="0"/>
        <w:spacing w:line="400" w:lineRule="exact"/>
        <w:ind w:firstLine="420" w:firstLineChars="200"/>
        <w:outlineLvl w:val="9"/>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4747A226">
      <w:pPr>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color w:val="000000"/>
          <w:sz w:val="24"/>
          <w:szCs w:val="24"/>
          <w:highlight w:val="none"/>
          <w:lang w:eastAsia="zh-CN"/>
        </w:rPr>
        <w:t>8</w:t>
      </w:r>
      <w:r>
        <w:rPr>
          <w:rFonts w:hint="eastAsia" w:ascii="宋体" w:hAnsi="宋体" w:eastAsia="宋体" w:cs="Times New Roman"/>
          <w:b/>
          <w:color w:val="000000"/>
          <w:sz w:val="24"/>
          <w:szCs w:val="24"/>
          <w:highlight w:val="none"/>
          <w:lang w:val="en-US" w:eastAsia="zh-CN"/>
        </w:rPr>
        <w:t xml:space="preserve">. </w:t>
      </w:r>
      <w:r>
        <w:rPr>
          <w:rFonts w:hint="eastAsia" w:ascii="宋体" w:hAnsi="宋体" w:eastAsia="宋体" w:cs="Times New Roman"/>
          <w:b/>
          <w:color w:val="auto"/>
          <w:sz w:val="24"/>
          <w:szCs w:val="24"/>
          <w:highlight w:val="none"/>
        </w:rPr>
        <w:t>质量标准和保证</w:t>
      </w:r>
    </w:p>
    <w:p w14:paraId="45BB518E">
      <w:pPr>
        <w:widowControl w:val="0"/>
        <w:adjustRightInd w:val="0"/>
        <w:snapToGrid w:val="0"/>
        <w:spacing w:before="0" w:line="400" w:lineRule="exact"/>
        <w:ind w:firstLine="420" w:firstLineChars="200"/>
        <w:jc w:val="left"/>
        <w:outlineLvl w:val="9"/>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14:paraId="46459C21">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（1）本合同下</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的货物应符合</w:t>
      </w:r>
      <w:r>
        <w:rPr>
          <w:rFonts w:hint="eastAsia" w:ascii="宋体" w:hAnsi="宋体" w:eastAsia="宋体" w:cs="Times New Roman"/>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Times New Roman"/>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Times New Roman"/>
          <w:color w:val="auto"/>
          <w:szCs w:val="21"/>
          <w:highlight w:val="none"/>
          <w:lang w:eastAsia="zh-CN"/>
        </w:rPr>
        <w:t>。</w:t>
      </w:r>
    </w:p>
    <w:p w14:paraId="6E400CE2">
      <w:pPr>
        <w:widowControl w:val="0"/>
        <w:adjustRightInd w:val="0"/>
        <w:snapToGrid w:val="0"/>
        <w:spacing w:before="0" w:line="400" w:lineRule="exact"/>
        <w:ind w:firstLine="420" w:firstLineChars="200"/>
        <w:jc w:val="left"/>
        <w:outlineLvl w:val="9"/>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14:paraId="352F1C10">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（3）乙方所</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的货物应符合国家有关安全、环保、卫生</w:t>
      </w:r>
      <w:r>
        <w:rPr>
          <w:rFonts w:hint="eastAsia" w:ascii="宋体" w:hAnsi="宋体" w:eastAsia="宋体" w:cs="Times New Roman"/>
          <w:color w:val="auto"/>
          <w:szCs w:val="21"/>
          <w:highlight w:val="none"/>
          <w:lang w:eastAsia="zh-CN"/>
        </w:rPr>
        <w:t>的</w:t>
      </w:r>
      <w:r>
        <w:rPr>
          <w:rFonts w:hint="eastAsia" w:ascii="宋体" w:hAnsi="宋体" w:eastAsia="宋体" w:cs="Times New Roman"/>
          <w:color w:val="auto"/>
          <w:szCs w:val="21"/>
          <w:highlight w:val="none"/>
        </w:rPr>
        <w:t>规定。</w:t>
      </w:r>
    </w:p>
    <w:p w14:paraId="44AC5F3C">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（4）乙方应向甲方提交所</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货物的技术文件，包括相应的中文技术文件，如：产品目录、图纸、操作手册、使用说明、维护手册或服务指南</w:t>
      </w:r>
      <w:r>
        <w:rPr>
          <w:rFonts w:hint="eastAsia" w:ascii="宋体" w:hAnsi="宋体" w:eastAsia="宋体" w:cs="Times New Roman"/>
          <w:color w:val="auto"/>
          <w:szCs w:val="21"/>
          <w:highlight w:val="none"/>
          <w:lang w:eastAsia="zh-CN"/>
        </w:rPr>
        <w:t>等</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上述</w:t>
      </w:r>
      <w:r>
        <w:rPr>
          <w:rFonts w:hint="eastAsia" w:ascii="宋体" w:hAnsi="宋体" w:eastAsia="宋体" w:cs="Times New Roman"/>
          <w:color w:val="auto"/>
          <w:szCs w:val="21"/>
          <w:highlight w:val="none"/>
        </w:rPr>
        <w:t>文件应包装好随货物一同发运。</w:t>
      </w:r>
    </w:p>
    <w:p w14:paraId="099C7096">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8</w:t>
      </w:r>
      <w:r>
        <w:rPr>
          <w:rFonts w:hint="eastAsia" w:ascii="宋体" w:hAnsi="宋体" w:eastAsia="宋体" w:cs="Times New Roman"/>
          <w:color w:val="auto"/>
          <w:szCs w:val="21"/>
          <w:highlight w:val="none"/>
        </w:rPr>
        <w:t>.2 保证</w:t>
      </w:r>
    </w:p>
    <w:p w14:paraId="385BAC9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（1）乙方应保证</w:t>
      </w:r>
      <w:r>
        <w:rPr>
          <w:rFonts w:hint="eastAsia" w:ascii="宋体" w:hAnsi="宋体" w:eastAsia="宋体" w:cs="Times New Roman"/>
          <w:color w:val="auto"/>
          <w:szCs w:val="21"/>
          <w:highlight w:val="none"/>
          <w:lang w:eastAsia="zh-CN"/>
        </w:rPr>
        <w:t>提供的货物</w:t>
      </w:r>
      <w:r>
        <w:rPr>
          <w:rFonts w:hint="eastAsia" w:ascii="宋体" w:hAnsi="宋体" w:eastAsia="宋体" w:cs="Times New Roman"/>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存在</w:t>
      </w:r>
      <w:r>
        <w:rPr>
          <w:rFonts w:hint="eastAsia" w:ascii="宋体" w:hAnsi="宋体" w:eastAsia="宋体" w:cs="Times New Roman"/>
          <w:color w:val="auto"/>
          <w:szCs w:val="21"/>
          <w:highlight w:val="none"/>
        </w:rPr>
        <w:t>质量保证期的，货物最终交付验收</w:t>
      </w:r>
      <w:r>
        <w:rPr>
          <w:rFonts w:hint="eastAsia" w:ascii="宋体" w:hAnsi="宋体" w:eastAsia="宋体" w:cs="Times New Roman"/>
          <w:color w:val="auto"/>
          <w:szCs w:val="21"/>
          <w:highlight w:val="none"/>
          <w:lang w:eastAsia="zh-CN"/>
        </w:rPr>
        <w:t>合格</w:t>
      </w:r>
      <w:r>
        <w:rPr>
          <w:rFonts w:hint="eastAsia" w:ascii="宋体" w:hAnsi="宋体" w:eastAsia="宋体" w:cs="Times New Roman"/>
          <w:color w:val="auto"/>
          <w:szCs w:val="21"/>
          <w:highlight w:val="none"/>
        </w:rPr>
        <w:t>后</w:t>
      </w:r>
      <w:r>
        <w:rPr>
          <w:rFonts w:hint="eastAsia" w:ascii="宋体" w:hAnsi="宋体" w:eastAsia="宋体" w:cs="Times New Roman"/>
          <w:color w:val="auto"/>
          <w:szCs w:val="21"/>
          <w:highlight w:val="none"/>
          <w:lang w:eastAsia="zh-CN"/>
        </w:rPr>
        <w:t>在</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规定或乙方</w:t>
      </w:r>
      <w:r>
        <w:rPr>
          <w:rFonts w:hint="eastAsia" w:ascii="宋体" w:hAnsi="宋体" w:eastAsia="宋体" w:cs="Times New Roman"/>
          <w:color w:val="auto"/>
          <w:szCs w:val="21"/>
          <w:highlight w:val="none"/>
          <w:lang w:eastAsia="zh-CN"/>
        </w:rPr>
        <w:t>书面</w:t>
      </w:r>
      <w:r>
        <w:rPr>
          <w:rFonts w:hint="eastAsia" w:ascii="宋体" w:hAnsi="宋体" w:eastAsia="宋体" w:cs="Times New Roman"/>
          <w:color w:val="auto"/>
          <w:szCs w:val="21"/>
          <w:highlight w:val="none"/>
        </w:rPr>
        <w:t>承诺（两者以较长的为准）的质量保证期内，本保证保持有效。</w:t>
      </w:r>
    </w:p>
    <w:p w14:paraId="3BE1E377">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（2）在质量保证期内所发现的缺陷，甲方应尽快以书面形式通知乙方。</w:t>
      </w:r>
    </w:p>
    <w:p w14:paraId="391C6E2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（3）乙方收到通知后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应在</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规定的响应时间内以合理的速度免费维修或更换有缺陷的货物或部件。</w:t>
      </w:r>
    </w:p>
    <w:p w14:paraId="77ED474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auto"/>
          <w:szCs w:val="21"/>
          <w:highlight w:val="none"/>
        </w:rPr>
        <w:t>.1条规定以书面形式</w:t>
      </w:r>
      <w:r>
        <w:rPr>
          <w:rFonts w:hint="eastAsia" w:ascii="宋体" w:hAnsi="宋体" w:eastAsia="宋体" w:cs="Times New Roman"/>
          <w:color w:val="000000"/>
          <w:szCs w:val="21"/>
          <w:highlight w:val="none"/>
          <w:lang w:eastAsia="zh-CN"/>
        </w:rPr>
        <w:t>追究</w:t>
      </w:r>
      <w:r>
        <w:rPr>
          <w:rFonts w:hint="eastAsia" w:ascii="宋体" w:hAnsi="宋体" w:eastAsia="宋体" w:cs="Times New Roman"/>
          <w:color w:val="auto"/>
          <w:szCs w:val="21"/>
          <w:highlight w:val="none"/>
        </w:rPr>
        <w:t>乙方</w:t>
      </w:r>
      <w:r>
        <w:rPr>
          <w:rFonts w:hint="eastAsia" w:ascii="宋体" w:hAnsi="宋体" w:eastAsia="宋体" w:cs="Times New Roman"/>
          <w:color w:val="000000"/>
          <w:szCs w:val="21"/>
          <w:highlight w:val="none"/>
          <w:lang w:eastAsia="zh-CN"/>
        </w:rPr>
        <w:t>的违约责任</w:t>
      </w:r>
      <w:r>
        <w:rPr>
          <w:rFonts w:hint="eastAsia" w:ascii="宋体" w:hAnsi="宋体" w:eastAsia="宋体" w:cs="Times New Roman"/>
          <w:color w:val="auto"/>
          <w:szCs w:val="21"/>
          <w:highlight w:val="none"/>
        </w:rPr>
        <w:t>。</w:t>
      </w:r>
    </w:p>
    <w:p w14:paraId="46135763">
      <w:pPr>
        <w:adjustRightInd w:val="0"/>
        <w:snapToGrid w:val="0"/>
        <w:spacing w:before="0" w:line="400" w:lineRule="exact"/>
        <w:ind w:firstLine="420" w:firstLineChars="200"/>
        <w:jc w:val="left"/>
        <w:outlineLvl w:val="9"/>
        <w:rPr>
          <w:rFonts w:ascii="Times New Roman" w:hAnsi="Times New Roman" w:eastAsia="宋体" w:cs="Times New Roman"/>
          <w:color w:val="auto"/>
          <w:szCs w:val="24"/>
          <w:highlight w:val="none"/>
        </w:rPr>
      </w:pPr>
      <w:r>
        <w:rPr>
          <w:rFonts w:hint="eastAsia" w:ascii="宋体" w:hAnsi="宋体" w:eastAsia="宋体" w:cs="Times New Roman"/>
          <w:color w:val="auto"/>
          <w:szCs w:val="21"/>
          <w:highlight w:val="none"/>
        </w:rPr>
        <w:t>（5）乙方在约定的时间内未能弥补缺陷，甲方可采取必要的补救措施，但其风险和费用将由乙方承担，甲方根据合同</w:t>
      </w:r>
      <w:r>
        <w:rPr>
          <w:rFonts w:hint="eastAsia" w:ascii="宋体" w:hAnsi="宋体" w:eastAsia="宋体" w:cs="Times New Roman"/>
          <w:color w:val="auto"/>
          <w:szCs w:val="21"/>
          <w:highlight w:val="none"/>
          <w:lang w:eastAsia="zh-CN"/>
        </w:rPr>
        <w:t>约定</w:t>
      </w:r>
      <w:r>
        <w:rPr>
          <w:rFonts w:hint="eastAsia" w:ascii="宋体" w:hAnsi="宋体" w:eastAsia="宋体" w:cs="Times New Roman"/>
          <w:color w:val="auto"/>
          <w:szCs w:val="21"/>
          <w:highlight w:val="none"/>
        </w:rPr>
        <w:t>对乙方行使的其他权利不受影响。</w:t>
      </w:r>
    </w:p>
    <w:p w14:paraId="003B8AE8">
      <w:pPr>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000000"/>
          <w:sz w:val="24"/>
          <w:szCs w:val="24"/>
          <w:highlight w:val="none"/>
          <w:lang w:eastAsia="zh-CN"/>
        </w:rPr>
        <w:t>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auto"/>
          <w:sz w:val="24"/>
          <w:szCs w:val="24"/>
          <w:highlight w:val="none"/>
        </w:rPr>
        <w:t>权利瑕疵担保</w:t>
      </w:r>
    </w:p>
    <w:p w14:paraId="19F8700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.1 乙方保证对其出售的货物享有合法的权利。</w:t>
      </w:r>
    </w:p>
    <w:p w14:paraId="431A2CB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 xml:space="preserve">.2 </w:t>
      </w:r>
      <w:r>
        <w:rPr>
          <w:rFonts w:hint="eastAsia" w:ascii="宋体" w:hAnsi="宋体" w:eastAsia="宋体" w:cs="宋体"/>
          <w:szCs w:val="15"/>
        </w:rPr>
        <w:t>乙方保证在交付的货物上不存在抵押权等担保物权。</w:t>
      </w:r>
    </w:p>
    <w:p w14:paraId="25F332C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.3 如甲方使用</w:t>
      </w:r>
      <w:r>
        <w:rPr>
          <w:rFonts w:hint="eastAsia" w:ascii="宋体" w:hAnsi="宋体" w:eastAsia="宋体" w:cs="Times New Roman"/>
          <w:color w:val="000000"/>
          <w:szCs w:val="21"/>
          <w:highlight w:val="none"/>
          <w:lang w:val="en-US" w:eastAsia="zh-CN"/>
        </w:rPr>
        <w:t>上述</w:t>
      </w:r>
      <w:r>
        <w:rPr>
          <w:rFonts w:hint="eastAsia" w:ascii="宋体" w:hAnsi="宋体" w:eastAsia="宋体" w:cs="Times New Roman"/>
          <w:color w:val="000000"/>
          <w:szCs w:val="21"/>
          <w:highlight w:val="none"/>
        </w:rPr>
        <w:t>货物构成</w:t>
      </w:r>
      <w:r>
        <w:rPr>
          <w:rFonts w:hint="eastAsia" w:ascii="宋体" w:hAnsi="宋体" w:eastAsia="宋体" w:cs="Times New Roman"/>
          <w:color w:val="000000"/>
          <w:szCs w:val="21"/>
          <w:highlight w:val="none"/>
          <w:lang w:val="en-US" w:eastAsia="zh-CN"/>
        </w:rPr>
        <w:t>对第三人</w:t>
      </w:r>
      <w:r>
        <w:rPr>
          <w:rFonts w:hint="eastAsia" w:ascii="宋体" w:hAnsi="宋体" w:eastAsia="宋体" w:cs="Times New Roman"/>
          <w:color w:val="000000"/>
          <w:szCs w:val="21"/>
          <w:highlight w:val="none"/>
        </w:rPr>
        <w:t>侵权的，则由乙方承担全部责任。</w:t>
      </w:r>
    </w:p>
    <w:p w14:paraId="4350F5AF">
      <w:p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rPr>
        <w:t>1</w:t>
      </w:r>
      <w:r>
        <w:rPr>
          <w:rFonts w:hint="eastAsia" w:ascii="宋体" w:hAnsi="宋体" w:eastAsia="宋体" w:cs="Times New Roman"/>
          <w:b/>
          <w:bCs/>
          <w:color w:val="000000"/>
          <w:sz w:val="24"/>
          <w:szCs w:val="24"/>
          <w:highlight w:val="none"/>
          <w:lang w:eastAsia="zh-CN"/>
        </w:rPr>
        <w:t>0</w:t>
      </w:r>
      <w:r>
        <w:rPr>
          <w:rFonts w:hint="eastAsia" w:ascii="宋体" w:hAnsi="宋体" w:eastAsia="宋体" w:cs="Times New Roman"/>
          <w:b/>
          <w:bCs/>
          <w:color w:val="000000"/>
          <w:sz w:val="24"/>
          <w:szCs w:val="24"/>
          <w:highlight w:val="none"/>
        </w:rPr>
        <w:t>.</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知识产权保护</w:t>
      </w:r>
    </w:p>
    <w:p w14:paraId="068A5E79">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0</w:t>
      </w:r>
      <w:r>
        <w:rPr>
          <w:rFonts w:hint="eastAsia" w:ascii="宋体" w:hAnsi="宋体" w:eastAsia="宋体" w:cs="Times New Roman"/>
          <w:color w:val="000000"/>
          <w:szCs w:val="21"/>
          <w:highlight w:val="none"/>
        </w:rPr>
        <w:t>.1 乙方对其所销售的货物应当享有知识产权或经权利人合法授权，保证没有侵犯任</w:t>
      </w:r>
      <w:r>
        <w:rPr>
          <w:rFonts w:hint="eastAsia" w:ascii="宋体" w:hAnsi="宋体" w:eastAsia="宋体" w:cs="Times New Roman"/>
          <w:color w:val="auto"/>
          <w:szCs w:val="21"/>
          <w:highlight w:val="none"/>
        </w:rPr>
        <w:t>何第三人的知识产权等权利。</w:t>
      </w:r>
      <w:bookmarkStart w:id="13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36"/>
      <w:r>
        <w:rPr>
          <w:rFonts w:hint="eastAsia" w:ascii="宋体" w:hAnsi="宋体" w:eastAsia="宋体" w:cs="Times New Roman"/>
          <w:color w:val="auto"/>
          <w:szCs w:val="21"/>
          <w:highlight w:val="none"/>
        </w:rPr>
        <w:t>。</w:t>
      </w:r>
    </w:p>
    <w:p w14:paraId="1C8AE91A">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保密义务</w:t>
      </w:r>
    </w:p>
    <w:p w14:paraId="0E796582">
      <w:pPr>
        <w:autoSpaceDE w:val="0"/>
        <w:autoSpaceDN w:val="0"/>
        <w:adjustRightInd w:val="0"/>
        <w:snapToGrid w:val="0"/>
        <w:spacing w:before="0" w:line="400" w:lineRule="exact"/>
        <w:ind w:firstLine="420" w:firstLineChars="200"/>
        <w:jc w:val="left"/>
        <w:outlineLvl w:val="9"/>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96C26F5">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2</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合同价款支付</w:t>
      </w:r>
    </w:p>
    <w:p w14:paraId="6F4ED575">
      <w:pPr>
        <w:autoSpaceDE/>
        <w:autoSpaceDN/>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2</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合同价款支付</w:t>
      </w:r>
      <w:r>
        <w:rPr>
          <w:rFonts w:hint="eastAsia" w:ascii="宋体" w:hAnsi="宋体" w:eastAsia="宋体" w:cs="Times New Roman"/>
          <w:color w:val="auto"/>
          <w:szCs w:val="21"/>
          <w:highlight w:val="none"/>
        </w:rPr>
        <w:t>按照国库集中支付</w:t>
      </w:r>
      <w:r>
        <w:rPr>
          <w:rFonts w:hint="eastAsia" w:ascii="宋体" w:hAnsi="宋体" w:eastAsia="宋体" w:cs="Times New Roman"/>
          <w:color w:val="auto"/>
          <w:szCs w:val="21"/>
          <w:highlight w:val="none"/>
          <w:lang w:eastAsia="zh-CN"/>
        </w:rPr>
        <w:t>制度及财政管理相关</w:t>
      </w:r>
      <w:r>
        <w:rPr>
          <w:rFonts w:hint="eastAsia" w:ascii="宋体" w:hAnsi="宋体" w:eastAsia="宋体" w:cs="Times New Roman"/>
          <w:color w:val="auto"/>
          <w:szCs w:val="21"/>
          <w:highlight w:val="none"/>
        </w:rPr>
        <w:t>规定执行。</w:t>
      </w:r>
    </w:p>
    <w:p w14:paraId="02D8EFFF">
      <w:pPr>
        <w:keepNext/>
        <w:keepLines/>
        <w:widowControl w:val="0"/>
        <w:spacing w:line="400" w:lineRule="exact"/>
        <w:ind w:firstLine="420" w:firstLineChars="200"/>
        <w:jc w:val="both"/>
        <w:outlineLvl w:val="9"/>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14:paraId="2230A2DF">
      <w:pPr>
        <w:widowControl w:val="0"/>
        <w:spacing w:after="0" w:line="400" w:lineRule="exact"/>
        <w:jc w:val="both"/>
        <w:outlineLvl w:val="9"/>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6807D5BB">
      <w:pPr>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7A91C64">
      <w:pPr>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.2 如果乙方</w:t>
      </w:r>
      <w:r>
        <w:rPr>
          <w:rFonts w:hint="eastAsia" w:ascii="宋体" w:hAnsi="宋体" w:eastAsia="宋体" w:cs="Times New Roman"/>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Times New Roman"/>
          <w:color w:val="auto"/>
          <w:szCs w:val="21"/>
          <w:highlight w:val="none"/>
        </w:rPr>
        <w:t>，履约保证金不予退还；如果乙方未能按合同约定全面履行义务，甲方有权从履约保证金中取得补偿或赔偿，</w:t>
      </w:r>
      <w:r>
        <w:rPr>
          <w:rFonts w:hint="eastAsia" w:ascii="宋体" w:hAnsi="宋体" w:eastAsia="宋体" w:cs="Times New Roman"/>
          <w:color w:val="auto"/>
          <w:szCs w:val="21"/>
          <w:highlight w:val="none"/>
          <w:lang w:eastAsia="zh-CN"/>
        </w:rPr>
        <w:t>且</w:t>
      </w:r>
      <w:r>
        <w:rPr>
          <w:rFonts w:hint="eastAsia" w:ascii="宋体" w:hAnsi="宋体" w:eastAsia="宋体" w:cs="Times New Roman"/>
          <w:color w:val="auto"/>
          <w:szCs w:val="21"/>
          <w:highlight w:val="none"/>
        </w:rPr>
        <w:t>不影响甲方要求乙方承担合同约定的超过履约保证金的违约责任的权利。</w:t>
      </w:r>
    </w:p>
    <w:p w14:paraId="49C1F26D">
      <w:pPr>
        <w:spacing w:line="400" w:lineRule="exact"/>
        <w:ind w:firstLine="420"/>
        <w:outlineLvl w:val="9"/>
        <w:rPr>
          <w:rFonts w:ascii="Times New Roman" w:hAnsi="Times New Roman" w:eastAsia="宋体" w:cs="Times New Roman"/>
          <w:color w:val="auto"/>
          <w:szCs w:val="24"/>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.3 甲方在项目通过验收后按照</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规定的时间内将履约保证金退还乙方；逾期退还的，乙方可要求甲方支付违约金，违约金按照</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规定支付。</w:t>
      </w:r>
    </w:p>
    <w:p w14:paraId="598C9D6A">
      <w:pPr>
        <w:autoSpaceDE w:val="0"/>
        <w:autoSpaceDN w:val="0"/>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4</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售后</w:t>
      </w:r>
      <w:r>
        <w:rPr>
          <w:rFonts w:hint="eastAsia" w:ascii="宋体" w:hAnsi="宋体" w:eastAsia="宋体" w:cs="Times New Roman"/>
          <w:b/>
          <w:color w:val="auto"/>
          <w:sz w:val="24"/>
          <w:szCs w:val="24"/>
          <w:highlight w:val="none"/>
        </w:rPr>
        <w:t>服务</w:t>
      </w:r>
    </w:p>
    <w:p w14:paraId="0690A06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4</w:t>
      </w:r>
      <w:r>
        <w:rPr>
          <w:rFonts w:hint="eastAsia" w:ascii="宋体" w:hAnsi="宋体" w:eastAsia="宋体" w:cs="Times New Roman"/>
          <w:color w:val="auto"/>
          <w:szCs w:val="21"/>
          <w:highlight w:val="none"/>
        </w:rPr>
        <w:t>.1 除项目不涉及或采购活动中明确约定无须承担外，乙方还应提供下列服务：</w:t>
      </w:r>
    </w:p>
    <w:p w14:paraId="0182895B">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（1）货物的现场移动、安装、调试、启动监督及技术支持；</w:t>
      </w:r>
    </w:p>
    <w:p w14:paraId="7923E80F">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（2）提供货物组装和维修所需的专用工具和辅助材料；</w:t>
      </w:r>
    </w:p>
    <w:p w14:paraId="70DBCCB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Times New Roman"/>
          <w:color w:val="auto"/>
          <w:szCs w:val="21"/>
          <w:highlight w:val="none"/>
          <w:lang w:eastAsia="zh-CN"/>
        </w:rPr>
        <w:t>约定</w:t>
      </w:r>
      <w:r>
        <w:rPr>
          <w:rFonts w:hint="eastAsia" w:ascii="宋体" w:hAnsi="宋体" w:eastAsia="宋体" w:cs="Times New Roman"/>
          <w:color w:val="auto"/>
          <w:szCs w:val="21"/>
          <w:highlight w:val="none"/>
        </w:rPr>
        <w:t>的期限内对所有的货物实施运行监督、维修，但前提条件是该服务并不能免除乙方在质量保证期内所承担的义务；</w:t>
      </w:r>
    </w:p>
    <w:p w14:paraId="7DBD2287">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（4）在制造商</w:t>
      </w:r>
      <w:r>
        <w:rPr>
          <w:rFonts w:hint="eastAsia" w:ascii="宋体" w:hAnsi="宋体" w:eastAsia="宋体" w:cs="Times New Roman"/>
          <w:color w:val="auto"/>
          <w:szCs w:val="21"/>
          <w:highlight w:val="none"/>
          <w:lang w:eastAsia="zh-CN"/>
        </w:rPr>
        <w:t>所在地</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指定</w:t>
      </w:r>
      <w:r>
        <w:rPr>
          <w:rFonts w:hint="eastAsia" w:ascii="宋体" w:hAnsi="宋体" w:eastAsia="宋体" w:cs="Times New Roman"/>
          <w:color w:val="auto"/>
          <w:szCs w:val="21"/>
          <w:highlight w:val="none"/>
        </w:rPr>
        <w:t>现场就货物的安装、启动、运营、维护</w:t>
      </w:r>
      <w:r>
        <w:rPr>
          <w:rFonts w:hint="eastAsia" w:ascii="宋体" w:hAnsi="宋体" w:eastAsia="宋体" w:cs="Times New Roman"/>
          <w:color w:val="auto"/>
          <w:szCs w:val="21"/>
          <w:highlight w:val="none"/>
          <w:lang w:eastAsia="zh-CN"/>
        </w:rPr>
        <w:t>、废弃处置等</w:t>
      </w:r>
      <w:r>
        <w:rPr>
          <w:rFonts w:hint="eastAsia" w:ascii="宋体" w:hAnsi="宋体" w:eastAsia="宋体" w:cs="Times New Roman"/>
          <w:color w:val="auto"/>
          <w:szCs w:val="21"/>
          <w:highlight w:val="none"/>
        </w:rPr>
        <w:t>对甲方操作人员进行培训</w:t>
      </w:r>
      <w:r>
        <w:rPr>
          <w:rFonts w:hint="eastAsia" w:ascii="宋体" w:hAnsi="宋体" w:eastAsia="宋体" w:cs="宋体"/>
          <w:szCs w:val="15"/>
          <w:lang w:eastAsia="zh-CN"/>
        </w:rPr>
        <w:t>；</w:t>
      </w:r>
    </w:p>
    <w:p w14:paraId="7EC92474">
      <w:pPr>
        <w:autoSpaceDE w:val="0"/>
        <w:autoSpaceDN w:val="0"/>
        <w:adjustRightInd w:val="0"/>
        <w:spacing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14:paraId="0B35C83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规定由乙方提供的其他服务。</w:t>
      </w:r>
    </w:p>
    <w:p w14:paraId="09E251FB">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.2 乙方提供的</w:t>
      </w:r>
      <w:r>
        <w:rPr>
          <w:rFonts w:hint="eastAsia" w:ascii="宋体" w:hAnsi="宋体" w:eastAsia="宋体" w:cs="Times New Roman"/>
          <w:color w:val="auto"/>
          <w:szCs w:val="21"/>
          <w:highlight w:val="none"/>
          <w:lang w:eastAsia="zh-CN"/>
        </w:rPr>
        <w:t>售后</w:t>
      </w:r>
      <w:r>
        <w:rPr>
          <w:rFonts w:hint="eastAsia" w:ascii="宋体" w:hAnsi="宋体" w:eastAsia="宋体" w:cs="Times New Roman"/>
          <w:color w:val="auto"/>
          <w:szCs w:val="21"/>
          <w:highlight w:val="none"/>
        </w:rPr>
        <w:t>服务的费用</w:t>
      </w:r>
      <w:r>
        <w:rPr>
          <w:rFonts w:hint="eastAsia" w:ascii="宋体" w:hAnsi="宋体" w:eastAsia="宋体" w:cs="Times New Roman"/>
          <w:color w:val="auto"/>
          <w:szCs w:val="21"/>
          <w:highlight w:val="none"/>
          <w:lang w:val="en-US" w:eastAsia="zh-CN"/>
        </w:rPr>
        <w:t>已</w:t>
      </w:r>
      <w:r>
        <w:rPr>
          <w:rFonts w:hint="eastAsia" w:ascii="宋体" w:hAnsi="宋体" w:eastAsia="宋体" w:cs="Times New Roman"/>
          <w:color w:val="auto"/>
          <w:szCs w:val="21"/>
          <w:highlight w:val="none"/>
        </w:rPr>
        <w:t>包含在合同价款中，甲方不再另行支付。</w:t>
      </w:r>
    </w:p>
    <w:p w14:paraId="49AC9941">
      <w:pPr>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5</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违约责任</w:t>
      </w:r>
    </w:p>
    <w:p w14:paraId="6F8F821F">
      <w:pPr>
        <w:adjustRightInd w:val="0"/>
        <w:snapToGrid w:val="0"/>
        <w:spacing w:before="0" w:line="400" w:lineRule="exact"/>
        <w:ind w:firstLine="420" w:firstLineChars="200"/>
        <w:jc w:val="left"/>
        <w:outlineLvl w:val="9"/>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.1质量瑕疵的</w:t>
      </w:r>
      <w:r>
        <w:rPr>
          <w:rFonts w:hint="eastAsia" w:ascii="宋体" w:hAnsi="宋体" w:eastAsia="宋体" w:cs="Times New Roman"/>
          <w:bCs/>
          <w:color w:val="auto"/>
          <w:szCs w:val="21"/>
          <w:highlight w:val="none"/>
          <w:lang w:eastAsia="zh-CN"/>
        </w:rPr>
        <w:t>违约责任</w:t>
      </w:r>
    </w:p>
    <w:p w14:paraId="24789D3D">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的产品不符合</w:t>
      </w:r>
      <w:r>
        <w:rPr>
          <w:rFonts w:hint="eastAsia" w:ascii="宋体" w:hAnsi="宋体" w:eastAsia="宋体" w:cs="Times New Roman"/>
          <w:color w:val="auto"/>
          <w:szCs w:val="21"/>
          <w:highlight w:val="none"/>
          <w:lang w:eastAsia="zh-CN"/>
        </w:rPr>
        <w:t>合同约定的</w:t>
      </w:r>
      <w:r>
        <w:rPr>
          <w:rFonts w:hint="eastAsia" w:ascii="宋体" w:hAnsi="宋体" w:eastAsia="宋体" w:cs="Times New Roman"/>
          <w:color w:val="auto"/>
          <w:szCs w:val="21"/>
          <w:highlight w:val="none"/>
        </w:rPr>
        <w:t>质量标准或存在产品质量缺陷，</w:t>
      </w:r>
      <w:r>
        <w:rPr>
          <w:rFonts w:hint="eastAsia" w:ascii="宋体" w:hAnsi="宋体" w:eastAsia="宋体" w:cs="Times New Roman"/>
          <w:color w:val="auto"/>
          <w:szCs w:val="21"/>
          <w:highlight w:val="none"/>
          <w:lang w:eastAsia="zh-CN"/>
        </w:rPr>
        <w:t>甲方有权要求乙方根据</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b w:val="0"/>
          <w:bCs/>
          <w:color w:val="auto"/>
          <w:szCs w:val="21"/>
          <w:highlight w:val="none"/>
          <w:lang w:eastAsia="zh-CN"/>
        </w:rPr>
        <w:t>要求</w:t>
      </w:r>
      <w:r>
        <w:rPr>
          <w:rFonts w:hint="eastAsia" w:ascii="宋体" w:hAnsi="宋体" w:eastAsia="宋体" w:cs="Times New Roman"/>
          <w:color w:val="auto"/>
          <w:szCs w:val="21"/>
          <w:highlight w:val="none"/>
          <w:lang w:eastAsia="zh-CN"/>
        </w:rPr>
        <w:t>及时修理、重作、更换，并承担由此给甲</w:t>
      </w:r>
      <w:r>
        <w:rPr>
          <w:rFonts w:hint="eastAsia" w:ascii="宋体" w:hAnsi="宋体" w:eastAsia="宋体" w:cs="Times New Roman"/>
          <w:color w:val="auto"/>
          <w:szCs w:val="21"/>
          <w:highlight w:val="none"/>
        </w:rPr>
        <w:t>方</w:t>
      </w:r>
      <w:r>
        <w:rPr>
          <w:rFonts w:hint="eastAsia" w:ascii="宋体" w:hAnsi="宋体" w:eastAsia="宋体" w:cs="Times New Roman"/>
          <w:color w:val="auto"/>
          <w:szCs w:val="21"/>
          <w:highlight w:val="none"/>
          <w:lang w:eastAsia="zh-CN"/>
        </w:rPr>
        <w:t>造成的损失</w:t>
      </w:r>
      <w:r>
        <w:rPr>
          <w:rFonts w:hint="eastAsia" w:ascii="宋体" w:hAnsi="宋体" w:eastAsia="宋体" w:cs="Times New Roman"/>
          <w:color w:val="auto"/>
          <w:szCs w:val="21"/>
          <w:highlight w:val="none"/>
        </w:rPr>
        <w:t>。</w:t>
      </w:r>
    </w:p>
    <w:p w14:paraId="2DEBD90D">
      <w:pPr>
        <w:autoSpaceDE w:val="0"/>
        <w:autoSpaceDN w:val="0"/>
        <w:adjustRightInd w:val="0"/>
        <w:snapToGrid w:val="0"/>
        <w:spacing w:before="0" w:line="400" w:lineRule="exact"/>
        <w:ind w:firstLine="420" w:firstLineChars="200"/>
        <w:jc w:val="left"/>
        <w:outlineLvl w:val="9"/>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.2 迟延交货的违约责任</w:t>
      </w:r>
    </w:p>
    <w:p w14:paraId="71AD573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（1）乙方应按照本合同规定的时间、地点交货和提供</w:t>
      </w:r>
      <w:r>
        <w:rPr>
          <w:rFonts w:hint="eastAsia" w:ascii="宋体" w:hAnsi="宋体" w:eastAsia="宋体" w:cs="Times New Roman"/>
          <w:color w:val="auto"/>
          <w:szCs w:val="21"/>
          <w:highlight w:val="none"/>
          <w:lang w:eastAsia="zh-CN"/>
        </w:rPr>
        <w:t>相关</w:t>
      </w:r>
      <w:r>
        <w:rPr>
          <w:rFonts w:hint="eastAsia" w:ascii="宋体" w:hAnsi="宋体" w:eastAsia="宋体" w:cs="Times New Roman"/>
          <w:color w:val="auto"/>
          <w:szCs w:val="21"/>
          <w:highlight w:val="none"/>
        </w:rPr>
        <w:t>服务。在履行合同过程中，如果乙方遇到可能</w:t>
      </w:r>
      <w:r>
        <w:rPr>
          <w:rFonts w:hint="eastAsia" w:ascii="宋体" w:hAnsi="宋体" w:eastAsia="宋体" w:cs="Times New Roman"/>
          <w:color w:val="auto"/>
          <w:szCs w:val="21"/>
          <w:highlight w:val="none"/>
          <w:lang w:eastAsia="zh-CN"/>
        </w:rPr>
        <w:t>影响</w:t>
      </w:r>
      <w:r>
        <w:rPr>
          <w:rFonts w:hint="eastAsia" w:ascii="宋体" w:hAnsi="宋体" w:eastAsia="宋体" w:cs="Times New Roman"/>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Times New Roman"/>
          <w:color w:val="auto"/>
          <w:szCs w:val="21"/>
          <w:highlight w:val="none"/>
          <w:lang w:eastAsia="zh-CN"/>
        </w:rPr>
        <w:t>长</w:t>
      </w:r>
      <w:r>
        <w:rPr>
          <w:rFonts w:hint="eastAsia" w:ascii="宋体" w:hAnsi="宋体" w:eastAsia="宋体" w:cs="Times New Roman"/>
          <w:color w:val="auto"/>
          <w:szCs w:val="21"/>
          <w:highlight w:val="none"/>
        </w:rPr>
        <w:t>交货时间或延期提供服务。</w:t>
      </w:r>
    </w:p>
    <w:p w14:paraId="39590AFD">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（2）如果乙方没有按照合同规定的时间交货和提供</w:t>
      </w:r>
      <w:r>
        <w:rPr>
          <w:rFonts w:hint="eastAsia" w:ascii="宋体" w:hAnsi="宋体" w:eastAsia="宋体" w:cs="Times New Roman"/>
          <w:color w:val="auto"/>
          <w:szCs w:val="21"/>
          <w:highlight w:val="none"/>
          <w:lang w:eastAsia="zh-CN"/>
        </w:rPr>
        <w:t>相关</w:t>
      </w:r>
      <w:r>
        <w:rPr>
          <w:rFonts w:hint="eastAsia" w:ascii="宋体" w:hAnsi="宋体" w:eastAsia="宋体" w:cs="Times New Roman"/>
          <w:color w:val="auto"/>
          <w:szCs w:val="21"/>
          <w:highlight w:val="none"/>
        </w:rPr>
        <w:t>服务，甲方有权从货款中扣除误期赔偿费而不影响合同项下的其他补救方法，赔偿费按</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规定执行。如果涉及公共利益，且赔偿金额无法弥补公共利益损失，</w:t>
      </w:r>
      <w:r>
        <w:rPr>
          <w:rFonts w:hint="eastAsia" w:ascii="宋体" w:hAnsi="宋体" w:eastAsia="宋体" w:cs="Times New Roman"/>
          <w:color w:val="auto"/>
          <w:szCs w:val="21"/>
          <w:highlight w:val="none"/>
          <w:lang w:eastAsia="zh-CN"/>
        </w:rPr>
        <w:t>甲方</w:t>
      </w:r>
      <w:r>
        <w:rPr>
          <w:rFonts w:hint="eastAsia" w:ascii="宋体" w:hAnsi="宋体" w:eastAsia="宋体" w:cs="Times New Roman"/>
          <w:color w:val="auto"/>
          <w:szCs w:val="21"/>
          <w:highlight w:val="none"/>
        </w:rPr>
        <w:t>可要求继续履行或者</w:t>
      </w:r>
      <w:r>
        <w:rPr>
          <w:rFonts w:hint="eastAsia" w:ascii="宋体" w:hAnsi="宋体" w:eastAsia="宋体" w:cs="Times New Roman"/>
          <w:color w:val="auto"/>
          <w:szCs w:val="21"/>
          <w:highlight w:val="none"/>
          <w:lang w:eastAsia="zh-CN"/>
        </w:rPr>
        <w:t>采取其他补救措施</w:t>
      </w:r>
      <w:r>
        <w:rPr>
          <w:rFonts w:hint="eastAsia" w:ascii="宋体" w:hAnsi="宋体" w:eastAsia="宋体" w:cs="Times New Roman"/>
          <w:color w:val="auto"/>
          <w:szCs w:val="21"/>
          <w:highlight w:val="none"/>
        </w:rPr>
        <w:t>。</w:t>
      </w:r>
    </w:p>
    <w:p w14:paraId="143B412F">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5</w:t>
      </w:r>
      <w:r>
        <w:rPr>
          <w:rFonts w:hint="eastAsia" w:ascii="宋体" w:hAnsi="宋体" w:eastAsia="宋体" w:cs="Times New Roman"/>
          <w:color w:val="auto"/>
          <w:szCs w:val="21"/>
          <w:highlight w:val="none"/>
        </w:rPr>
        <w:t>.3 迟延支付的违约责任</w:t>
      </w:r>
    </w:p>
    <w:p w14:paraId="1A070DC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甲方存在迟延支付乙方合同款项的，应当承担</w:t>
      </w:r>
      <w:r>
        <w:rPr>
          <w:rFonts w:hint="eastAsia" w:ascii="宋体" w:hAnsi="宋体" w:eastAsia="宋体" w:cs="Times New Roman"/>
          <w:b/>
          <w:bCs/>
          <w:color w:val="auto"/>
          <w:szCs w:val="21"/>
          <w:highlight w:val="none"/>
        </w:rPr>
        <w:t>【政府采购合同专用条款】</w:t>
      </w:r>
      <w:r>
        <w:rPr>
          <w:rFonts w:hint="eastAsia" w:ascii="宋体" w:hAnsi="宋体" w:eastAsia="宋体" w:cs="Times New Roman"/>
          <w:color w:val="auto"/>
          <w:szCs w:val="21"/>
          <w:highlight w:val="none"/>
        </w:rPr>
        <w:t>规定的逾期付款利息。</w:t>
      </w:r>
    </w:p>
    <w:p w14:paraId="4A114DB8">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.4其他违约责任根据项目实际需要按</w:t>
      </w:r>
      <w:r>
        <w:rPr>
          <w:rFonts w:hint="eastAsia" w:ascii="宋体" w:hAnsi="宋体" w:eastAsia="宋体" w:cs="Times New Roman"/>
          <w:b/>
          <w:bCs/>
          <w:color w:val="auto"/>
          <w:szCs w:val="21"/>
          <w:highlight w:val="none"/>
        </w:rPr>
        <w:t>【政府采购合同专用条款】</w:t>
      </w:r>
      <w:r>
        <w:rPr>
          <w:rFonts w:hint="eastAsia" w:ascii="宋体" w:hAnsi="宋体" w:eastAsia="宋体" w:cs="Times New Roman"/>
          <w:color w:val="auto"/>
          <w:szCs w:val="21"/>
          <w:highlight w:val="none"/>
        </w:rPr>
        <w:t>规定执行。</w:t>
      </w:r>
    </w:p>
    <w:p w14:paraId="74EB2171">
      <w:pPr>
        <w:numPr>
          <w:ilvl w:val="0"/>
          <w:numId w:val="21"/>
        </w:numPr>
        <w:autoSpaceDE w:val="0"/>
        <w:autoSpaceDN w:val="0"/>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合同变更</w:t>
      </w:r>
      <w:r>
        <w:rPr>
          <w:rFonts w:hint="eastAsia" w:ascii="宋体" w:hAnsi="宋体" w:eastAsia="宋体" w:cs="Times New Roman"/>
          <w:b/>
          <w:color w:val="auto"/>
          <w:sz w:val="24"/>
          <w:szCs w:val="24"/>
          <w:highlight w:val="none"/>
          <w:lang w:eastAsia="zh-CN"/>
        </w:rPr>
        <w:t>、中止与终止</w:t>
      </w:r>
    </w:p>
    <w:p w14:paraId="3051664C">
      <w:pPr>
        <w:autoSpaceDE/>
        <w:autoSpaceDN/>
        <w:adjustRightInd w:val="0"/>
        <w:snapToGrid w:val="0"/>
        <w:spacing w:before="0" w:line="400" w:lineRule="exact"/>
        <w:ind w:firstLine="0" w:firstLineChars="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.1合同的</w:t>
      </w:r>
      <w:r>
        <w:rPr>
          <w:rFonts w:hint="eastAsia" w:ascii="宋体" w:hAnsi="宋体" w:eastAsia="宋体" w:cs="Times New Roman"/>
          <w:color w:val="auto"/>
          <w:szCs w:val="21"/>
          <w:highlight w:val="none"/>
          <w:lang w:eastAsia="zh-CN"/>
        </w:rPr>
        <w:t>变更</w:t>
      </w:r>
    </w:p>
    <w:p w14:paraId="1283CCD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政府采购合同履行中，</w:t>
      </w:r>
      <w:r>
        <w:rPr>
          <w:rFonts w:hint="eastAsia" w:ascii="宋体" w:hAnsi="宋体" w:eastAsia="宋体" w:cs="Times New Roman"/>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Times New Roman"/>
          <w:color w:val="auto"/>
          <w:szCs w:val="21"/>
          <w:highlight w:val="none"/>
          <w:lang w:eastAsia="zh-CN"/>
        </w:rPr>
        <w:t>一致后</w:t>
      </w:r>
      <w:r>
        <w:rPr>
          <w:rFonts w:hint="eastAsia" w:ascii="宋体" w:hAnsi="宋体" w:eastAsia="宋体" w:cs="Times New Roman"/>
          <w:color w:val="auto"/>
          <w:szCs w:val="21"/>
          <w:highlight w:val="none"/>
        </w:rPr>
        <w:t>签订补充协议。</w:t>
      </w:r>
    </w:p>
    <w:p w14:paraId="519E4DD6">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合同的中止</w:t>
      </w:r>
    </w:p>
    <w:p w14:paraId="1A45E580">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（1）合同履行过程中因供应商就采购文件、采购过程或结果提起投诉的，甲方认为有必要的，</w:t>
      </w:r>
      <w:r>
        <w:rPr>
          <w:rFonts w:hint="eastAsia" w:ascii="宋体" w:hAnsi="宋体" w:eastAsia="宋体" w:cs="Times New Roman"/>
          <w:color w:val="auto"/>
          <w:szCs w:val="21"/>
          <w:highlight w:val="none"/>
          <w:lang w:eastAsia="zh-CN"/>
        </w:rPr>
        <w:t>可以</w:t>
      </w:r>
      <w:r>
        <w:rPr>
          <w:rFonts w:hint="eastAsia" w:ascii="宋体" w:hAnsi="宋体" w:eastAsia="宋体" w:cs="Times New Roman"/>
          <w:color w:val="auto"/>
          <w:szCs w:val="21"/>
          <w:highlight w:val="none"/>
        </w:rPr>
        <w:t>中止合同的履行。</w:t>
      </w:r>
    </w:p>
    <w:p w14:paraId="33221817">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合同履行过程中，</w:t>
      </w:r>
      <w:r>
        <w:rPr>
          <w:rFonts w:hint="eastAsia" w:ascii="宋体" w:hAnsi="宋体" w:eastAsia="宋体" w:cs="Times New Roman"/>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Times New Roman"/>
          <w:color w:val="auto"/>
          <w:szCs w:val="21"/>
          <w:highlight w:val="none"/>
          <w:lang w:eastAsia="zh-CN"/>
        </w:rPr>
        <w:t>，乙方有义务及时告知甲方</w:t>
      </w:r>
      <w:r>
        <w:rPr>
          <w:rFonts w:hint="eastAsia" w:ascii="宋体" w:hAnsi="宋体" w:eastAsia="宋体" w:cs="Times New Roman"/>
          <w:color w:val="auto"/>
          <w:szCs w:val="21"/>
          <w:highlight w:val="none"/>
        </w:rPr>
        <w:t>。甲方</w:t>
      </w:r>
      <w:r>
        <w:rPr>
          <w:rFonts w:hint="eastAsia" w:ascii="宋体" w:hAnsi="宋体" w:eastAsia="宋体" w:cs="Times New Roman"/>
          <w:color w:val="auto"/>
          <w:szCs w:val="21"/>
          <w:highlight w:val="none"/>
          <w:lang w:eastAsia="zh-CN"/>
        </w:rPr>
        <w:t>有权</w:t>
      </w:r>
      <w:r>
        <w:rPr>
          <w:rFonts w:hint="eastAsia" w:ascii="宋体" w:hAnsi="宋体" w:eastAsia="宋体" w:cs="Times New Roman"/>
          <w:color w:val="auto"/>
          <w:szCs w:val="21"/>
          <w:highlight w:val="none"/>
        </w:rPr>
        <w:t>以书面形式通知乙方中止合同</w:t>
      </w:r>
      <w:r>
        <w:rPr>
          <w:rFonts w:hint="eastAsia" w:ascii="宋体" w:hAnsi="宋体" w:eastAsia="宋体" w:cs="Times New Roman"/>
          <w:color w:val="auto"/>
          <w:szCs w:val="21"/>
          <w:highlight w:val="none"/>
          <w:lang w:eastAsia="zh-CN"/>
        </w:rPr>
        <w:t>并要求乙方在合理期限内消除相关情形或者提供适当担保。</w:t>
      </w:r>
      <w:r>
        <w:rPr>
          <w:rFonts w:hint="eastAsia" w:ascii="宋体" w:hAnsi="宋体" w:eastAsia="宋体" w:cs="Times New Roman"/>
          <w:color w:val="auto"/>
          <w:szCs w:val="21"/>
          <w:highlight w:val="none"/>
        </w:rPr>
        <w:t>乙方提供适当担保的，</w:t>
      </w:r>
      <w:r>
        <w:rPr>
          <w:rFonts w:hint="eastAsia" w:ascii="宋体" w:hAnsi="宋体" w:eastAsia="宋体" w:cs="Times New Roman"/>
          <w:color w:val="auto"/>
          <w:szCs w:val="21"/>
          <w:highlight w:val="none"/>
          <w:lang w:eastAsia="zh-CN"/>
        </w:rPr>
        <w:t>合同继续</w:t>
      </w:r>
      <w:r>
        <w:rPr>
          <w:rFonts w:hint="eastAsia" w:ascii="宋体" w:hAnsi="宋体" w:eastAsia="宋体" w:cs="Times New Roman"/>
          <w:color w:val="auto"/>
          <w:szCs w:val="21"/>
          <w:highlight w:val="none"/>
        </w:rPr>
        <w:t>履行</w:t>
      </w:r>
      <w:r>
        <w:rPr>
          <w:rFonts w:hint="eastAsia" w:ascii="宋体" w:hAnsi="宋体" w:eastAsia="宋体" w:cs="Times New Roman"/>
          <w:color w:val="auto"/>
          <w:szCs w:val="21"/>
          <w:highlight w:val="none"/>
          <w:lang w:eastAsia="zh-CN"/>
        </w:rPr>
        <w:t>；乙</w:t>
      </w:r>
      <w:r>
        <w:rPr>
          <w:rFonts w:hint="eastAsia" w:ascii="宋体" w:hAnsi="宋体" w:eastAsia="宋体" w:cs="Times New Roman"/>
          <w:color w:val="auto"/>
          <w:szCs w:val="21"/>
          <w:highlight w:val="none"/>
        </w:rPr>
        <w:t>方在合理期限内未恢复履约能力且未提供适当担保的，视为拒绝</w:t>
      </w:r>
      <w:r>
        <w:rPr>
          <w:rFonts w:hint="eastAsia" w:ascii="宋体" w:hAnsi="宋体" w:eastAsia="宋体" w:cs="Times New Roman"/>
          <w:color w:val="auto"/>
          <w:szCs w:val="21"/>
          <w:highlight w:val="none"/>
          <w:lang w:eastAsia="zh-CN"/>
        </w:rPr>
        <w:t>继续</w:t>
      </w:r>
      <w:r>
        <w:rPr>
          <w:rFonts w:hint="eastAsia" w:ascii="宋体" w:hAnsi="宋体" w:eastAsia="宋体" w:cs="Times New Roman"/>
          <w:color w:val="auto"/>
          <w:szCs w:val="21"/>
          <w:highlight w:val="none"/>
        </w:rPr>
        <w:t>履约，甲方</w:t>
      </w:r>
      <w:r>
        <w:rPr>
          <w:rFonts w:hint="eastAsia" w:ascii="宋体" w:hAnsi="宋体" w:eastAsia="宋体" w:cs="Times New Roman"/>
          <w:color w:val="auto"/>
          <w:szCs w:val="21"/>
          <w:highlight w:val="none"/>
          <w:lang w:eastAsia="zh-CN"/>
        </w:rPr>
        <w:t>有权</w:t>
      </w:r>
      <w:r>
        <w:rPr>
          <w:rFonts w:hint="eastAsia" w:ascii="宋体" w:hAnsi="宋体" w:eastAsia="宋体" w:cs="Times New Roman"/>
          <w:color w:val="auto"/>
          <w:szCs w:val="21"/>
          <w:highlight w:val="none"/>
        </w:rPr>
        <w:t>解除合同并要求乙方承担</w:t>
      </w:r>
      <w:r>
        <w:rPr>
          <w:rFonts w:hint="eastAsia" w:ascii="宋体" w:hAnsi="宋体" w:eastAsia="宋体" w:cs="Times New Roman"/>
          <w:color w:val="auto"/>
          <w:szCs w:val="21"/>
          <w:highlight w:val="none"/>
          <w:lang w:eastAsia="zh-CN"/>
        </w:rPr>
        <w:t>由此给甲方造成的损失</w:t>
      </w:r>
      <w:r>
        <w:rPr>
          <w:rFonts w:hint="eastAsia" w:ascii="宋体" w:hAnsi="宋体" w:eastAsia="宋体" w:cs="Times New Roman"/>
          <w:color w:val="auto"/>
          <w:szCs w:val="21"/>
          <w:highlight w:val="none"/>
        </w:rPr>
        <w:t>。</w:t>
      </w:r>
    </w:p>
    <w:p w14:paraId="76C51F49">
      <w:pPr>
        <w:autoSpaceDE w:val="0"/>
        <w:autoSpaceDN w:val="0"/>
        <w:adjustRightInd w:val="0"/>
        <w:spacing w:line="400" w:lineRule="exact"/>
        <w:ind w:firstLine="420" w:firstLineChars="200"/>
        <w:jc w:val="both"/>
        <w:outlineLvl w:val="9"/>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6361D697">
      <w:pPr>
        <w:snapToGrid w:val="0"/>
        <w:spacing w:line="400" w:lineRule="exact"/>
        <w:ind w:firstLine="420" w:firstLineChars="200"/>
        <w:jc w:val="left"/>
        <w:outlineLvl w:val="9"/>
        <w:rPr>
          <w:rFonts w:ascii="Times New Roman" w:hAnsi="Times New Roman" w:eastAsia="宋体" w:cs="Times New Roman"/>
          <w:sz w:val="21"/>
          <w:szCs w:val="24"/>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）甲方不得以行政区划调整、政府换届、机构或者职能调整以及相关责任人更替为由中止合同。</w:t>
      </w:r>
    </w:p>
    <w:p w14:paraId="553272CB">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合同的终止</w:t>
      </w:r>
    </w:p>
    <w:p w14:paraId="146AA27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（1）合同因有效期限届满而终止；</w:t>
      </w:r>
    </w:p>
    <w:p w14:paraId="0260364D">
      <w:pPr>
        <w:snapToGrid w:val="0"/>
        <w:spacing w:line="400" w:lineRule="exact"/>
        <w:ind w:firstLine="420" w:firstLineChars="200"/>
        <w:outlineLvl w:val="9"/>
        <w:rPr>
          <w:rFonts w:hint="eastAsia" w:ascii="宋体" w:hAnsi="宋体" w:eastAsia="宋体" w:cs="宋体"/>
          <w:szCs w:val="21"/>
          <w:lang w:eastAsia="zh-CN"/>
        </w:rPr>
      </w:pPr>
      <w:r>
        <w:rPr>
          <w:rFonts w:hint="eastAsia" w:ascii="宋体" w:hAnsi="宋体" w:eastAsia="宋体" w:cs="Times New Roman"/>
          <w:color w:val="auto"/>
          <w:szCs w:val="21"/>
          <w:highlight w:val="none"/>
        </w:rPr>
        <w:t>（2）乙方未</w:t>
      </w:r>
      <w:r>
        <w:rPr>
          <w:rFonts w:hint="eastAsia" w:ascii="宋体" w:hAnsi="宋体" w:eastAsia="宋体" w:cs="Times New Roman"/>
          <w:color w:val="auto"/>
          <w:szCs w:val="21"/>
          <w:highlight w:val="none"/>
          <w:lang w:eastAsia="zh-CN"/>
        </w:rPr>
        <w:t>按</w:t>
      </w:r>
      <w:r>
        <w:rPr>
          <w:rFonts w:hint="eastAsia" w:ascii="宋体" w:hAnsi="宋体" w:eastAsia="宋体" w:cs="Times New Roman"/>
          <w:color w:val="auto"/>
          <w:szCs w:val="21"/>
          <w:highlight w:val="none"/>
        </w:rPr>
        <w:t>合同约定履行，构成根本性违约的，甲方有权终止合同</w:t>
      </w:r>
      <w:r>
        <w:rPr>
          <w:rFonts w:hint="eastAsia" w:ascii="宋体" w:hAnsi="宋体" w:eastAsia="宋体" w:cs="Times New Roman"/>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Times New Roman"/>
          <w:color w:val="auto"/>
          <w:szCs w:val="21"/>
          <w:highlight w:val="none"/>
        </w:rPr>
        <w:t>。</w:t>
      </w:r>
    </w:p>
    <w:p w14:paraId="23E5D8AA">
      <w:pPr>
        <w:autoSpaceDE w:val="0"/>
        <w:autoSpaceDN w:val="0"/>
        <w:adjustRightInd w:val="0"/>
        <w:spacing w:line="400" w:lineRule="exact"/>
        <w:ind w:firstLine="440" w:firstLineChars="200"/>
        <w:outlineLvl w:val="9"/>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14:paraId="5A310C53">
      <w:pPr>
        <w:autoSpaceDE w:val="0"/>
        <w:autoSpaceDN w:val="0"/>
        <w:adjustRightInd w:val="0"/>
        <w:spacing w:line="400" w:lineRule="exact"/>
        <w:ind w:firstLine="420" w:firstLineChars="200"/>
        <w:jc w:val="both"/>
        <w:outlineLvl w:val="9"/>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14:paraId="0EE969FF">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合同分包</w:t>
      </w:r>
    </w:p>
    <w:p w14:paraId="7B181B9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 乙方不得</w:t>
      </w:r>
      <w:r>
        <w:rPr>
          <w:rFonts w:hint="eastAsia" w:ascii="宋体" w:hAnsi="宋体" w:eastAsia="宋体" w:cs="Times New Roman"/>
          <w:color w:val="auto"/>
          <w:szCs w:val="21"/>
          <w:highlight w:val="none"/>
          <w:lang w:eastAsia="zh-CN"/>
        </w:rPr>
        <w:t>将合同转包给其他供应商。涉及合同分包的，乙方</w:t>
      </w:r>
      <w:r>
        <w:rPr>
          <w:rFonts w:hint="eastAsia" w:ascii="宋体" w:hAnsi="宋体" w:eastAsia="宋体" w:cs="Times New Roman"/>
          <w:color w:val="auto"/>
          <w:szCs w:val="21"/>
          <w:highlight w:val="none"/>
          <w:lang w:val="en-US" w:eastAsia="zh-CN"/>
        </w:rPr>
        <w:t>应</w:t>
      </w:r>
      <w:r>
        <w:rPr>
          <w:rFonts w:hint="eastAsia" w:ascii="宋体" w:hAnsi="宋体" w:eastAsia="宋体" w:cs="Times New Roman"/>
          <w:color w:val="auto"/>
          <w:szCs w:val="21"/>
          <w:highlight w:val="none"/>
          <w:lang w:eastAsia="zh-CN"/>
        </w:rPr>
        <w:t>根据采购文件和投标（响应）文件规定进行</w:t>
      </w:r>
      <w:r>
        <w:rPr>
          <w:rFonts w:hint="eastAsia" w:ascii="宋体" w:hAnsi="宋体" w:eastAsia="宋体" w:cs="Times New Roman"/>
          <w:color w:val="auto"/>
          <w:szCs w:val="21"/>
          <w:highlight w:val="none"/>
        </w:rPr>
        <w:t>合同分包。</w:t>
      </w:r>
    </w:p>
    <w:p w14:paraId="61C87CAC">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 乙方执行政府采购政策向中小企业依法分包的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乙方应当按采购文件</w:t>
      </w:r>
      <w:r>
        <w:rPr>
          <w:rFonts w:hint="eastAsia" w:ascii="宋体" w:hAnsi="宋体" w:eastAsia="宋体" w:cs="Times New Roman"/>
          <w:color w:val="auto"/>
          <w:szCs w:val="21"/>
          <w:highlight w:val="none"/>
          <w:lang w:eastAsia="zh-CN"/>
        </w:rPr>
        <w:t>和</w:t>
      </w:r>
      <w:r>
        <w:rPr>
          <w:rFonts w:hint="eastAsia" w:ascii="宋体" w:hAnsi="宋体" w:eastAsia="宋体" w:cs="Times New Roman"/>
          <w:color w:val="auto"/>
          <w:szCs w:val="21"/>
          <w:highlight w:val="none"/>
        </w:rPr>
        <w:t>投标（响应）文件签订分包</w:t>
      </w:r>
      <w:r>
        <w:rPr>
          <w:rFonts w:hint="eastAsia" w:ascii="宋体" w:hAnsi="宋体" w:eastAsia="宋体" w:cs="Times New Roman"/>
          <w:color w:val="auto"/>
          <w:szCs w:val="21"/>
          <w:highlight w:val="none"/>
          <w:lang w:eastAsia="zh-CN"/>
        </w:rPr>
        <w:t>意向</w:t>
      </w:r>
      <w:r>
        <w:rPr>
          <w:rFonts w:hint="eastAsia" w:ascii="宋体" w:hAnsi="宋体" w:eastAsia="宋体" w:cs="Times New Roman"/>
          <w:color w:val="auto"/>
          <w:szCs w:val="21"/>
          <w:highlight w:val="none"/>
        </w:rPr>
        <w:t>协议，分包</w:t>
      </w:r>
      <w:r>
        <w:rPr>
          <w:rFonts w:hint="eastAsia" w:ascii="宋体" w:hAnsi="宋体" w:eastAsia="宋体" w:cs="Times New Roman"/>
          <w:color w:val="auto"/>
          <w:szCs w:val="21"/>
          <w:highlight w:val="none"/>
          <w:lang w:eastAsia="zh-CN"/>
        </w:rPr>
        <w:t>意向</w:t>
      </w:r>
      <w:r>
        <w:rPr>
          <w:rFonts w:hint="eastAsia" w:ascii="宋体" w:hAnsi="宋体" w:eastAsia="宋体" w:cs="Times New Roman"/>
          <w:color w:val="auto"/>
          <w:szCs w:val="21"/>
          <w:highlight w:val="none"/>
        </w:rPr>
        <w:t>协议属于本合同组成部分。</w:t>
      </w:r>
    </w:p>
    <w:p w14:paraId="0400D311">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不可抗力</w:t>
      </w:r>
    </w:p>
    <w:p w14:paraId="756E514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 不可抗力是指合同双方不能预见、不能避免且不能克服的客观情况。</w:t>
      </w:r>
    </w:p>
    <w:p w14:paraId="72C9AA9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 任何一方对由于不可抗力造成的部分或全部不能履行合同不承担违约责任。但迟延履行后发生不可抗力的，不能免除责任。</w:t>
      </w:r>
    </w:p>
    <w:p w14:paraId="5559948C">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 遇有不可抗力的一方，应及时将事件情况以书面形式</w:t>
      </w:r>
      <w:r>
        <w:rPr>
          <w:rFonts w:hint="eastAsia" w:ascii="宋体" w:hAnsi="宋体" w:eastAsia="宋体" w:cs="Times New Roman"/>
          <w:color w:val="auto"/>
          <w:szCs w:val="21"/>
          <w:highlight w:val="none"/>
          <w:lang w:eastAsia="zh-CN"/>
        </w:rPr>
        <w:t>告</w:t>
      </w:r>
      <w:r>
        <w:rPr>
          <w:rFonts w:hint="eastAsia" w:ascii="宋体" w:hAnsi="宋体" w:eastAsia="宋体" w:cs="Times New Roman"/>
          <w:color w:val="auto"/>
          <w:szCs w:val="21"/>
          <w:highlight w:val="none"/>
        </w:rPr>
        <w:t>知另一方，并在事件发生后及时向另一方提交合同不能履行或部分不能履行或需要延期履行</w:t>
      </w:r>
      <w:r>
        <w:rPr>
          <w:rFonts w:hint="eastAsia" w:ascii="宋体" w:hAnsi="宋体" w:eastAsia="宋体" w:cs="Times New Roman"/>
          <w:color w:val="auto"/>
          <w:szCs w:val="21"/>
          <w:highlight w:val="none"/>
          <w:lang w:eastAsia="zh-CN"/>
        </w:rPr>
        <w:t>的详细</w:t>
      </w:r>
      <w:r>
        <w:rPr>
          <w:rFonts w:hint="eastAsia" w:ascii="宋体" w:hAnsi="宋体" w:eastAsia="宋体" w:cs="Times New Roman"/>
          <w:color w:val="auto"/>
          <w:szCs w:val="21"/>
          <w:highlight w:val="none"/>
        </w:rPr>
        <w:t>报告</w:t>
      </w:r>
      <w:r>
        <w:rPr>
          <w:rFonts w:hint="eastAsia" w:ascii="宋体" w:hAnsi="宋体" w:eastAsia="宋体" w:cs="Times New Roman"/>
          <w:color w:val="auto"/>
          <w:szCs w:val="21"/>
          <w:highlight w:val="none"/>
          <w:lang w:eastAsia="zh-CN"/>
        </w:rPr>
        <w:t>，以</w:t>
      </w:r>
      <w:r>
        <w:rPr>
          <w:rFonts w:hint="eastAsia" w:ascii="宋体" w:hAnsi="宋体" w:eastAsia="宋体" w:cs="Times New Roman"/>
          <w:color w:val="auto"/>
          <w:szCs w:val="21"/>
          <w:highlight w:val="none"/>
          <w:lang w:val="en-US" w:eastAsia="zh-CN"/>
        </w:rPr>
        <w:t>及证明不可抗力发生及其持续时间的证据</w:t>
      </w:r>
      <w:r>
        <w:rPr>
          <w:rFonts w:hint="eastAsia" w:ascii="宋体" w:hAnsi="宋体" w:eastAsia="宋体" w:cs="Times New Roman"/>
          <w:color w:val="auto"/>
          <w:szCs w:val="21"/>
          <w:highlight w:val="none"/>
        </w:rPr>
        <w:t>。</w:t>
      </w:r>
    </w:p>
    <w:p w14:paraId="5FB33D73">
      <w:pPr>
        <w:autoSpaceDE w:val="0"/>
        <w:autoSpaceDN w:val="0"/>
        <w:adjustRightInd w:val="0"/>
        <w:snapToGrid w:val="0"/>
        <w:spacing w:before="0" w:line="400" w:lineRule="exact"/>
        <w:jc w:val="left"/>
        <w:outlineLvl w:val="9"/>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19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解决争议的方法</w:t>
      </w:r>
    </w:p>
    <w:p w14:paraId="483FE240">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50E8440E">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14:paraId="05DF21E2">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14:paraId="1CD824E2">
      <w:pPr>
        <w:autoSpaceDE w:val="0"/>
        <w:autoSpaceDN w:val="0"/>
        <w:adjustRightInd w:val="0"/>
        <w:snapToGrid w:val="0"/>
        <w:spacing w:before="0" w:line="400" w:lineRule="exact"/>
        <w:jc w:val="left"/>
        <w:outlineLvl w:val="9"/>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lang w:val="en-US" w:eastAsia="zh-CN"/>
        </w:rPr>
        <w:t>20</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政府采购政策</w:t>
      </w:r>
    </w:p>
    <w:p w14:paraId="14BCA99B">
      <w:pPr>
        <w:autoSpaceDE w:val="0"/>
        <w:autoSpaceDN w:val="0"/>
        <w:adjustRightInd w:val="0"/>
        <w:snapToGrid w:val="0"/>
        <w:spacing w:before="0" w:line="400" w:lineRule="exact"/>
        <w:ind w:firstLine="420" w:firstLineChars="200"/>
        <w:jc w:val="left"/>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20.1 </w:t>
      </w:r>
      <w:r>
        <w:rPr>
          <w:rFonts w:hint="eastAsia" w:ascii="宋体" w:hAnsi="宋体" w:eastAsia="宋体" w:cs="宋体"/>
          <w:szCs w:val="24"/>
          <w:lang w:val="en-GB"/>
        </w:rPr>
        <w:t>本合同应当按照规定执行政府采购政策。</w:t>
      </w:r>
    </w:p>
    <w:p w14:paraId="6B85CD9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 xml:space="preserve"> 本合同依法执行政府采购政策的方式和内容，属于合同履约验收的范围。</w:t>
      </w:r>
      <w:r>
        <w:rPr>
          <w:rFonts w:hint="eastAsia" w:ascii="宋体" w:hAnsi="宋体" w:eastAsia="宋体" w:cs="宋体"/>
          <w:sz w:val="21"/>
          <w:szCs w:val="24"/>
          <w:lang w:eastAsia="zh-CN"/>
        </w:rPr>
        <w:t>甲乙双方</w:t>
      </w:r>
      <w:r>
        <w:rPr>
          <w:rFonts w:hint="eastAsia" w:ascii="宋体" w:hAnsi="宋体" w:eastAsia="宋体" w:cs="宋体"/>
          <w:szCs w:val="24"/>
          <w:lang w:val="en-GB"/>
        </w:rPr>
        <w:t>未按规定要求执行政府采购政策造成损失的</w:t>
      </w:r>
      <w:r>
        <w:rPr>
          <w:rFonts w:hint="eastAsia" w:ascii="宋体" w:hAnsi="宋体" w:eastAsia="宋体" w:cs="Times New Roman"/>
          <w:color w:val="auto"/>
          <w:szCs w:val="21"/>
          <w:highlight w:val="none"/>
        </w:rPr>
        <w:t>，有过错的一方应当承担赔偿责任，双方都有过错的，各自承担相应的责任。</w:t>
      </w:r>
    </w:p>
    <w:p w14:paraId="1A1AF5E8">
      <w:pPr>
        <w:widowControl w:val="0"/>
        <w:spacing w:after="0" w:line="400" w:lineRule="exact"/>
        <w:ind w:firstLine="420" w:firstLineChars="200"/>
        <w:jc w:val="both"/>
        <w:outlineLvl w:val="9"/>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3B4DD7E">
      <w:pPr>
        <w:autoSpaceDE w:val="0"/>
        <w:autoSpaceDN w:val="0"/>
        <w:adjustRightInd w:val="0"/>
        <w:snapToGrid w:val="0"/>
        <w:spacing w:before="0" w:line="400" w:lineRule="exact"/>
        <w:jc w:val="left"/>
        <w:outlineLvl w:val="9"/>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lang w:val="en-US" w:eastAsia="zh-CN"/>
        </w:rPr>
        <w:t>1</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法律适用</w:t>
      </w:r>
    </w:p>
    <w:p w14:paraId="74772C1A">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14:paraId="216CA1F4">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14:paraId="05B81AF1">
      <w:pPr>
        <w:numPr>
          <w:ilvl w:val="-1"/>
          <w:numId w:val="0"/>
        </w:numPr>
        <w:autoSpaceDE w:val="0"/>
        <w:autoSpaceDN w:val="0"/>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 xml:space="preserve">22. </w:t>
      </w:r>
      <w:r>
        <w:rPr>
          <w:rFonts w:hint="eastAsia" w:ascii="宋体" w:hAnsi="宋体" w:eastAsia="宋体" w:cs="Times New Roman"/>
          <w:b/>
          <w:color w:val="auto"/>
          <w:sz w:val="24"/>
          <w:szCs w:val="24"/>
          <w:highlight w:val="none"/>
        </w:rPr>
        <w:t>通知</w:t>
      </w:r>
    </w:p>
    <w:p w14:paraId="5CC6F0EB">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14:paraId="5C9ED859">
      <w:pPr>
        <w:autoSpaceDE w:val="0"/>
        <w:autoSpaceDN w:val="0"/>
        <w:adjustRightInd w:val="0"/>
        <w:spacing w:line="400" w:lineRule="exact"/>
        <w:ind w:firstLine="0" w:firstLineChars="0"/>
        <w:jc w:val="both"/>
        <w:outlineLvl w:val="9"/>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3970F388">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本合同一方给另一方的通知均应采用书面形式，传真或快递送到本合同中规定的对方的地址和办理签收手续。</w:t>
      </w:r>
    </w:p>
    <w:p w14:paraId="3BA7D57B">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通知以送达之日或通知书中规定的生效之日起生效，两者中以较迟之日为准。</w:t>
      </w:r>
    </w:p>
    <w:p w14:paraId="32F6D040">
      <w:pPr>
        <w:numPr>
          <w:ilvl w:val="0"/>
          <w:numId w:val="22"/>
        </w:numPr>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合同未尽事项</w:t>
      </w:r>
    </w:p>
    <w:p w14:paraId="7DB84D62">
      <w:pPr>
        <w:adjustRightInd w:val="0"/>
        <w:snapToGrid w:val="0"/>
        <w:spacing w:before="0" w:line="400" w:lineRule="exact"/>
        <w:ind w:firstLine="420" w:firstLineChars="200"/>
        <w:jc w:val="left"/>
        <w:outlineLvl w:val="9"/>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.1合同未尽事项见</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bCs/>
          <w:color w:val="auto"/>
          <w:szCs w:val="21"/>
          <w:highlight w:val="none"/>
        </w:rPr>
        <w:t>。</w:t>
      </w:r>
    </w:p>
    <w:p w14:paraId="607F7DDA">
      <w:pPr>
        <w:adjustRightInd w:val="0"/>
        <w:snapToGrid w:val="0"/>
        <w:spacing w:line="400" w:lineRule="exact"/>
        <w:ind w:firstLine="0" w:firstLineChars="0"/>
        <w:jc w:val="left"/>
        <w:outlineLvl w:val="9"/>
        <w:rPr>
          <w:rFonts w:ascii="黑体" w:hAnsi="华文中宋" w:eastAsia="黑体" w:cs="Times New Roman"/>
          <w:color w:val="auto"/>
          <w:sz w:val="28"/>
          <w:szCs w:val="28"/>
        </w:rPr>
      </w:pPr>
      <w:r>
        <w:rPr>
          <w:rFonts w:hint="eastAsia" w:ascii="宋体" w:hAnsi="宋体" w:eastAsia="宋体" w:cs="Times New Roman"/>
          <w:bCs/>
          <w:color w:val="auto"/>
          <w:szCs w:val="21"/>
          <w:highlight w:val="none"/>
          <w:lang w:val="en-US" w:eastAsia="zh-CN"/>
        </w:rPr>
        <w:t xml:space="preserve">    23.2 合同附件与合同正文具有同等的法律效力。</w:t>
      </w:r>
      <w:bookmarkStart w:id="137" w:name="_Toc20313"/>
    </w:p>
    <w:p w14:paraId="4F819783">
      <w:pPr>
        <w:adjustRightInd w:val="0"/>
        <w:snapToGrid w:val="0"/>
        <w:jc w:val="center"/>
        <w:outlineLvl w:val="9"/>
        <w:rPr>
          <w:rFonts w:hint="eastAsia" w:ascii="黑体" w:hAnsi="华文中宋" w:eastAsia="黑体" w:cs="Times New Roman"/>
          <w:b w:val="0"/>
          <w:bCs w:val="0"/>
          <w:sz w:val="28"/>
          <w:szCs w:val="28"/>
        </w:rPr>
      </w:pPr>
      <w:r>
        <w:rPr>
          <w:rFonts w:hint="eastAsia" w:ascii="黑体" w:hAnsi="华文中宋" w:eastAsia="黑体" w:cs="Times New Roman"/>
          <w:b w:val="0"/>
          <w:bCs w:val="0"/>
          <w:sz w:val="28"/>
          <w:szCs w:val="28"/>
        </w:rPr>
        <w:br w:type="page"/>
      </w:r>
    </w:p>
    <w:p w14:paraId="6237779A">
      <w:pPr>
        <w:keepNext/>
        <w:keepLines/>
        <w:widowControl w:val="0"/>
        <w:adjustRightInd w:val="0"/>
        <w:snapToGrid w:val="0"/>
        <w:spacing w:line="360" w:lineRule="auto"/>
        <w:jc w:val="center"/>
        <w:outlineLvl w:val="9"/>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137"/>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5C2B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D7AC88">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72067A0E">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第1.2（</w:t>
            </w:r>
            <w:r>
              <w:rPr>
                <w:rFonts w:hint="eastAsia" w:ascii="宋体" w:hAnsi="宋体" w:eastAsia="宋体" w:cs="Times New Roman"/>
                <w:szCs w:val="21"/>
                <w:lang w:val="en-US" w:eastAsia="zh-CN"/>
              </w:rPr>
              <w:t>6</w:t>
            </w:r>
            <w:r>
              <w:rPr>
                <w:rFonts w:hint="eastAsia" w:ascii="宋体" w:hAnsi="宋体" w:eastAsia="宋体" w:cs="Times New Roman"/>
                <w:szCs w:val="21"/>
              </w:rPr>
              <w:t>）项</w:t>
            </w:r>
          </w:p>
        </w:tc>
        <w:tc>
          <w:tcPr>
            <w:tcW w:w="1742" w:type="dxa"/>
            <w:vAlign w:val="center"/>
          </w:tcPr>
          <w:p w14:paraId="72021B85">
            <w:pPr>
              <w:adjustRightInd w:val="0"/>
              <w:snapToGrid w:val="0"/>
              <w:jc w:val="left"/>
              <w:outlineLvl w:val="9"/>
              <w:rPr>
                <w:rFonts w:ascii="宋体" w:hAnsi="宋体" w:eastAsia="宋体" w:cs="Times New Roman"/>
                <w:szCs w:val="21"/>
              </w:rPr>
            </w:pPr>
            <w:r>
              <w:rPr>
                <w:rFonts w:hint="eastAsia" w:ascii="宋体" w:hAnsi="宋体" w:eastAsia="宋体" w:cs="Times New Roman"/>
                <w:szCs w:val="21"/>
                <w:lang w:eastAsia="zh-CN"/>
              </w:rPr>
              <w:t>联合体具体要求</w:t>
            </w:r>
          </w:p>
        </w:tc>
        <w:tc>
          <w:tcPr>
            <w:tcW w:w="5170" w:type="dxa"/>
            <w:vAlign w:val="center"/>
          </w:tcPr>
          <w:p w14:paraId="6160258E">
            <w:pPr>
              <w:adjustRightInd w:val="0"/>
              <w:snapToGrid w:val="0"/>
              <w:jc w:val="left"/>
              <w:outlineLvl w:val="9"/>
              <w:rPr>
                <w:rFonts w:ascii="宋体" w:hAnsi="宋体" w:eastAsia="宋体" w:cs="Times New Roman"/>
                <w:szCs w:val="21"/>
              </w:rPr>
            </w:pPr>
          </w:p>
        </w:tc>
      </w:tr>
      <w:tr w14:paraId="339A3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3366461">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162EA3EA">
            <w:pPr>
              <w:adjustRightInd w:val="0"/>
              <w:snapToGrid w:val="0"/>
              <w:jc w:val="center"/>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第1.2（</w:t>
            </w:r>
            <w:r>
              <w:rPr>
                <w:rFonts w:hint="eastAsia" w:ascii="宋体" w:hAnsi="宋体" w:eastAsia="宋体" w:cs="Times New Roman"/>
                <w:szCs w:val="21"/>
                <w:lang w:val="en-US" w:eastAsia="zh-CN"/>
              </w:rPr>
              <w:t>7</w:t>
            </w:r>
            <w:r>
              <w:rPr>
                <w:rFonts w:hint="eastAsia" w:ascii="宋体" w:hAnsi="宋体" w:eastAsia="宋体" w:cs="Times New Roman"/>
                <w:szCs w:val="21"/>
              </w:rPr>
              <w:t>）项</w:t>
            </w:r>
          </w:p>
        </w:tc>
        <w:tc>
          <w:tcPr>
            <w:tcW w:w="1742" w:type="dxa"/>
            <w:vAlign w:val="center"/>
          </w:tcPr>
          <w:p w14:paraId="5C0F0111">
            <w:pPr>
              <w:adjustRightInd w:val="0"/>
              <w:snapToGrid w:val="0"/>
              <w:jc w:val="left"/>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其他术语解释</w:t>
            </w:r>
          </w:p>
        </w:tc>
        <w:tc>
          <w:tcPr>
            <w:tcW w:w="5170" w:type="dxa"/>
            <w:vAlign w:val="center"/>
          </w:tcPr>
          <w:p w14:paraId="2D864D71">
            <w:pPr>
              <w:adjustRightInd w:val="0"/>
              <w:snapToGrid w:val="0"/>
              <w:jc w:val="left"/>
              <w:outlineLvl w:val="9"/>
              <w:rPr>
                <w:rFonts w:ascii="宋体" w:hAnsi="宋体" w:eastAsia="宋体" w:cs="Times New Roman"/>
                <w:kern w:val="2"/>
                <w:sz w:val="21"/>
                <w:szCs w:val="21"/>
                <w:lang w:val="en-US" w:eastAsia="zh-CN" w:bidi="ar-SA"/>
              </w:rPr>
            </w:pPr>
          </w:p>
        </w:tc>
      </w:tr>
      <w:tr w14:paraId="22D5C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D1315A">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4BBFB014">
            <w:pPr>
              <w:adjustRightInd w:val="0"/>
              <w:snapToGrid w:val="0"/>
              <w:jc w:val="center"/>
              <w:outlineLvl w:val="9"/>
              <w:rPr>
                <w:rFonts w:hint="default" w:ascii="宋体" w:hAnsi="宋体" w:eastAsia="宋体" w:cs="Times New Roman"/>
                <w:szCs w:val="21"/>
                <w:lang w:val="en-US"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4.4款</w:t>
            </w:r>
          </w:p>
        </w:tc>
        <w:tc>
          <w:tcPr>
            <w:tcW w:w="1742" w:type="dxa"/>
            <w:vAlign w:val="center"/>
          </w:tcPr>
          <w:p w14:paraId="0CB89531">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履约验收中甲方提出异议或作出说明的期限</w:t>
            </w:r>
          </w:p>
        </w:tc>
        <w:tc>
          <w:tcPr>
            <w:tcW w:w="5170" w:type="dxa"/>
            <w:vAlign w:val="center"/>
          </w:tcPr>
          <w:p w14:paraId="20CCF50B">
            <w:pPr>
              <w:adjustRightInd w:val="0"/>
              <w:snapToGrid w:val="0"/>
              <w:jc w:val="left"/>
              <w:outlineLvl w:val="9"/>
              <w:rPr>
                <w:rFonts w:ascii="宋体" w:hAnsi="宋体" w:eastAsia="宋体" w:cs="Times New Roman"/>
                <w:kern w:val="2"/>
                <w:sz w:val="21"/>
                <w:szCs w:val="21"/>
                <w:lang w:val="en-US" w:eastAsia="zh-CN" w:bidi="ar-SA"/>
              </w:rPr>
            </w:pPr>
          </w:p>
        </w:tc>
      </w:tr>
      <w:tr w14:paraId="231D00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6744D3">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2852D506">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4.6款</w:t>
            </w:r>
          </w:p>
        </w:tc>
        <w:tc>
          <w:tcPr>
            <w:tcW w:w="1742" w:type="dxa"/>
            <w:vAlign w:val="center"/>
          </w:tcPr>
          <w:p w14:paraId="18FCBA7A">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约定甲方承担的其他义务和责任</w:t>
            </w:r>
          </w:p>
        </w:tc>
        <w:tc>
          <w:tcPr>
            <w:tcW w:w="5170" w:type="dxa"/>
            <w:vAlign w:val="center"/>
          </w:tcPr>
          <w:p w14:paraId="41D5CDB1">
            <w:pPr>
              <w:adjustRightInd w:val="0"/>
              <w:snapToGrid w:val="0"/>
              <w:jc w:val="left"/>
              <w:outlineLvl w:val="9"/>
              <w:rPr>
                <w:rFonts w:ascii="宋体" w:hAnsi="宋体" w:eastAsia="宋体" w:cs="Times New Roman"/>
                <w:kern w:val="2"/>
                <w:sz w:val="21"/>
                <w:szCs w:val="21"/>
                <w:lang w:val="en-US" w:eastAsia="zh-CN" w:bidi="ar-SA"/>
              </w:rPr>
            </w:pPr>
          </w:p>
        </w:tc>
      </w:tr>
      <w:tr w14:paraId="04614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D9ED26">
            <w:pPr>
              <w:adjustRightInd w:val="0"/>
              <w:snapToGrid w:val="0"/>
              <w:jc w:val="center"/>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第二节</w:t>
            </w:r>
          </w:p>
          <w:p w14:paraId="632AA9AC">
            <w:pPr>
              <w:snapToGrid w:val="0"/>
              <w:jc w:val="center"/>
              <w:outlineLvl w:val="9"/>
              <w:rPr>
                <w:rFonts w:hint="default" w:ascii="Times New Roman" w:hAnsi="Times New Roman" w:eastAsia="宋体" w:cs="Times New Roman"/>
                <w:szCs w:val="24"/>
                <w:lang w:val="en-US"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5.4款</w:t>
            </w:r>
          </w:p>
        </w:tc>
        <w:tc>
          <w:tcPr>
            <w:tcW w:w="1742" w:type="dxa"/>
            <w:vAlign w:val="center"/>
          </w:tcPr>
          <w:p w14:paraId="59D15F6F">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约定乙方承担的其他义务和责任</w:t>
            </w:r>
          </w:p>
        </w:tc>
        <w:tc>
          <w:tcPr>
            <w:tcW w:w="5170" w:type="dxa"/>
            <w:vAlign w:val="center"/>
          </w:tcPr>
          <w:p w14:paraId="47B46B75">
            <w:pPr>
              <w:adjustRightInd w:val="0"/>
              <w:snapToGrid w:val="0"/>
              <w:jc w:val="left"/>
              <w:outlineLvl w:val="9"/>
              <w:rPr>
                <w:rFonts w:ascii="宋体" w:hAnsi="宋体" w:eastAsia="宋体" w:cs="Times New Roman"/>
                <w:kern w:val="2"/>
                <w:sz w:val="21"/>
                <w:szCs w:val="21"/>
                <w:lang w:val="en-US" w:eastAsia="zh-CN" w:bidi="ar-SA"/>
              </w:rPr>
            </w:pPr>
          </w:p>
        </w:tc>
      </w:tr>
      <w:tr w14:paraId="074537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350A6051">
            <w:pPr>
              <w:adjustRightInd w:val="0"/>
              <w:snapToGrid w:val="0"/>
              <w:jc w:val="center"/>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第二节</w:t>
            </w:r>
          </w:p>
          <w:p w14:paraId="4B52CA92">
            <w:pPr>
              <w:snapToGrid w:val="0"/>
              <w:jc w:val="center"/>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6.1款</w:t>
            </w:r>
          </w:p>
        </w:tc>
        <w:tc>
          <w:tcPr>
            <w:tcW w:w="1742" w:type="dxa"/>
            <w:vAlign w:val="center"/>
          </w:tcPr>
          <w:p w14:paraId="67BD621E">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履行合同义务的顺序</w:t>
            </w:r>
          </w:p>
        </w:tc>
        <w:tc>
          <w:tcPr>
            <w:tcW w:w="5170" w:type="dxa"/>
            <w:vAlign w:val="center"/>
          </w:tcPr>
          <w:p w14:paraId="75A3D0A2">
            <w:pPr>
              <w:adjustRightInd w:val="0"/>
              <w:snapToGrid w:val="0"/>
              <w:jc w:val="left"/>
              <w:outlineLvl w:val="9"/>
              <w:rPr>
                <w:rFonts w:ascii="宋体" w:hAnsi="宋体" w:eastAsia="宋体" w:cs="Times New Roman"/>
                <w:kern w:val="2"/>
                <w:sz w:val="21"/>
                <w:szCs w:val="21"/>
                <w:lang w:val="en-US" w:eastAsia="zh-CN" w:bidi="ar-SA"/>
              </w:rPr>
            </w:pPr>
          </w:p>
        </w:tc>
      </w:tr>
      <w:tr w14:paraId="3A20A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EE5BD10">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16F94233">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.1</w:t>
            </w:r>
            <w:r>
              <w:rPr>
                <w:rFonts w:hint="eastAsia" w:ascii="宋体" w:hAnsi="宋体" w:eastAsia="宋体" w:cs="Times New Roman"/>
                <w:szCs w:val="21"/>
                <w:lang w:val="en-US" w:eastAsia="zh-CN"/>
              </w:rPr>
              <w:t>款</w:t>
            </w:r>
          </w:p>
        </w:tc>
        <w:tc>
          <w:tcPr>
            <w:tcW w:w="1742" w:type="dxa"/>
            <w:vAlign w:val="center"/>
          </w:tcPr>
          <w:p w14:paraId="37B6BF49">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包装</w:t>
            </w:r>
            <w:r>
              <w:rPr>
                <w:rFonts w:hint="eastAsia" w:ascii="宋体" w:hAnsi="宋体" w:eastAsia="宋体" w:cs="Times New Roman"/>
                <w:szCs w:val="21"/>
                <w:lang w:eastAsia="zh-CN"/>
              </w:rPr>
              <w:t>特殊要求</w:t>
            </w:r>
          </w:p>
        </w:tc>
        <w:tc>
          <w:tcPr>
            <w:tcW w:w="5170" w:type="dxa"/>
            <w:vAlign w:val="center"/>
          </w:tcPr>
          <w:p w14:paraId="0F683B63">
            <w:pPr>
              <w:outlineLvl w:val="9"/>
              <w:rPr>
                <w:rFonts w:ascii="Times New Roman" w:hAnsi="Times New Roman" w:eastAsia="宋体" w:cs="Times New Roman"/>
                <w:szCs w:val="24"/>
              </w:rPr>
            </w:pPr>
          </w:p>
        </w:tc>
      </w:tr>
      <w:tr w14:paraId="129A8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51B9E12">
            <w:pPr>
              <w:adjustRightInd w:val="0"/>
              <w:snapToGrid w:val="0"/>
              <w:jc w:val="center"/>
              <w:outlineLvl w:val="9"/>
              <w:rPr>
                <w:rFonts w:hint="eastAsia" w:ascii="宋体" w:hAnsi="宋体" w:eastAsia="宋体" w:cs="Times New Roman"/>
                <w:szCs w:val="21"/>
              </w:rPr>
            </w:pPr>
          </w:p>
        </w:tc>
        <w:tc>
          <w:tcPr>
            <w:tcW w:w="1742" w:type="dxa"/>
            <w:vAlign w:val="center"/>
          </w:tcPr>
          <w:p w14:paraId="10D50EEF">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指定现场</w:t>
            </w:r>
          </w:p>
        </w:tc>
        <w:tc>
          <w:tcPr>
            <w:tcW w:w="5170" w:type="dxa"/>
            <w:vAlign w:val="center"/>
          </w:tcPr>
          <w:p w14:paraId="043A9850">
            <w:pPr>
              <w:outlineLvl w:val="9"/>
              <w:rPr>
                <w:rFonts w:hint="eastAsia" w:ascii="Times New Roman" w:hAnsi="Times New Roman" w:eastAsia="宋体" w:cs="Times New Roman"/>
                <w:szCs w:val="24"/>
              </w:rPr>
            </w:pPr>
          </w:p>
        </w:tc>
      </w:tr>
      <w:tr w14:paraId="4A1E3A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F1763EC">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7090C777">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.2</w:t>
            </w:r>
            <w:r>
              <w:rPr>
                <w:rFonts w:hint="eastAsia" w:ascii="宋体" w:hAnsi="宋体" w:eastAsia="宋体" w:cs="Times New Roman"/>
                <w:szCs w:val="21"/>
                <w:lang w:val="en-US" w:eastAsia="zh-CN"/>
              </w:rPr>
              <w:t>款</w:t>
            </w:r>
          </w:p>
        </w:tc>
        <w:tc>
          <w:tcPr>
            <w:tcW w:w="1742" w:type="dxa"/>
            <w:vAlign w:val="center"/>
          </w:tcPr>
          <w:p w14:paraId="7F017830">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运输特殊要求</w:t>
            </w:r>
          </w:p>
        </w:tc>
        <w:tc>
          <w:tcPr>
            <w:tcW w:w="5170" w:type="dxa"/>
            <w:vAlign w:val="center"/>
          </w:tcPr>
          <w:p w14:paraId="1A1336FB">
            <w:pPr>
              <w:outlineLvl w:val="9"/>
              <w:rPr>
                <w:rFonts w:hint="eastAsia" w:ascii="Times New Roman" w:hAnsi="Times New Roman" w:eastAsia="宋体" w:cs="Times New Roman"/>
                <w:szCs w:val="24"/>
              </w:rPr>
            </w:pPr>
          </w:p>
        </w:tc>
      </w:tr>
      <w:tr w14:paraId="430E4A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234F653">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476B6363">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.3</w:t>
            </w:r>
            <w:r>
              <w:rPr>
                <w:rFonts w:hint="eastAsia" w:ascii="宋体" w:hAnsi="宋体" w:eastAsia="宋体" w:cs="Times New Roman"/>
                <w:szCs w:val="21"/>
                <w:lang w:val="en-US" w:eastAsia="zh-CN"/>
              </w:rPr>
              <w:t>款</w:t>
            </w:r>
          </w:p>
        </w:tc>
        <w:tc>
          <w:tcPr>
            <w:tcW w:w="1742" w:type="dxa"/>
            <w:vAlign w:val="center"/>
          </w:tcPr>
          <w:p w14:paraId="08380551">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保险要求</w:t>
            </w:r>
          </w:p>
        </w:tc>
        <w:tc>
          <w:tcPr>
            <w:tcW w:w="5170" w:type="dxa"/>
            <w:vAlign w:val="center"/>
          </w:tcPr>
          <w:p w14:paraId="7A6719A1">
            <w:pPr>
              <w:outlineLvl w:val="9"/>
              <w:rPr>
                <w:rFonts w:hint="eastAsia" w:ascii="Times New Roman" w:hAnsi="Times New Roman" w:eastAsia="宋体" w:cs="Times New Roman"/>
                <w:szCs w:val="24"/>
              </w:rPr>
            </w:pPr>
          </w:p>
        </w:tc>
      </w:tr>
      <w:tr w14:paraId="6F907A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6A9A71">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2C96D746">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8</w:t>
            </w:r>
            <w:r>
              <w:rPr>
                <w:rFonts w:hint="eastAsia" w:ascii="宋体" w:hAnsi="宋体" w:eastAsia="宋体" w:cs="Times New Roman"/>
                <w:szCs w:val="21"/>
              </w:rPr>
              <w:t>.2（1）项</w:t>
            </w:r>
          </w:p>
        </w:tc>
        <w:tc>
          <w:tcPr>
            <w:tcW w:w="1742" w:type="dxa"/>
            <w:vAlign w:val="center"/>
          </w:tcPr>
          <w:p w14:paraId="1DCA7BE2">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质量保证期</w:t>
            </w:r>
          </w:p>
        </w:tc>
        <w:tc>
          <w:tcPr>
            <w:tcW w:w="5170" w:type="dxa"/>
            <w:vAlign w:val="center"/>
          </w:tcPr>
          <w:p w14:paraId="365E4687">
            <w:pPr>
              <w:autoSpaceDE w:val="0"/>
              <w:autoSpaceDN w:val="0"/>
              <w:adjustRightInd w:val="0"/>
              <w:snapToGrid w:val="0"/>
              <w:ind w:firstLine="420" w:firstLineChars="200"/>
              <w:jc w:val="left"/>
              <w:outlineLvl w:val="9"/>
              <w:rPr>
                <w:rFonts w:ascii="宋体" w:hAnsi="宋体" w:eastAsia="宋体" w:cs="Times New Roman"/>
                <w:szCs w:val="21"/>
              </w:rPr>
            </w:pPr>
          </w:p>
        </w:tc>
      </w:tr>
      <w:tr w14:paraId="282616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08DF6B">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0E5B988B">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8</w:t>
            </w:r>
            <w:r>
              <w:rPr>
                <w:rFonts w:hint="eastAsia" w:ascii="宋体" w:hAnsi="宋体" w:eastAsia="宋体" w:cs="Times New Roman"/>
                <w:szCs w:val="21"/>
              </w:rPr>
              <w:t>.2（3）项</w:t>
            </w:r>
          </w:p>
        </w:tc>
        <w:tc>
          <w:tcPr>
            <w:tcW w:w="1742" w:type="dxa"/>
            <w:vAlign w:val="center"/>
          </w:tcPr>
          <w:p w14:paraId="29449757">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货物质量缺陷</w:t>
            </w:r>
          </w:p>
          <w:p w14:paraId="436E4696">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响应时间</w:t>
            </w:r>
          </w:p>
        </w:tc>
        <w:tc>
          <w:tcPr>
            <w:tcW w:w="5170" w:type="dxa"/>
            <w:vAlign w:val="center"/>
          </w:tcPr>
          <w:p w14:paraId="69229BB5">
            <w:pPr>
              <w:adjustRightInd w:val="0"/>
              <w:snapToGrid w:val="0"/>
              <w:jc w:val="left"/>
              <w:outlineLvl w:val="9"/>
              <w:rPr>
                <w:rFonts w:ascii="宋体" w:hAnsi="宋体" w:eastAsia="宋体" w:cs="Times New Roman"/>
                <w:szCs w:val="21"/>
              </w:rPr>
            </w:pPr>
          </w:p>
        </w:tc>
      </w:tr>
      <w:tr w14:paraId="259C6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A0D436">
            <w:pPr>
              <w:snapToGrid w:val="0"/>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2C7B0FC8">
            <w:pPr>
              <w:autoSpaceDE w:val="0"/>
              <w:autoSpaceDN w:val="0"/>
              <w:adjustRightInd w:val="0"/>
              <w:spacing w:line="400" w:lineRule="exact"/>
              <w:ind w:firstLine="0" w:firstLineChars="0"/>
              <w:jc w:val="center"/>
              <w:outlineLvl w:val="9"/>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14:paraId="5819218E">
            <w:pPr>
              <w:adjustRightInd w:val="0"/>
              <w:snapToGrid w:val="0"/>
              <w:jc w:val="both"/>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其他应当保密的信息</w:t>
            </w:r>
          </w:p>
        </w:tc>
        <w:tc>
          <w:tcPr>
            <w:tcW w:w="5170" w:type="dxa"/>
            <w:vAlign w:val="center"/>
          </w:tcPr>
          <w:p w14:paraId="0965C31E">
            <w:pPr>
              <w:adjustRightInd w:val="0"/>
              <w:snapToGrid w:val="0"/>
              <w:jc w:val="left"/>
              <w:outlineLvl w:val="9"/>
              <w:rPr>
                <w:rFonts w:ascii="宋体" w:hAnsi="宋体" w:eastAsia="宋体" w:cs="Times New Roman"/>
                <w:szCs w:val="21"/>
              </w:rPr>
            </w:pPr>
          </w:p>
        </w:tc>
      </w:tr>
      <w:tr w14:paraId="1ED96C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2450179">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665DBD73">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2</w:t>
            </w:r>
            <w:r>
              <w:rPr>
                <w:rFonts w:hint="eastAsia" w:ascii="宋体" w:hAnsi="宋体" w:eastAsia="宋体" w:cs="Times New Roman"/>
                <w:szCs w:val="21"/>
              </w:rPr>
              <w:t>.2款</w:t>
            </w:r>
          </w:p>
        </w:tc>
        <w:tc>
          <w:tcPr>
            <w:tcW w:w="1742" w:type="dxa"/>
            <w:vAlign w:val="center"/>
          </w:tcPr>
          <w:p w14:paraId="6CC7B467">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rPr>
              <w:t>合同价款支付</w:t>
            </w:r>
            <w:r>
              <w:rPr>
                <w:rFonts w:hint="eastAsia" w:ascii="宋体" w:hAnsi="宋体" w:eastAsia="宋体" w:cs="Times New Roman"/>
                <w:szCs w:val="21"/>
                <w:lang w:eastAsia="zh-CN"/>
              </w:rPr>
              <w:t>时间</w:t>
            </w:r>
          </w:p>
        </w:tc>
        <w:tc>
          <w:tcPr>
            <w:tcW w:w="5170" w:type="dxa"/>
            <w:vAlign w:val="center"/>
          </w:tcPr>
          <w:p w14:paraId="2064D866">
            <w:pPr>
              <w:adjustRightInd w:val="0"/>
              <w:snapToGrid w:val="0"/>
              <w:jc w:val="left"/>
              <w:outlineLvl w:val="9"/>
              <w:rPr>
                <w:rFonts w:ascii="宋体" w:hAnsi="宋体" w:eastAsia="宋体" w:cs="Times New Roman"/>
                <w:szCs w:val="21"/>
              </w:rPr>
            </w:pPr>
          </w:p>
        </w:tc>
      </w:tr>
      <w:tr w14:paraId="4F4905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6400918">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第二节</w:t>
            </w:r>
          </w:p>
          <w:p w14:paraId="6B743D44">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13.2</w:t>
            </w:r>
            <w:r>
              <w:rPr>
                <w:rFonts w:hint="eastAsia" w:ascii="宋体" w:hAnsi="宋体" w:eastAsia="宋体" w:cs="Times New Roman"/>
                <w:szCs w:val="21"/>
              </w:rPr>
              <w:t>款</w:t>
            </w:r>
          </w:p>
        </w:tc>
        <w:tc>
          <w:tcPr>
            <w:tcW w:w="1742" w:type="dxa"/>
            <w:vAlign w:val="center"/>
          </w:tcPr>
          <w:p w14:paraId="67AB525C">
            <w:pPr>
              <w:adjustRightInd w:val="0"/>
              <w:snapToGrid w:val="0"/>
              <w:jc w:val="left"/>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履约保证金不予退还的情形</w:t>
            </w:r>
          </w:p>
        </w:tc>
        <w:tc>
          <w:tcPr>
            <w:tcW w:w="5170" w:type="dxa"/>
            <w:vAlign w:val="center"/>
          </w:tcPr>
          <w:p w14:paraId="7F91A5E0">
            <w:pPr>
              <w:adjustRightInd w:val="0"/>
              <w:snapToGrid w:val="0"/>
              <w:jc w:val="left"/>
              <w:outlineLvl w:val="9"/>
              <w:rPr>
                <w:rFonts w:ascii="宋体" w:hAnsi="宋体" w:eastAsia="宋体" w:cs="Times New Roman"/>
                <w:szCs w:val="21"/>
              </w:rPr>
            </w:pPr>
          </w:p>
        </w:tc>
      </w:tr>
      <w:tr w14:paraId="566B60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CB5F63">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第二节</w:t>
            </w:r>
          </w:p>
          <w:p w14:paraId="3E41D4A8">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13.3</w:t>
            </w:r>
            <w:r>
              <w:rPr>
                <w:rFonts w:hint="eastAsia" w:ascii="宋体" w:hAnsi="宋体" w:eastAsia="宋体" w:cs="Times New Roman"/>
                <w:szCs w:val="21"/>
              </w:rPr>
              <w:t>款</w:t>
            </w:r>
          </w:p>
        </w:tc>
        <w:tc>
          <w:tcPr>
            <w:tcW w:w="1742" w:type="dxa"/>
            <w:vAlign w:val="center"/>
          </w:tcPr>
          <w:p w14:paraId="30F5F21D">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履约保证金退还时间及</w:t>
            </w:r>
            <w:r>
              <w:rPr>
                <w:rFonts w:hint="eastAsia" w:ascii="宋体" w:hAnsi="宋体" w:eastAsia="宋体" w:cs="Times New Roman"/>
                <w:szCs w:val="21"/>
                <w:lang w:eastAsia="zh-CN"/>
              </w:rPr>
              <w:t>逾期退还的</w:t>
            </w:r>
            <w:r>
              <w:rPr>
                <w:rFonts w:hint="eastAsia" w:ascii="宋体" w:hAnsi="宋体" w:eastAsia="宋体" w:cs="Times New Roman"/>
                <w:szCs w:val="21"/>
              </w:rPr>
              <w:t>违约金</w:t>
            </w:r>
          </w:p>
        </w:tc>
        <w:tc>
          <w:tcPr>
            <w:tcW w:w="5170" w:type="dxa"/>
            <w:vAlign w:val="center"/>
          </w:tcPr>
          <w:p w14:paraId="047C86A9">
            <w:pPr>
              <w:adjustRightInd w:val="0"/>
              <w:snapToGrid w:val="0"/>
              <w:jc w:val="left"/>
              <w:outlineLvl w:val="9"/>
              <w:rPr>
                <w:rFonts w:ascii="宋体" w:hAnsi="宋体" w:eastAsia="宋体" w:cs="Times New Roman"/>
                <w:szCs w:val="21"/>
              </w:rPr>
            </w:pPr>
          </w:p>
        </w:tc>
      </w:tr>
      <w:tr w14:paraId="32965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33691B">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40EAF7A3">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3</w:t>
            </w:r>
            <w:r>
              <w:rPr>
                <w:rFonts w:hint="eastAsia" w:ascii="宋体" w:hAnsi="宋体" w:eastAsia="宋体" w:cs="Times New Roman"/>
                <w:szCs w:val="21"/>
              </w:rPr>
              <w:t>）项</w:t>
            </w:r>
          </w:p>
        </w:tc>
        <w:tc>
          <w:tcPr>
            <w:tcW w:w="1742" w:type="dxa"/>
            <w:vAlign w:val="center"/>
          </w:tcPr>
          <w:p w14:paraId="22EB8F4D">
            <w:pPr>
              <w:adjustRightInd w:val="0"/>
              <w:snapToGrid w:val="0"/>
              <w:jc w:val="left"/>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运行监督、维修期限</w:t>
            </w:r>
          </w:p>
        </w:tc>
        <w:tc>
          <w:tcPr>
            <w:tcW w:w="5170" w:type="dxa"/>
            <w:vAlign w:val="center"/>
          </w:tcPr>
          <w:p w14:paraId="691B9850">
            <w:pPr>
              <w:adjustRightInd w:val="0"/>
              <w:snapToGrid w:val="0"/>
              <w:jc w:val="left"/>
              <w:outlineLvl w:val="9"/>
              <w:rPr>
                <w:rFonts w:ascii="宋体" w:hAnsi="宋体" w:eastAsia="宋体" w:cs="Times New Roman"/>
                <w:szCs w:val="21"/>
              </w:rPr>
            </w:pPr>
          </w:p>
        </w:tc>
      </w:tr>
      <w:tr w14:paraId="3FA8E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424403E">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621FDBE2">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5</w:t>
            </w:r>
            <w:r>
              <w:rPr>
                <w:rFonts w:hint="eastAsia" w:ascii="宋体" w:hAnsi="宋体" w:eastAsia="宋体" w:cs="Times New Roman"/>
                <w:szCs w:val="21"/>
              </w:rPr>
              <w:t>）项</w:t>
            </w:r>
          </w:p>
        </w:tc>
        <w:tc>
          <w:tcPr>
            <w:tcW w:w="1742" w:type="dxa"/>
            <w:vAlign w:val="center"/>
          </w:tcPr>
          <w:p w14:paraId="503E29C2">
            <w:pPr>
              <w:adjustRightInd w:val="0"/>
              <w:snapToGrid w:val="0"/>
              <w:jc w:val="left"/>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货物回收的约定</w:t>
            </w:r>
          </w:p>
        </w:tc>
        <w:tc>
          <w:tcPr>
            <w:tcW w:w="5170" w:type="dxa"/>
            <w:vAlign w:val="center"/>
          </w:tcPr>
          <w:p w14:paraId="6D9BEAEE">
            <w:pPr>
              <w:adjustRightInd w:val="0"/>
              <w:snapToGrid w:val="0"/>
              <w:jc w:val="left"/>
              <w:outlineLvl w:val="9"/>
              <w:rPr>
                <w:rFonts w:ascii="宋体" w:hAnsi="宋体" w:eastAsia="宋体" w:cs="Times New Roman"/>
                <w:szCs w:val="21"/>
              </w:rPr>
            </w:pPr>
          </w:p>
        </w:tc>
      </w:tr>
      <w:tr w14:paraId="7C95B9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1F4698">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57E7BFF9">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6</w:t>
            </w:r>
            <w:r>
              <w:rPr>
                <w:rFonts w:hint="eastAsia" w:ascii="宋体" w:hAnsi="宋体" w:eastAsia="宋体" w:cs="Times New Roman"/>
                <w:szCs w:val="21"/>
              </w:rPr>
              <w:t>）项</w:t>
            </w:r>
          </w:p>
        </w:tc>
        <w:tc>
          <w:tcPr>
            <w:tcW w:w="1742" w:type="dxa"/>
            <w:vAlign w:val="center"/>
          </w:tcPr>
          <w:p w14:paraId="4436A439">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乙方提供的其他服务</w:t>
            </w:r>
          </w:p>
        </w:tc>
        <w:tc>
          <w:tcPr>
            <w:tcW w:w="5170" w:type="dxa"/>
            <w:vAlign w:val="center"/>
          </w:tcPr>
          <w:p w14:paraId="51845449">
            <w:pPr>
              <w:adjustRightInd w:val="0"/>
              <w:snapToGrid w:val="0"/>
              <w:jc w:val="left"/>
              <w:outlineLvl w:val="9"/>
              <w:rPr>
                <w:rFonts w:ascii="宋体" w:hAnsi="宋体" w:eastAsia="宋体" w:cs="Times New Roman"/>
                <w:szCs w:val="21"/>
              </w:rPr>
            </w:pPr>
          </w:p>
        </w:tc>
      </w:tr>
      <w:tr w14:paraId="55BFAF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32BDA2">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6E11AF76">
            <w:pPr>
              <w:adjustRightInd w:val="0"/>
              <w:snapToGrid w:val="0"/>
              <w:jc w:val="center"/>
              <w:outlineLvl w:val="9"/>
              <w:rPr>
                <w:rFonts w:hint="default" w:ascii="宋体" w:hAnsi="宋体" w:eastAsia="宋体" w:cs="Times New Roman"/>
                <w:szCs w:val="21"/>
                <w:lang w:val="en-US" w:eastAsia="zh-CN"/>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w:t>
            </w:r>
            <w:r>
              <w:rPr>
                <w:rFonts w:hint="eastAsia" w:ascii="宋体" w:hAnsi="宋体" w:eastAsia="宋体" w:cs="Times New Roman"/>
                <w:szCs w:val="21"/>
                <w:lang w:val="en-US" w:eastAsia="zh-CN"/>
              </w:rPr>
              <w:t>1款</w:t>
            </w:r>
          </w:p>
        </w:tc>
        <w:tc>
          <w:tcPr>
            <w:tcW w:w="1742" w:type="dxa"/>
            <w:vAlign w:val="center"/>
          </w:tcPr>
          <w:p w14:paraId="3AFA64A4">
            <w:pPr>
              <w:adjustRightInd w:val="0"/>
              <w:snapToGrid w:val="0"/>
              <w:jc w:val="left"/>
              <w:outlineLvl w:val="9"/>
              <w:rPr>
                <w:rFonts w:hint="eastAsia" w:ascii="宋体" w:hAnsi="宋体" w:eastAsia="宋体" w:cs="Times New Roman"/>
                <w:szCs w:val="21"/>
              </w:rPr>
            </w:pPr>
            <w:r>
              <w:rPr>
                <w:rFonts w:hint="eastAsia" w:ascii="宋体" w:hAnsi="宋体" w:eastAsia="宋体" w:cs="Times New Roman"/>
                <w:color w:val="auto"/>
                <w:szCs w:val="21"/>
                <w:highlight w:val="none"/>
                <w:lang w:eastAsia="zh-CN"/>
              </w:rPr>
              <w:t>修理、重作、更换相关具体规定</w:t>
            </w:r>
          </w:p>
        </w:tc>
        <w:tc>
          <w:tcPr>
            <w:tcW w:w="5170" w:type="dxa"/>
            <w:vAlign w:val="center"/>
          </w:tcPr>
          <w:p w14:paraId="2C21D616">
            <w:pPr>
              <w:adjustRightInd w:val="0"/>
              <w:snapToGrid w:val="0"/>
              <w:jc w:val="left"/>
              <w:outlineLvl w:val="9"/>
              <w:rPr>
                <w:rFonts w:ascii="宋体" w:hAnsi="宋体" w:eastAsia="宋体" w:cs="Times New Roman"/>
                <w:szCs w:val="21"/>
              </w:rPr>
            </w:pPr>
          </w:p>
        </w:tc>
      </w:tr>
      <w:tr w14:paraId="326B39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1B334D">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5BE70ACC">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.2（2）项</w:t>
            </w:r>
          </w:p>
        </w:tc>
        <w:tc>
          <w:tcPr>
            <w:tcW w:w="1742" w:type="dxa"/>
            <w:vAlign w:val="center"/>
          </w:tcPr>
          <w:p w14:paraId="28DE66B3">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迟延交货赔偿费</w:t>
            </w:r>
          </w:p>
        </w:tc>
        <w:tc>
          <w:tcPr>
            <w:tcW w:w="5170" w:type="dxa"/>
            <w:vAlign w:val="center"/>
          </w:tcPr>
          <w:p w14:paraId="0D3A99C2">
            <w:pPr>
              <w:adjustRightInd w:val="0"/>
              <w:snapToGrid w:val="0"/>
              <w:jc w:val="left"/>
              <w:outlineLvl w:val="9"/>
              <w:rPr>
                <w:rFonts w:ascii="宋体" w:hAnsi="宋体" w:eastAsia="宋体" w:cs="Times New Roman"/>
                <w:szCs w:val="21"/>
                <w:u w:val="single"/>
              </w:rPr>
            </w:pPr>
          </w:p>
        </w:tc>
      </w:tr>
      <w:tr w14:paraId="066DB8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F76F29">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7AA0CFC9">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w:t>
            </w:r>
            <w:r>
              <w:rPr>
                <w:rFonts w:hint="eastAsia" w:ascii="宋体" w:hAnsi="宋体" w:eastAsia="宋体" w:cs="Times New Roman"/>
                <w:szCs w:val="21"/>
                <w:lang w:val="en-US" w:eastAsia="zh-CN"/>
              </w:rPr>
              <w:t>3款</w:t>
            </w:r>
          </w:p>
        </w:tc>
        <w:tc>
          <w:tcPr>
            <w:tcW w:w="1742" w:type="dxa"/>
            <w:vAlign w:val="center"/>
          </w:tcPr>
          <w:p w14:paraId="295538AC">
            <w:pPr>
              <w:adjustRightInd w:val="0"/>
              <w:snapToGrid w:val="0"/>
              <w:jc w:val="left"/>
              <w:outlineLvl w:val="9"/>
              <w:rPr>
                <w:rFonts w:hint="eastAsia" w:ascii="宋体" w:hAnsi="宋体" w:eastAsia="宋体" w:cs="Times New Roman"/>
                <w:szCs w:val="21"/>
              </w:rPr>
            </w:pPr>
            <w:r>
              <w:rPr>
                <w:rFonts w:hint="eastAsia" w:ascii="宋体" w:hAnsi="宋体" w:eastAsia="宋体" w:cs="Times New Roman"/>
                <w:szCs w:val="21"/>
              </w:rPr>
              <w:t>逾期付款利息</w:t>
            </w:r>
          </w:p>
        </w:tc>
        <w:tc>
          <w:tcPr>
            <w:tcW w:w="5170" w:type="dxa"/>
            <w:vAlign w:val="center"/>
          </w:tcPr>
          <w:p w14:paraId="2DABE94F">
            <w:pPr>
              <w:adjustRightInd w:val="0"/>
              <w:snapToGrid w:val="0"/>
              <w:jc w:val="left"/>
              <w:outlineLvl w:val="9"/>
              <w:rPr>
                <w:rFonts w:ascii="宋体" w:hAnsi="宋体" w:eastAsia="宋体" w:cs="Times New Roman"/>
                <w:szCs w:val="21"/>
                <w:u w:val="single"/>
              </w:rPr>
            </w:pPr>
          </w:p>
        </w:tc>
      </w:tr>
      <w:tr w14:paraId="382FCC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80EEFC2">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77DC5B01">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.4</w:t>
            </w:r>
            <w:r>
              <w:rPr>
                <w:rFonts w:hint="eastAsia" w:ascii="宋体" w:hAnsi="宋体" w:eastAsia="宋体" w:cs="Times New Roman"/>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791C043">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其他违约责任</w:t>
            </w:r>
          </w:p>
        </w:tc>
        <w:tc>
          <w:tcPr>
            <w:tcW w:w="5170" w:type="dxa"/>
            <w:tcBorders>
              <w:left w:val="single" w:color="auto" w:sz="2" w:space="0"/>
              <w:bottom w:val="single" w:color="auto" w:sz="2" w:space="0"/>
            </w:tcBorders>
            <w:vAlign w:val="center"/>
          </w:tcPr>
          <w:p w14:paraId="531B5794">
            <w:pPr>
              <w:adjustRightInd w:val="0"/>
              <w:snapToGrid w:val="0"/>
              <w:jc w:val="left"/>
              <w:outlineLvl w:val="9"/>
              <w:rPr>
                <w:rFonts w:ascii="宋体" w:hAnsi="宋体" w:eastAsia="宋体" w:cs="Times New Roman"/>
                <w:szCs w:val="21"/>
                <w:u w:val="single"/>
              </w:rPr>
            </w:pPr>
          </w:p>
        </w:tc>
      </w:tr>
      <w:tr w14:paraId="0CF5D4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EFAB947">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38992C8C">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19</w:t>
            </w:r>
            <w:r>
              <w:rPr>
                <w:rFonts w:hint="eastAsia" w:ascii="宋体" w:hAnsi="宋体" w:eastAsia="宋体" w:cs="Times New Roman"/>
                <w:szCs w:val="21"/>
              </w:rPr>
              <w:t>.2</w:t>
            </w:r>
            <w:r>
              <w:rPr>
                <w:rFonts w:hint="eastAsia" w:ascii="宋体" w:hAnsi="宋体" w:eastAsia="宋体" w:cs="Times New Roman"/>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D1715DC">
            <w:pPr>
              <w:adjustRightInd w:val="0"/>
              <w:snapToGrid w:val="0"/>
              <w:jc w:val="left"/>
              <w:outlineLvl w:val="9"/>
              <w:rPr>
                <w:rFonts w:ascii="宋体" w:hAnsi="宋体" w:eastAsia="宋体" w:cs="Times New Roman"/>
                <w:szCs w:val="21"/>
              </w:rPr>
            </w:pPr>
            <w:r>
              <w:rPr>
                <w:rFonts w:hint="eastAsia" w:ascii="宋体" w:hAnsi="宋体" w:eastAsia="宋体" w:cs="Times New Roman"/>
                <w:szCs w:val="21"/>
                <w:lang w:val="en-US" w:eastAsia="zh-CN"/>
              </w:rPr>
              <w:t>解决争议的方法</w:t>
            </w:r>
          </w:p>
        </w:tc>
        <w:tc>
          <w:tcPr>
            <w:tcW w:w="5170" w:type="dxa"/>
            <w:tcBorders>
              <w:top w:val="single" w:color="auto" w:sz="2" w:space="0"/>
              <w:left w:val="single" w:color="auto" w:sz="2" w:space="0"/>
            </w:tcBorders>
            <w:vAlign w:val="center"/>
          </w:tcPr>
          <w:p w14:paraId="7B8CA380">
            <w:pPr>
              <w:autoSpaceDE w:val="0"/>
              <w:autoSpaceDN w:val="0"/>
              <w:adjustRightInd w:val="0"/>
              <w:snapToGrid w:val="0"/>
              <w:spacing w:line="400" w:lineRule="exact"/>
              <w:jc w:val="left"/>
              <w:outlineLvl w:val="9"/>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A134625">
            <w:pPr>
              <w:autoSpaceDE w:val="0"/>
              <w:autoSpaceDN w:val="0"/>
              <w:adjustRightInd w:val="0"/>
              <w:snapToGrid w:val="0"/>
              <w:spacing w:line="400" w:lineRule="exact"/>
              <w:jc w:val="left"/>
              <w:outlineLvl w:val="9"/>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65BB520">
            <w:pPr>
              <w:adjustRightInd w:val="0"/>
              <w:snapToGrid w:val="0"/>
              <w:ind w:firstLine="0" w:firstLineChars="0"/>
              <w:jc w:val="left"/>
              <w:outlineLvl w:val="9"/>
              <w:rPr>
                <w:rFonts w:ascii="宋体" w:hAnsi="宋体" w:eastAsia="宋体" w:cs="Times New Roman"/>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556B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4E5FB24">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59A014DD">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第2</w:t>
            </w:r>
            <w:r>
              <w:rPr>
                <w:rFonts w:hint="eastAsia" w:ascii="宋体" w:hAnsi="宋体" w:eastAsia="宋体" w:cs="Times New Roman"/>
                <w:szCs w:val="21"/>
                <w:lang w:val="en-US" w:eastAsia="zh-CN"/>
              </w:rPr>
              <w:t>3.1</w:t>
            </w:r>
            <w:r>
              <w:rPr>
                <w:rFonts w:hint="eastAsia" w:ascii="宋体" w:hAnsi="宋体" w:eastAsia="宋体" w:cs="Times New Roman"/>
                <w:szCs w:val="21"/>
                <w:lang w:eastAsia="zh-CN"/>
              </w:rPr>
              <w:t>款</w:t>
            </w:r>
          </w:p>
        </w:tc>
        <w:tc>
          <w:tcPr>
            <w:tcW w:w="1742" w:type="dxa"/>
            <w:vAlign w:val="center"/>
          </w:tcPr>
          <w:p w14:paraId="67037478">
            <w:pPr>
              <w:adjustRightInd w:val="0"/>
              <w:snapToGrid w:val="0"/>
              <w:jc w:val="left"/>
              <w:outlineLvl w:val="9"/>
              <w:rPr>
                <w:rFonts w:ascii="宋体" w:hAnsi="宋体" w:eastAsia="宋体" w:cs="Times New Roman"/>
                <w:szCs w:val="21"/>
              </w:rPr>
            </w:pPr>
            <w:r>
              <w:rPr>
                <w:rFonts w:hint="eastAsia" w:ascii="宋体" w:hAnsi="宋体" w:eastAsia="宋体" w:cs="Times New Roman"/>
                <w:bCs/>
                <w:color w:val="auto"/>
                <w:szCs w:val="21"/>
                <w:highlight w:val="none"/>
                <w:lang w:eastAsia="zh-CN"/>
              </w:rPr>
              <w:t>其他专用条款</w:t>
            </w:r>
          </w:p>
        </w:tc>
        <w:tc>
          <w:tcPr>
            <w:tcW w:w="5170" w:type="dxa"/>
            <w:vAlign w:val="center"/>
          </w:tcPr>
          <w:p w14:paraId="44F5E907">
            <w:pPr>
              <w:adjustRightInd w:val="0"/>
              <w:snapToGrid w:val="0"/>
              <w:jc w:val="left"/>
              <w:outlineLvl w:val="9"/>
              <w:rPr>
                <w:rFonts w:hint="default" w:ascii="宋体" w:hAnsi="宋体" w:eastAsia="宋体" w:cs="Times New Roman"/>
                <w:szCs w:val="21"/>
                <w:lang w:val="en-US" w:eastAsia="zh-CN"/>
              </w:rPr>
            </w:pPr>
          </w:p>
        </w:tc>
      </w:tr>
    </w:tbl>
    <w:p w14:paraId="652DB065">
      <w:pPr>
        <w:outlineLvl w:val="9"/>
        <w:rPr>
          <w:rFonts w:ascii="Times New Roman" w:hAnsi="Times New Roman" w:eastAsia="宋体" w:cs="Times New Roman"/>
          <w:szCs w:val="24"/>
        </w:rPr>
      </w:pPr>
    </w:p>
    <w:p w14:paraId="69ED2745">
      <w:pPr>
        <w:outlineLvl w:val="9"/>
        <w:rPr>
          <w:rFonts w:ascii="Times New Roman" w:hAnsi="Times New Roman" w:eastAsia="宋体" w:cs="Times New Roman"/>
          <w:szCs w:val="24"/>
        </w:rPr>
      </w:pPr>
    </w:p>
    <w:p w14:paraId="62528F9B">
      <w:pPr>
        <w:pStyle w:val="17"/>
        <w:ind w:left="0"/>
        <w:outlineLvl w:val="9"/>
        <w:rPr>
          <w:rFonts w:ascii="宋体" w:cs="Times New Roman"/>
        </w:rPr>
      </w:pP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796">
    <w:pPr>
      <w:pStyle w:val="28"/>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4788A97">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5C75B">
    <w:pPr>
      <w:spacing w:line="125" w:lineRule="exact"/>
      <w:rPr>
        <w:rFonts w:eastAsia="Times New Roman"/>
        <w:sz w:val="18"/>
        <w:szCs w:val="18"/>
      </w:rPr>
    </w:pPr>
    <w:r>
      <w:pict>
        <v:shape id="文本框 17"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D58A646">
                <w:pPr>
                  <w:pStyle w:val="28"/>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w: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736EFBF1">
                <w:pPr>
                  <w:pStyle w:val="28"/>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7861">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5943">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443087DE">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w:t>
                </w:r>
                <w:r>
                  <w:rPr>
                    <w:rFonts w:ascii="Times New Roman" w:hAnsi="Times New Roman" w:eastAsia="宋体" w:cs="Times New Roman"/>
                    <w:kern w:val="2"/>
                    <w:sz w:val="18"/>
                    <w:szCs w:val="24"/>
                    <w:lang w:val="en-US" w:eastAsia="zh-CN" w:bidi="ar-S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A2078">
    <w:pPr>
      <w:pStyle w:val="30"/>
      <w:pBdr>
        <w:bottom w:val="none" w:color="auto" w:sz="0" w:space="0"/>
      </w:pBdr>
    </w:pPr>
  </w:p>
  <w:p w14:paraId="2DE371EE">
    <w:pPr>
      <w:pStyle w:val="30"/>
      <w:pBdr>
        <w:bottom w:val="none" w:color="auto" w:sz="0" w:space="0"/>
      </w:pBdr>
    </w:pPr>
  </w:p>
  <w:p w14:paraId="30B3604E">
    <w:pPr>
      <w:pStyle w:val="30"/>
      <w:pBdr>
        <w:bottom w:val="none" w:color="auto" w:sz="0" w:space="0"/>
      </w:pBdr>
    </w:pPr>
  </w:p>
  <w:p w14:paraId="3FD7D032">
    <w:pPr>
      <w:pStyle w:val="30"/>
      <w:pBdr>
        <w:bottom w:val="none" w:color="auto" w:sz="0" w:space="0"/>
      </w:pBdr>
      <w:tabs>
        <w:tab w:val="left" w:pos="2881"/>
      </w:tabs>
      <w:jc w:val="left"/>
      <w:rPr>
        <w:rFonts w:hint="default" w:eastAsia="宋体"/>
        <w:lang w:val="en-US" w:eastAsia="zh-CN"/>
      </w:rPr>
    </w:pPr>
    <w:r>
      <w:rPr>
        <w:rFonts w:hint="eastAsia"/>
        <w:lang w:val="en-US" w:eastAsia="zh-CN"/>
      </w:rPr>
      <w:t>陇南市公共资源交易中心</w:t>
    </w:r>
    <w:r>
      <w:rPr>
        <w:rFonts w:hint="eastAsia"/>
        <w:lang w:eastAsia="zh-CN"/>
      </w:rPr>
      <w:tab/>
    </w:r>
    <w:r>
      <w:rPr>
        <w:rFonts w:hint="eastAsia"/>
        <w:lang w:val="en-US" w:eastAsia="zh-CN"/>
      </w:rPr>
      <w:t xml:space="preserve">                                                 招标文件</w:t>
    </w:r>
  </w:p>
  <w:p w14:paraId="2EBF4A93">
    <w:pPr>
      <w:pStyle w:val="30"/>
      <w:pBdr>
        <w:bottom w:val="double" w:color="auto" w:sz="8" w:space="1"/>
      </w:pBdr>
      <w:jc w:val="left"/>
    </w:pPr>
    <w:r>
      <w:t xml:space="preserve">                                                          </w:t>
    </w:r>
  </w:p>
  <w:p w14:paraId="1368D22E">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727B">
    <w:pPr>
      <w:pStyle w:val="30"/>
      <w:pBdr>
        <w:bottom w:val="double" w:color="auto" w:sz="8" w:space="1"/>
      </w:pBdr>
      <w:jc w:val="left"/>
    </w:pPr>
    <w:r>
      <w:rPr>
        <w:rFonts w:hint="eastAsia" w:cs="宋体"/>
      </w:rPr>
      <w:t>陇南市公共资源交易中心</w:t>
    </w:r>
    <w:r>
      <w:t xml:space="preserve">                                                              </w:t>
    </w:r>
    <w:r>
      <w:rPr>
        <w:rFonts w:hint="eastAsia" w:cs="宋体"/>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9C8D">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40B3">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B44F91A"/>
    <w:multiLevelType w:val="singleLevel"/>
    <w:tmpl w:val="0B44F91A"/>
    <w:lvl w:ilvl="0" w:tentative="0">
      <w:start w:val="3"/>
      <w:numFmt w:val="chineseCounting"/>
      <w:suff w:val="space"/>
      <w:lvlText w:val="第%1章"/>
      <w:lvlJc w:val="left"/>
      <w:rPr>
        <w:rFonts w:hint="eastAsia"/>
      </w:rPr>
    </w:lvl>
  </w:abstractNum>
  <w:abstractNum w:abstractNumId="7">
    <w:nsid w:val="0DED69D9"/>
    <w:multiLevelType w:val="multilevel"/>
    <w:tmpl w:val="0DED69D9"/>
    <w:lvl w:ilvl="0" w:tentative="0">
      <w:start w:val="1"/>
      <w:numFmt w:val="decimal"/>
      <w:lvlText w:val="%1."/>
      <w:lvlJc w:val="left"/>
      <w:pPr>
        <w:tabs>
          <w:tab w:val="left" w:pos="425"/>
        </w:tabs>
        <w:ind w:left="425" w:hanging="425"/>
      </w:pPr>
      <w:rPr>
        <w:rFonts w:hint="default" w:ascii="Times New Roman" w:hAnsi="Times New Roman" w:cs="Times New Roman"/>
        <w:b/>
        <w:bCs/>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1F8145B2"/>
    <w:multiLevelType w:val="multilevel"/>
    <w:tmpl w:val="1F8145B2"/>
    <w:lvl w:ilvl="0" w:tentative="0">
      <w:start w:val="1"/>
      <w:numFmt w:val="decimal"/>
      <w:lvlText w:val="%1."/>
      <w:lvlJc w:val="left"/>
      <w:pPr>
        <w:tabs>
          <w:tab w:val="left" w:pos="425"/>
        </w:tabs>
        <w:ind w:left="425" w:hanging="425"/>
      </w:pPr>
      <w:rPr>
        <w:rFonts w:hint="default" w:ascii="Times New Roman" w:hAnsi="Times New Roman" w:cs="Times New Roman"/>
        <w:b/>
        <w:bCs/>
        <w:color w:val="auto"/>
        <w:sz w:val="24"/>
        <w:szCs w:val="24"/>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2FD98577"/>
    <w:multiLevelType w:val="singleLevel"/>
    <w:tmpl w:val="2FD98577"/>
    <w:lvl w:ilvl="0" w:tentative="0">
      <w:start w:val="1"/>
      <w:numFmt w:val="chineseCounting"/>
      <w:suff w:val="space"/>
      <w:lvlText w:val="第%1章"/>
      <w:lvlJc w:val="left"/>
      <w:rPr>
        <w:rFonts w:hint="eastAsia"/>
      </w:rPr>
    </w:lvl>
  </w:abstractNum>
  <w:abstractNum w:abstractNumId="10">
    <w:nsid w:val="3EB27E52"/>
    <w:multiLevelType w:val="multilevel"/>
    <w:tmpl w:val="3EB27E52"/>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1">
    <w:nsid w:val="3F6C4BCB"/>
    <w:multiLevelType w:val="multilevel"/>
    <w:tmpl w:val="3F6C4BC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407EA0BE"/>
    <w:multiLevelType w:val="singleLevel"/>
    <w:tmpl w:val="407EA0BE"/>
    <w:lvl w:ilvl="0" w:tentative="0">
      <w:start w:val="1"/>
      <w:numFmt w:val="chineseCounting"/>
      <w:suff w:val="nothing"/>
      <w:lvlText w:val="%1、"/>
      <w:lvlJc w:val="left"/>
      <w:rPr>
        <w:rFonts w:hint="eastAsia"/>
      </w:rPr>
    </w:lvl>
  </w:abstractNum>
  <w:abstractNum w:abstractNumId="13">
    <w:nsid w:val="4C398EAC"/>
    <w:multiLevelType w:val="singleLevel"/>
    <w:tmpl w:val="4C398EAC"/>
    <w:lvl w:ilvl="0" w:tentative="0">
      <w:start w:val="2"/>
      <w:numFmt w:val="chineseCounting"/>
      <w:suff w:val="space"/>
      <w:lvlText w:val="第%1部分"/>
      <w:lvlJc w:val="left"/>
      <w:rPr>
        <w:rFonts w:hint="eastAsia"/>
      </w:rPr>
    </w:lvl>
  </w:abstractNum>
  <w:abstractNum w:abstractNumId="14">
    <w:nsid w:val="55FCC359"/>
    <w:multiLevelType w:val="singleLevel"/>
    <w:tmpl w:val="55FCC359"/>
    <w:lvl w:ilvl="0" w:tentative="0">
      <w:start w:val="8"/>
      <w:numFmt w:val="chineseCounting"/>
      <w:suff w:val="nothing"/>
      <w:lvlText w:val="%1、"/>
      <w:lvlJc w:val="left"/>
      <w:pPr>
        <w:ind w:left="522" w:leftChars="0" w:firstLine="0" w:firstLineChars="0"/>
      </w:pPr>
      <w:rPr>
        <w:rFonts w:hint="eastAsia"/>
      </w:rPr>
    </w:lvl>
  </w:abstractNum>
  <w:abstractNum w:abstractNumId="15">
    <w:nsid w:val="57D370C4"/>
    <w:multiLevelType w:val="multilevel"/>
    <w:tmpl w:val="57D370C4"/>
    <w:lvl w:ilvl="0" w:tentative="0">
      <w:start w:val="1"/>
      <w:numFmt w:val="decimal"/>
      <w:lvlText w:val="%1."/>
      <w:lvlJc w:val="left"/>
      <w:pPr>
        <w:tabs>
          <w:tab w:val="left" w:pos="425"/>
        </w:tabs>
        <w:ind w:left="425" w:hanging="425"/>
      </w:pPr>
      <w:rPr>
        <w:rFonts w:hint="default" w:ascii="Times New Roman" w:hAnsi="Times New Roman" w:cs="Times New Roman"/>
        <w:b/>
        <w:bCs/>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57D4D560"/>
    <w:multiLevelType w:val="multilevel"/>
    <w:tmpl w:val="57D4D560"/>
    <w:lvl w:ilvl="0" w:tentative="0">
      <w:start w:val="35"/>
      <w:numFmt w:val="decimal"/>
      <w:lvlText w:val="%1."/>
      <w:lvlJc w:val="left"/>
      <w:pPr>
        <w:ind w:left="425" w:hanging="425"/>
      </w:pPr>
      <w:rPr>
        <w:rFonts w:hint="default" w:ascii="Times New Roman" w:hAnsi="Times New Roman" w:cs="Times New Roman"/>
        <w:b/>
        <w:bCs/>
        <w:color w:val="auto"/>
      </w:rPr>
    </w:lvl>
    <w:lvl w:ilvl="1" w:tentative="0">
      <w:start w:val="1"/>
      <w:numFmt w:val="decimal"/>
      <w:lvlText w:val="%1.%2."/>
      <w:lvlJc w:val="left"/>
      <w:pPr>
        <w:ind w:left="567" w:hanging="567"/>
      </w:pPr>
      <w:rPr>
        <w:rFonts w:hint="default" w:ascii="宋体" w:hAnsi="宋体" w:eastAsia="宋体"/>
        <w:b w:val="0"/>
        <w:bCs w:val="0"/>
        <w:color w:val="auto"/>
        <w:sz w:val="21"/>
        <w:szCs w:val="21"/>
      </w:rPr>
    </w:lvl>
    <w:lvl w:ilvl="2" w:tentative="0">
      <w:start w:val="1"/>
      <w:numFmt w:val="decimal"/>
      <w:lvlText w:val="%1.%2.%3."/>
      <w:lvlJc w:val="left"/>
      <w:pPr>
        <w:ind w:left="709" w:hanging="709"/>
      </w:pPr>
      <w:rPr>
        <w:rFonts w:hint="default" w:ascii="宋体" w:hAnsi="宋体" w:eastAsia="宋体"/>
        <w:b w:val="0"/>
        <w:bCs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57D4D604"/>
    <w:multiLevelType w:val="multilevel"/>
    <w:tmpl w:val="57D4D604"/>
    <w:lvl w:ilvl="0" w:tentative="0">
      <w:start w:val="33"/>
      <w:numFmt w:val="decimal"/>
      <w:lvlText w:val="%1."/>
      <w:lvlJc w:val="left"/>
      <w:pPr>
        <w:ind w:left="425" w:hanging="425"/>
      </w:pPr>
      <w:rPr>
        <w:rFonts w:hint="default" w:ascii="Times New Roman" w:hAnsi="Times New Roman" w:cs="Times New Roman"/>
        <w:b/>
        <w:bCs/>
        <w:color w:val="auto"/>
      </w:rPr>
    </w:lvl>
    <w:lvl w:ilvl="1" w:tentative="0">
      <w:start w:val="1"/>
      <w:numFmt w:val="decimal"/>
      <w:lvlText w:val="%1.%2."/>
      <w:lvlJc w:val="left"/>
      <w:pPr>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ind w:left="709" w:hanging="709"/>
      </w:pPr>
      <w:rPr>
        <w:rFonts w:hint="default" w:ascii="Times New Roman" w:hAnsi="Times New Roman" w:cs="Times New Roman"/>
        <w:b w:val="0"/>
        <w:bCs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5C74B834"/>
    <w:multiLevelType w:val="singleLevel"/>
    <w:tmpl w:val="5C74B834"/>
    <w:lvl w:ilvl="0" w:tentative="0">
      <w:start w:val="1"/>
      <w:numFmt w:val="decimal"/>
      <w:suff w:val="space"/>
      <w:lvlText w:val="%1."/>
      <w:lvlJc w:val="left"/>
    </w:lvl>
  </w:abstractNum>
  <w:abstractNum w:abstractNumId="19">
    <w:nsid w:val="60643E30"/>
    <w:multiLevelType w:val="singleLevel"/>
    <w:tmpl w:val="60643E30"/>
    <w:lvl w:ilvl="0" w:tentative="0">
      <w:start w:val="1"/>
      <w:numFmt w:val="decimal"/>
      <w:suff w:val="nothing"/>
      <w:lvlText w:val="%1."/>
      <w:lvlJc w:val="left"/>
    </w:lvl>
  </w:abstractNum>
  <w:abstractNum w:abstractNumId="20">
    <w:nsid w:val="6F7B0A6F"/>
    <w:multiLevelType w:val="multilevel"/>
    <w:tmpl w:val="6F7B0A6F"/>
    <w:lvl w:ilvl="0" w:tentative="0">
      <w:start w:val="4"/>
      <w:numFmt w:val="japaneseCounting"/>
      <w:pStyle w:val="109"/>
      <w:lvlText w:val="第%1章"/>
      <w:lvlJc w:val="left"/>
      <w:pPr>
        <w:tabs>
          <w:tab w:val="left" w:pos="1200"/>
        </w:tabs>
        <w:ind w:left="1200" w:hanging="1200"/>
      </w:pPr>
      <w:rPr>
        <w:rFonts w:hint="eastAsia"/>
      </w:rPr>
    </w:lvl>
    <w:lvl w:ilvl="1" w:tentative="0">
      <w:start w:val="5"/>
      <w:numFmt w:val="japaneseCounting"/>
      <w:lvlText w:val="%2）"/>
      <w:lvlJc w:val="left"/>
      <w:pPr>
        <w:tabs>
          <w:tab w:val="left" w:pos="840"/>
        </w:tabs>
        <w:ind w:left="840" w:hanging="420"/>
      </w:pPr>
      <w:rPr>
        <w:rFonts w:hint="default" w:ascii="Times New Roman" w:hAnsi="Times New Roman" w:cs="Times New Roman"/>
        <w:sz w:val="21"/>
        <w:szCs w:val="21"/>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A0F6431"/>
    <w:multiLevelType w:val="singleLevel"/>
    <w:tmpl w:val="7A0F6431"/>
    <w:lvl w:ilvl="0" w:tentative="0">
      <w:start w:val="1"/>
      <w:numFmt w:val="decimal"/>
      <w:suff w:val="space"/>
      <w:lvlText w:val="%1."/>
      <w:lvlJc w:val="left"/>
    </w:lvl>
  </w:abstractNum>
  <w:num w:numId="1">
    <w:abstractNumId w:val="20"/>
  </w:num>
  <w:num w:numId="2">
    <w:abstractNumId w:val="9"/>
  </w:num>
  <w:num w:numId="3">
    <w:abstractNumId w:val="15"/>
  </w:num>
  <w:num w:numId="4">
    <w:abstractNumId w:val="11"/>
  </w:num>
  <w:num w:numId="5">
    <w:abstractNumId w:val="10"/>
  </w:num>
  <w:num w:numId="6">
    <w:abstractNumId w:val="17"/>
  </w:num>
  <w:num w:numId="7">
    <w:abstractNumId w:val="16"/>
  </w:num>
  <w:num w:numId="8">
    <w:abstractNumId w:val="6"/>
  </w:num>
  <w:num w:numId="9">
    <w:abstractNumId w:val="13"/>
  </w:num>
  <w:num w:numId="10">
    <w:abstractNumId w:val="12"/>
  </w:num>
  <w:num w:numId="11">
    <w:abstractNumId w:val="8"/>
  </w:num>
  <w:num w:numId="12">
    <w:abstractNumId w:val="7"/>
  </w:num>
  <w:num w:numId="13">
    <w:abstractNumId w:val="14"/>
  </w:num>
  <w:num w:numId="14">
    <w:abstractNumId w:val="19"/>
  </w:num>
  <w:num w:numId="15">
    <w:abstractNumId w:val="18"/>
  </w:num>
  <w:num w:numId="16">
    <w:abstractNumId w:val="21"/>
  </w:num>
  <w:num w:numId="17">
    <w:abstractNumId w:val="1"/>
  </w:num>
  <w:num w:numId="18">
    <w:abstractNumId w:val="5"/>
  </w:num>
  <w:num w:numId="19">
    <w:abstractNumId w:val="3"/>
  </w:num>
  <w:num w:numId="20">
    <w:abstractNumId w:val="2"/>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hNWU0NjZhOGUzZDczZGY4MDRjZjhmYjdiOTcwZWEifQ=="/>
  </w:docVars>
  <w:rsids>
    <w:rsidRoot w:val="00172A27"/>
    <w:rsid w:val="0000031A"/>
    <w:rsid w:val="0000066E"/>
    <w:rsid w:val="0000207C"/>
    <w:rsid w:val="00003535"/>
    <w:rsid w:val="0000443B"/>
    <w:rsid w:val="00004634"/>
    <w:rsid w:val="000048EA"/>
    <w:rsid w:val="00005F29"/>
    <w:rsid w:val="00007015"/>
    <w:rsid w:val="00011118"/>
    <w:rsid w:val="0001222C"/>
    <w:rsid w:val="00012470"/>
    <w:rsid w:val="00012CB3"/>
    <w:rsid w:val="00013317"/>
    <w:rsid w:val="0001398E"/>
    <w:rsid w:val="00014458"/>
    <w:rsid w:val="000146DB"/>
    <w:rsid w:val="00015314"/>
    <w:rsid w:val="00016EE2"/>
    <w:rsid w:val="00017113"/>
    <w:rsid w:val="0001744E"/>
    <w:rsid w:val="00020C3B"/>
    <w:rsid w:val="00021C9D"/>
    <w:rsid w:val="00022230"/>
    <w:rsid w:val="000225FF"/>
    <w:rsid w:val="0002280F"/>
    <w:rsid w:val="00023015"/>
    <w:rsid w:val="0002378B"/>
    <w:rsid w:val="00023FA0"/>
    <w:rsid w:val="0002468D"/>
    <w:rsid w:val="0002574F"/>
    <w:rsid w:val="0002575B"/>
    <w:rsid w:val="00025B91"/>
    <w:rsid w:val="00025C6F"/>
    <w:rsid w:val="000308D2"/>
    <w:rsid w:val="00030B6E"/>
    <w:rsid w:val="00030C0D"/>
    <w:rsid w:val="00031026"/>
    <w:rsid w:val="000317BE"/>
    <w:rsid w:val="000328F2"/>
    <w:rsid w:val="00032A9E"/>
    <w:rsid w:val="00033261"/>
    <w:rsid w:val="0003333F"/>
    <w:rsid w:val="00036171"/>
    <w:rsid w:val="00036860"/>
    <w:rsid w:val="00036B4D"/>
    <w:rsid w:val="00036C56"/>
    <w:rsid w:val="00036FC7"/>
    <w:rsid w:val="0003738A"/>
    <w:rsid w:val="00037C20"/>
    <w:rsid w:val="00040B47"/>
    <w:rsid w:val="00040FC0"/>
    <w:rsid w:val="00041950"/>
    <w:rsid w:val="00042A62"/>
    <w:rsid w:val="00042B8B"/>
    <w:rsid w:val="00043066"/>
    <w:rsid w:val="0004319F"/>
    <w:rsid w:val="00043CB9"/>
    <w:rsid w:val="00044423"/>
    <w:rsid w:val="00044A12"/>
    <w:rsid w:val="0004652B"/>
    <w:rsid w:val="000474CA"/>
    <w:rsid w:val="00047AE9"/>
    <w:rsid w:val="00050207"/>
    <w:rsid w:val="00050C24"/>
    <w:rsid w:val="00051B9D"/>
    <w:rsid w:val="000527D0"/>
    <w:rsid w:val="00053E50"/>
    <w:rsid w:val="00053EEC"/>
    <w:rsid w:val="00055903"/>
    <w:rsid w:val="0005654A"/>
    <w:rsid w:val="0005667E"/>
    <w:rsid w:val="00056BA7"/>
    <w:rsid w:val="00056C15"/>
    <w:rsid w:val="00057651"/>
    <w:rsid w:val="000576DF"/>
    <w:rsid w:val="00057CC3"/>
    <w:rsid w:val="0006021D"/>
    <w:rsid w:val="00060692"/>
    <w:rsid w:val="000609C4"/>
    <w:rsid w:val="00061CE2"/>
    <w:rsid w:val="000621C5"/>
    <w:rsid w:val="000622C5"/>
    <w:rsid w:val="0006250A"/>
    <w:rsid w:val="00063774"/>
    <w:rsid w:val="00063A0A"/>
    <w:rsid w:val="00063CF3"/>
    <w:rsid w:val="000648A3"/>
    <w:rsid w:val="00065042"/>
    <w:rsid w:val="00065BCC"/>
    <w:rsid w:val="0006603F"/>
    <w:rsid w:val="0006648C"/>
    <w:rsid w:val="00070920"/>
    <w:rsid w:val="00070C29"/>
    <w:rsid w:val="000714DE"/>
    <w:rsid w:val="00071522"/>
    <w:rsid w:val="00071970"/>
    <w:rsid w:val="00072134"/>
    <w:rsid w:val="00072E30"/>
    <w:rsid w:val="0007405C"/>
    <w:rsid w:val="00074502"/>
    <w:rsid w:val="000748CA"/>
    <w:rsid w:val="000756D6"/>
    <w:rsid w:val="00075702"/>
    <w:rsid w:val="00075ED1"/>
    <w:rsid w:val="00076781"/>
    <w:rsid w:val="00077160"/>
    <w:rsid w:val="0007745C"/>
    <w:rsid w:val="00077ABA"/>
    <w:rsid w:val="00077B41"/>
    <w:rsid w:val="00080D6E"/>
    <w:rsid w:val="00081376"/>
    <w:rsid w:val="00081A2B"/>
    <w:rsid w:val="00082B37"/>
    <w:rsid w:val="000833BB"/>
    <w:rsid w:val="000849BF"/>
    <w:rsid w:val="000855D2"/>
    <w:rsid w:val="000904A6"/>
    <w:rsid w:val="0009147B"/>
    <w:rsid w:val="000934B7"/>
    <w:rsid w:val="00093B04"/>
    <w:rsid w:val="00094189"/>
    <w:rsid w:val="00095455"/>
    <w:rsid w:val="00095706"/>
    <w:rsid w:val="000959AC"/>
    <w:rsid w:val="000963A5"/>
    <w:rsid w:val="00096762"/>
    <w:rsid w:val="000973B0"/>
    <w:rsid w:val="00097BD5"/>
    <w:rsid w:val="000A102F"/>
    <w:rsid w:val="000A14EE"/>
    <w:rsid w:val="000A1A8E"/>
    <w:rsid w:val="000A23E4"/>
    <w:rsid w:val="000A2DAF"/>
    <w:rsid w:val="000A41EC"/>
    <w:rsid w:val="000A437F"/>
    <w:rsid w:val="000A639D"/>
    <w:rsid w:val="000A6D3E"/>
    <w:rsid w:val="000A7728"/>
    <w:rsid w:val="000A78D8"/>
    <w:rsid w:val="000A793D"/>
    <w:rsid w:val="000B2449"/>
    <w:rsid w:val="000B28AC"/>
    <w:rsid w:val="000B33EC"/>
    <w:rsid w:val="000B38F9"/>
    <w:rsid w:val="000B3BCD"/>
    <w:rsid w:val="000B6287"/>
    <w:rsid w:val="000B6FC3"/>
    <w:rsid w:val="000B701B"/>
    <w:rsid w:val="000C11EA"/>
    <w:rsid w:val="000C2718"/>
    <w:rsid w:val="000C28AC"/>
    <w:rsid w:val="000C32CF"/>
    <w:rsid w:val="000C34A9"/>
    <w:rsid w:val="000C387F"/>
    <w:rsid w:val="000C3AE9"/>
    <w:rsid w:val="000C3F11"/>
    <w:rsid w:val="000C4184"/>
    <w:rsid w:val="000C430A"/>
    <w:rsid w:val="000C447B"/>
    <w:rsid w:val="000C44EC"/>
    <w:rsid w:val="000C45DD"/>
    <w:rsid w:val="000C5723"/>
    <w:rsid w:val="000C77C2"/>
    <w:rsid w:val="000D14B3"/>
    <w:rsid w:val="000D18F7"/>
    <w:rsid w:val="000D2369"/>
    <w:rsid w:val="000D50E3"/>
    <w:rsid w:val="000D5627"/>
    <w:rsid w:val="000D5C20"/>
    <w:rsid w:val="000D5D94"/>
    <w:rsid w:val="000D5E80"/>
    <w:rsid w:val="000D5EC6"/>
    <w:rsid w:val="000D745D"/>
    <w:rsid w:val="000D758E"/>
    <w:rsid w:val="000E042B"/>
    <w:rsid w:val="000E0776"/>
    <w:rsid w:val="000E0792"/>
    <w:rsid w:val="000E0BE7"/>
    <w:rsid w:val="000E0FCA"/>
    <w:rsid w:val="000E14EC"/>
    <w:rsid w:val="000E184E"/>
    <w:rsid w:val="000E1F85"/>
    <w:rsid w:val="000E490E"/>
    <w:rsid w:val="000E49A1"/>
    <w:rsid w:val="000E52B8"/>
    <w:rsid w:val="000E561E"/>
    <w:rsid w:val="000E6266"/>
    <w:rsid w:val="000E7E6D"/>
    <w:rsid w:val="000E7FBE"/>
    <w:rsid w:val="000F006D"/>
    <w:rsid w:val="000F302A"/>
    <w:rsid w:val="000F391D"/>
    <w:rsid w:val="000F3BFE"/>
    <w:rsid w:val="000F3C07"/>
    <w:rsid w:val="000F517A"/>
    <w:rsid w:val="000F522F"/>
    <w:rsid w:val="000F5484"/>
    <w:rsid w:val="000F58D0"/>
    <w:rsid w:val="000F6636"/>
    <w:rsid w:val="000F70EF"/>
    <w:rsid w:val="000F723E"/>
    <w:rsid w:val="001008F2"/>
    <w:rsid w:val="0010134E"/>
    <w:rsid w:val="001014C4"/>
    <w:rsid w:val="00101C4B"/>
    <w:rsid w:val="0010275B"/>
    <w:rsid w:val="00102B0C"/>
    <w:rsid w:val="00102DAD"/>
    <w:rsid w:val="00103208"/>
    <w:rsid w:val="001047BF"/>
    <w:rsid w:val="00104947"/>
    <w:rsid w:val="00105144"/>
    <w:rsid w:val="001054F7"/>
    <w:rsid w:val="00105510"/>
    <w:rsid w:val="0010563D"/>
    <w:rsid w:val="00106911"/>
    <w:rsid w:val="001072AD"/>
    <w:rsid w:val="001103CB"/>
    <w:rsid w:val="00110AAB"/>
    <w:rsid w:val="00111163"/>
    <w:rsid w:val="00111633"/>
    <w:rsid w:val="0011326A"/>
    <w:rsid w:val="0011337E"/>
    <w:rsid w:val="00113A34"/>
    <w:rsid w:val="00114261"/>
    <w:rsid w:val="00114A75"/>
    <w:rsid w:val="001155F2"/>
    <w:rsid w:val="00115E3A"/>
    <w:rsid w:val="0011743E"/>
    <w:rsid w:val="00120CD5"/>
    <w:rsid w:val="00121E1C"/>
    <w:rsid w:val="00122D49"/>
    <w:rsid w:val="001232AA"/>
    <w:rsid w:val="00123BC4"/>
    <w:rsid w:val="00123D91"/>
    <w:rsid w:val="00124C96"/>
    <w:rsid w:val="00125980"/>
    <w:rsid w:val="00126041"/>
    <w:rsid w:val="00127660"/>
    <w:rsid w:val="00131082"/>
    <w:rsid w:val="0013147A"/>
    <w:rsid w:val="001321FA"/>
    <w:rsid w:val="001325AC"/>
    <w:rsid w:val="00132C61"/>
    <w:rsid w:val="00132F82"/>
    <w:rsid w:val="00133B24"/>
    <w:rsid w:val="00134060"/>
    <w:rsid w:val="001365BD"/>
    <w:rsid w:val="001371F6"/>
    <w:rsid w:val="00137F5F"/>
    <w:rsid w:val="00140C6E"/>
    <w:rsid w:val="00142006"/>
    <w:rsid w:val="00142B53"/>
    <w:rsid w:val="00143FD9"/>
    <w:rsid w:val="00144979"/>
    <w:rsid w:val="001453CA"/>
    <w:rsid w:val="001453FD"/>
    <w:rsid w:val="00145CB5"/>
    <w:rsid w:val="00146191"/>
    <w:rsid w:val="00146627"/>
    <w:rsid w:val="00146708"/>
    <w:rsid w:val="00147E2F"/>
    <w:rsid w:val="00147FBD"/>
    <w:rsid w:val="00150B85"/>
    <w:rsid w:val="00150CDA"/>
    <w:rsid w:val="0015110F"/>
    <w:rsid w:val="001517AD"/>
    <w:rsid w:val="001521B0"/>
    <w:rsid w:val="00152874"/>
    <w:rsid w:val="00152DF3"/>
    <w:rsid w:val="00153D7D"/>
    <w:rsid w:val="001549EE"/>
    <w:rsid w:val="001555D2"/>
    <w:rsid w:val="00155F3D"/>
    <w:rsid w:val="001561A5"/>
    <w:rsid w:val="001567E5"/>
    <w:rsid w:val="00156FED"/>
    <w:rsid w:val="001572FE"/>
    <w:rsid w:val="001579B4"/>
    <w:rsid w:val="001603D6"/>
    <w:rsid w:val="0016077E"/>
    <w:rsid w:val="00161825"/>
    <w:rsid w:val="001630A8"/>
    <w:rsid w:val="00163970"/>
    <w:rsid w:val="0016424C"/>
    <w:rsid w:val="001645C7"/>
    <w:rsid w:val="00164A11"/>
    <w:rsid w:val="00164B62"/>
    <w:rsid w:val="0016517F"/>
    <w:rsid w:val="0016584F"/>
    <w:rsid w:val="001671D3"/>
    <w:rsid w:val="00167AB3"/>
    <w:rsid w:val="00170B08"/>
    <w:rsid w:val="00170C68"/>
    <w:rsid w:val="00171F87"/>
    <w:rsid w:val="001721E0"/>
    <w:rsid w:val="001726A9"/>
    <w:rsid w:val="00172C86"/>
    <w:rsid w:val="00174281"/>
    <w:rsid w:val="001749F8"/>
    <w:rsid w:val="00175C53"/>
    <w:rsid w:val="00180517"/>
    <w:rsid w:val="001813E6"/>
    <w:rsid w:val="001818C0"/>
    <w:rsid w:val="00181966"/>
    <w:rsid w:val="00181BBA"/>
    <w:rsid w:val="00181F6A"/>
    <w:rsid w:val="00182079"/>
    <w:rsid w:val="00182727"/>
    <w:rsid w:val="00182E77"/>
    <w:rsid w:val="00183232"/>
    <w:rsid w:val="00183373"/>
    <w:rsid w:val="001845E3"/>
    <w:rsid w:val="001846F6"/>
    <w:rsid w:val="00184B6D"/>
    <w:rsid w:val="001853E6"/>
    <w:rsid w:val="00185DA8"/>
    <w:rsid w:val="0018687F"/>
    <w:rsid w:val="00186CE8"/>
    <w:rsid w:val="0018705D"/>
    <w:rsid w:val="00190B61"/>
    <w:rsid w:val="001916DC"/>
    <w:rsid w:val="001916E7"/>
    <w:rsid w:val="00193291"/>
    <w:rsid w:val="00194282"/>
    <w:rsid w:val="001945E0"/>
    <w:rsid w:val="0019487E"/>
    <w:rsid w:val="00195948"/>
    <w:rsid w:val="00195B5B"/>
    <w:rsid w:val="00195E8C"/>
    <w:rsid w:val="00196950"/>
    <w:rsid w:val="001A0AB5"/>
    <w:rsid w:val="001A28AF"/>
    <w:rsid w:val="001A2958"/>
    <w:rsid w:val="001A39D6"/>
    <w:rsid w:val="001A6830"/>
    <w:rsid w:val="001A6F34"/>
    <w:rsid w:val="001A77B2"/>
    <w:rsid w:val="001B3AE7"/>
    <w:rsid w:val="001B45B5"/>
    <w:rsid w:val="001B46FF"/>
    <w:rsid w:val="001B493D"/>
    <w:rsid w:val="001B519A"/>
    <w:rsid w:val="001B5C23"/>
    <w:rsid w:val="001B5D86"/>
    <w:rsid w:val="001B6327"/>
    <w:rsid w:val="001B6A3B"/>
    <w:rsid w:val="001B7003"/>
    <w:rsid w:val="001B7433"/>
    <w:rsid w:val="001B7484"/>
    <w:rsid w:val="001C13D0"/>
    <w:rsid w:val="001C176D"/>
    <w:rsid w:val="001C18DA"/>
    <w:rsid w:val="001C2742"/>
    <w:rsid w:val="001C3448"/>
    <w:rsid w:val="001C3838"/>
    <w:rsid w:val="001C39D7"/>
    <w:rsid w:val="001C4095"/>
    <w:rsid w:val="001C4299"/>
    <w:rsid w:val="001C4496"/>
    <w:rsid w:val="001C510A"/>
    <w:rsid w:val="001C5A72"/>
    <w:rsid w:val="001C60DC"/>
    <w:rsid w:val="001C6231"/>
    <w:rsid w:val="001C65F9"/>
    <w:rsid w:val="001C7799"/>
    <w:rsid w:val="001C7A5D"/>
    <w:rsid w:val="001C7AD0"/>
    <w:rsid w:val="001C7C8F"/>
    <w:rsid w:val="001C7EAC"/>
    <w:rsid w:val="001D034A"/>
    <w:rsid w:val="001D14F5"/>
    <w:rsid w:val="001D1F5A"/>
    <w:rsid w:val="001D2301"/>
    <w:rsid w:val="001D27DB"/>
    <w:rsid w:val="001D2C2A"/>
    <w:rsid w:val="001D3040"/>
    <w:rsid w:val="001D3433"/>
    <w:rsid w:val="001D3F7A"/>
    <w:rsid w:val="001D4AD3"/>
    <w:rsid w:val="001D4AE9"/>
    <w:rsid w:val="001D4E51"/>
    <w:rsid w:val="001D58C6"/>
    <w:rsid w:val="001D58EE"/>
    <w:rsid w:val="001D5C49"/>
    <w:rsid w:val="001D6AA6"/>
    <w:rsid w:val="001D6CC0"/>
    <w:rsid w:val="001D7FED"/>
    <w:rsid w:val="001E1D02"/>
    <w:rsid w:val="001E20BF"/>
    <w:rsid w:val="001E39DA"/>
    <w:rsid w:val="001E4181"/>
    <w:rsid w:val="001E4705"/>
    <w:rsid w:val="001E4BB4"/>
    <w:rsid w:val="001E51C3"/>
    <w:rsid w:val="001E52C4"/>
    <w:rsid w:val="001E5705"/>
    <w:rsid w:val="001E6C55"/>
    <w:rsid w:val="001E6F7A"/>
    <w:rsid w:val="001F0424"/>
    <w:rsid w:val="001F0B1E"/>
    <w:rsid w:val="001F0C3F"/>
    <w:rsid w:val="001F1333"/>
    <w:rsid w:val="001F17DC"/>
    <w:rsid w:val="001F19DA"/>
    <w:rsid w:val="001F210F"/>
    <w:rsid w:val="001F2D36"/>
    <w:rsid w:val="001F38D8"/>
    <w:rsid w:val="001F42BE"/>
    <w:rsid w:val="001F4419"/>
    <w:rsid w:val="001F4718"/>
    <w:rsid w:val="001F4C69"/>
    <w:rsid w:val="001F59F7"/>
    <w:rsid w:val="001F604B"/>
    <w:rsid w:val="001F717E"/>
    <w:rsid w:val="001F7DCE"/>
    <w:rsid w:val="00200CDA"/>
    <w:rsid w:val="00200FFF"/>
    <w:rsid w:val="0020156B"/>
    <w:rsid w:val="00201B21"/>
    <w:rsid w:val="00203BAE"/>
    <w:rsid w:val="00204BC5"/>
    <w:rsid w:val="00205319"/>
    <w:rsid w:val="0020634E"/>
    <w:rsid w:val="002065B4"/>
    <w:rsid w:val="00206806"/>
    <w:rsid w:val="002070C7"/>
    <w:rsid w:val="0020751A"/>
    <w:rsid w:val="00210A60"/>
    <w:rsid w:val="0021236E"/>
    <w:rsid w:val="002136F3"/>
    <w:rsid w:val="0021446B"/>
    <w:rsid w:val="002178C3"/>
    <w:rsid w:val="00217C8A"/>
    <w:rsid w:val="00217F65"/>
    <w:rsid w:val="00217FFB"/>
    <w:rsid w:val="0022047C"/>
    <w:rsid w:val="00220BE9"/>
    <w:rsid w:val="00220FC0"/>
    <w:rsid w:val="00221AE3"/>
    <w:rsid w:val="00223716"/>
    <w:rsid w:val="00223A63"/>
    <w:rsid w:val="00223CC4"/>
    <w:rsid w:val="00223D8E"/>
    <w:rsid w:val="0022404A"/>
    <w:rsid w:val="0022434E"/>
    <w:rsid w:val="0022436B"/>
    <w:rsid w:val="00224DC9"/>
    <w:rsid w:val="002256D7"/>
    <w:rsid w:val="00225B30"/>
    <w:rsid w:val="0022603D"/>
    <w:rsid w:val="002271B8"/>
    <w:rsid w:val="00227E8E"/>
    <w:rsid w:val="00230FC2"/>
    <w:rsid w:val="00231BEE"/>
    <w:rsid w:val="002330BD"/>
    <w:rsid w:val="0023469B"/>
    <w:rsid w:val="00235630"/>
    <w:rsid w:val="002359C7"/>
    <w:rsid w:val="00235A36"/>
    <w:rsid w:val="00237184"/>
    <w:rsid w:val="002422C0"/>
    <w:rsid w:val="00242D09"/>
    <w:rsid w:val="00242D25"/>
    <w:rsid w:val="002434E2"/>
    <w:rsid w:val="0024359A"/>
    <w:rsid w:val="002447AA"/>
    <w:rsid w:val="002447DA"/>
    <w:rsid w:val="00245938"/>
    <w:rsid w:val="0024691E"/>
    <w:rsid w:val="00247D12"/>
    <w:rsid w:val="00251622"/>
    <w:rsid w:val="00251B94"/>
    <w:rsid w:val="0025201C"/>
    <w:rsid w:val="002522AA"/>
    <w:rsid w:val="0025237F"/>
    <w:rsid w:val="0025279B"/>
    <w:rsid w:val="0025367B"/>
    <w:rsid w:val="00254367"/>
    <w:rsid w:val="00254615"/>
    <w:rsid w:val="00255194"/>
    <w:rsid w:val="002556BC"/>
    <w:rsid w:val="00255CA5"/>
    <w:rsid w:val="002606CA"/>
    <w:rsid w:val="00260CC2"/>
    <w:rsid w:val="00261108"/>
    <w:rsid w:val="002624A8"/>
    <w:rsid w:val="002624AF"/>
    <w:rsid w:val="00262A23"/>
    <w:rsid w:val="00262E48"/>
    <w:rsid w:val="00262EFE"/>
    <w:rsid w:val="0026510A"/>
    <w:rsid w:val="00265F41"/>
    <w:rsid w:val="002660CC"/>
    <w:rsid w:val="0026693E"/>
    <w:rsid w:val="00267DA0"/>
    <w:rsid w:val="002707F5"/>
    <w:rsid w:val="00270CE1"/>
    <w:rsid w:val="0027244F"/>
    <w:rsid w:val="00272BDE"/>
    <w:rsid w:val="00272D26"/>
    <w:rsid w:val="002734FB"/>
    <w:rsid w:val="00273720"/>
    <w:rsid w:val="00273F66"/>
    <w:rsid w:val="00274268"/>
    <w:rsid w:val="002745DA"/>
    <w:rsid w:val="00274E71"/>
    <w:rsid w:val="002752FE"/>
    <w:rsid w:val="00276836"/>
    <w:rsid w:val="00277170"/>
    <w:rsid w:val="0028033B"/>
    <w:rsid w:val="00280CAE"/>
    <w:rsid w:val="002838CA"/>
    <w:rsid w:val="00284842"/>
    <w:rsid w:val="00285881"/>
    <w:rsid w:val="00286971"/>
    <w:rsid w:val="00287216"/>
    <w:rsid w:val="00291354"/>
    <w:rsid w:val="0029163A"/>
    <w:rsid w:val="00291C45"/>
    <w:rsid w:val="00291D45"/>
    <w:rsid w:val="00292061"/>
    <w:rsid w:val="00292519"/>
    <w:rsid w:val="00292A18"/>
    <w:rsid w:val="002945B5"/>
    <w:rsid w:val="00295F80"/>
    <w:rsid w:val="002A0961"/>
    <w:rsid w:val="002A0A91"/>
    <w:rsid w:val="002A0D42"/>
    <w:rsid w:val="002A0D47"/>
    <w:rsid w:val="002A2194"/>
    <w:rsid w:val="002A29F8"/>
    <w:rsid w:val="002A38E4"/>
    <w:rsid w:val="002A3BAC"/>
    <w:rsid w:val="002A3D55"/>
    <w:rsid w:val="002A573C"/>
    <w:rsid w:val="002A5789"/>
    <w:rsid w:val="002A5DAC"/>
    <w:rsid w:val="002A5E3C"/>
    <w:rsid w:val="002A6847"/>
    <w:rsid w:val="002A78FC"/>
    <w:rsid w:val="002B11FB"/>
    <w:rsid w:val="002B12CF"/>
    <w:rsid w:val="002B15ED"/>
    <w:rsid w:val="002B1831"/>
    <w:rsid w:val="002B2732"/>
    <w:rsid w:val="002B2C71"/>
    <w:rsid w:val="002B33F5"/>
    <w:rsid w:val="002B3AE1"/>
    <w:rsid w:val="002B4358"/>
    <w:rsid w:val="002B454E"/>
    <w:rsid w:val="002B557E"/>
    <w:rsid w:val="002B69FF"/>
    <w:rsid w:val="002B7078"/>
    <w:rsid w:val="002B7A15"/>
    <w:rsid w:val="002C09D7"/>
    <w:rsid w:val="002C0AA8"/>
    <w:rsid w:val="002C184C"/>
    <w:rsid w:val="002C31FA"/>
    <w:rsid w:val="002C34F7"/>
    <w:rsid w:val="002C3AEA"/>
    <w:rsid w:val="002C3B22"/>
    <w:rsid w:val="002C3EDE"/>
    <w:rsid w:val="002C5AF0"/>
    <w:rsid w:val="002D0B79"/>
    <w:rsid w:val="002D2419"/>
    <w:rsid w:val="002D3E79"/>
    <w:rsid w:val="002D4AE9"/>
    <w:rsid w:val="002D4C3F"/>
    <w:rsid w:val="002D6906"/>
    <w:rsid w:val="002D69C2"/>
    <w:rsid w:val="002D69DC"/>
    <w:rsid w:val="002D6B72"/>
    <w:rsid w:val="002D6CF4"/>
    <w:rsid w:val="002E01DA"/>
    <w:rsid w:val="002E058F"/>
    <w:rsid w:val="002E1B81"/>
    <w:rsid w:val="002E2548"/>
    <w:rsid w:val="002E317A"/>
    <w:rsid w:val="002E324C"/>
    <w:rsid w:val="002E386C"/>
    <w:rsid w:val="002E4896"/>
    <w:rsid w:val="002E4E91"/>
    <w:rsid w:val="002E4EA5"/>
    <w:rsid w:val="002E4FC0"/>
    <w:rsid w:val="002E5DAA"/>
    <w:rsid w:val="002E5EC5"/>
    <w:rsid w:val="002E6B15"/>
    <w:rsid w:val="002E75BD"/>
    <w:rsid w:val="002E763A"/>
    <w:rsid w:val="002F026C"/>
    <w:rsid w:val="002F1ACE"/>
    <w:rsid w:val="002F1C1A"/>
    <w:rsid w:val="002F1FCD"/>
    <w:rsid w:val="002F28C2"/>
    <w:rsid w:val="002F33D7"/>
    <w:rsid w:val="002F4015"/>
    <w:rsid w:val="002F4813"/>
    <w:rsid w:val="002F491A"/>
    <w:rsid w:val="002F4F72"/>
    <w:rsid w:val="002F5916"/>
    <w:rsid w:val="003003D2"/>
    <w:rsid w:val="003011AD"/>
    <w:rsid w:val="00301F39"/>
    <w:rsid w:val="00302A80"/>
    <w:rsid w:val="00302DCE"/>
    <w:rsid w:val="00302F4B"/>
    <w:rsid w:val="0030313E"/>
    <w:rsid w:val="00305FF7"/>
    <w:rsid w:val="00306C97"/>
    <w:rsid w:val="0030762F"/>
    <w:rsid w:val="00307697"/>
    <w:rsid w:val="00310027"/>
    <w:rsid w:val="00310AE3"/>
    <w:rsid w:val="00311811"/>
    <w:rsid w:val="00313B80"/>
    <w:rsid w:val="00315082"/>
    <w:rsid w:val="00315427"/>
    <w:rsid w:val="00315B3B"/>
    <w:rsid w:val="00316177"/>
    <w:rsid w:val="003162E4"/>
    <w:rsid w:val="00317554"/>
    <w:rsid w:val="00317C2D"/>
    <w:rsid w:val="00320013"/>
    <w:rsid w:val="003206A8"/>
    <w:rsid w:val="003225F8"/>
    <w:rsid w:val="00322F0F"/>
    <w:rsid w:val="00322F79"/>
    <w:rsid w:val="00323035"/>
    <w:rsid w:val="00323A75"/>
    <w:rsid w:val="00324885"/>
    <w:rsid w:val="00325DB1"/>
    <w:rsid w:val="00326221"/>
    <w:rsid w:val="00326C9E"/>
    <w:rsid w:val="00327C40"/>
    <w:rsid w:val="00330424"/>
    <w:rsid w:val="003313EB"/>
    <w:rsid w:val="00331A0F"/>
    <w:rsid w:val="00333849"/>
    <w:rsid w:val="00334C78"/>
    <w:rsid w:val="00334EAB"/>
    <w:rsid w:val="00336D4B"/>
    <w:rsid w:val="0033710A"/>
    <w:rsid w:val="00341737"/>
    <w:rsid w:val="00341DE7"/>
    <w:rsid w:val="003437B5"/>
    <w:rsid w:val="00344854"/>
    <w:rsid w:val="00344A7F"/>
    <w:rsid w:val="00344DFB"/>
    <w:rsid w:val="00345D5C"/>
    <w:rsid w:val="00345F46"/>
    <w:rsid w:val="003462B4"/>
    <w:rsid w:val="0034658A"/>
    <w:rsid w:val="00346D5F"/>
    <w:rsid w:val="00346E1E"/>
    <w:rsid w:val="00347870"/>
    <w:rsid w:val="00347A9E"/>
    <w:rsid w:val="00347F9B"/>
    <w:rsid w:val="003502A6"/>
    <w:rsid w:val="00351F32"/>
    <w:rsid w:val="00352CC5"/>
    <w:rsid w:val="003533B9"/>
    <w:rsid w:val="00353412"/>
    <w:rsid w:val="00354196"/>
    <w:rsid w:val="003546B3"/>
    <w:rsid w:val="00354842"/>
    <w:rsid w:val="00355B7C"/>
    <w:rsid w:val="00355FDB"/>
    <w:rsid w:val="00356923"/>
    <w:rsid w:val="00356C17"/>
    <w:rsid w:val="003600F3"/>
    <w:rsid w:val="00360D94"/>
    <w:rsid w:val="00362B7B"/>
    <w:rsid w:val="0036362C"/>
    <w:rsid w:val="00364C73"/>
    <w:rsid w:val="00364E1A"/>
    <w:rsid w:val="00364F12"/>
    <w:rsid w:val="0036575E"/>
    <w:rsid w:val="00365D54"/>
    <w:rsid w:val="00366036"/>
    <w:rsid w:val="00367678"/>
    <w:rsid w:val="003679A4"/>
    <w:rsid w:val="00367C49"/>
    <w:rsid w:val="003704BA"/>
    <w:rsid w:val="00370559"/>
    <w:rsid w:val="00371743"/>
    <w:rsid w:val="00371FE4"/>
    <w:rsid w:val="00372B40"/>
    <w:rsid w:val="00372DDE"/>
    <w:rsid w:val="00373163"/>
    <w:rsid w:val="003732C5"/>
    <w:rsid w:val="003751E6"/>
    <w:rsid w:val="0037524D"/>
    <w:rsid w:val="00375419"/>
    <w:rsid w:val="00375C74"/>
    <w:rsid w:val="00377B2E"/>
    <w:rsid w:val="003803C8"/>
    <w:rsid w:val="00380B44"/>
    <w:rsid w:val="00380F5D"/>
    <w:rsid w:val="0038100A"/>
    <w:rsid w:val="00381488"/>
    <w:rsid w:val="00381597"/>
    <w:rsid w:val="00381925"/>
    <w:rsid w:val="003819B1"/>
    <w:rsid w:val="00382115"/>
    <w:rsid w:val="0038299D"/>
    <w:rsid w:val="00382CD0"/>
    <w:rsid w:val="0038495B"/>
    <w:rsid w:val="00384F4D"/>
    <w:rsid w:val="0038535D"/>
    <w:rsid w:val="00386B58"/>
    <w:rsid w:val="0038746D"/>
    <w:rsid w:val="00390B9E"/>
    <w:rsid w:val="00390BC4"/>
    <w:rsid w:val="00390D72"/>
    <w:rsid w:val="003913BA"/>
    <w:rsid w:val="00391A22"/>
    <w:rsid w:val="00391E7B"/>
    <w:rsid w:val="00392606"/>
    <w:rsid w:val="003926BE"/>
    <w:rsid w:val="0039381B"/>
    <w:rsid w:val="00393BA6"/>
    <w:rsid w:val="00394CFB"/>
    <w:rsid w:val="00394D1B"/>
    <w:rsid w:val="00394EE1"/>
    <w:rsid w:val="0039679A"/>
    <w:rsid w:val="0039683C"/>
    <w:rsid w:val="003A079D"/>
    <w:rsid w:val="003A19FA"/>
    <w:rsid w:val="003A21E1"/>
    <w:rsid w:val="003A23E7"/>
    <w:rsid w:val="003A3571"/>
    <w:rsid w:val="003A35A9"/>
    <w:rsid w:val="003A41F9"/>
    <w:rsid w:val="003A50B2"/>
    <w:rsid w:val="003A5116"/>
    <w:rsid w:val="003A52C3"/>
    <w:rsid w:val="003A5F27"/>
    <w:rsid w:val="003A7FBA"/>
    <w:rsid w:val="003B043C"/>
    <w:rsid w:val="003B05E5"/>
    <w:rsid w:val="003B09E4"/>
    <w:rsid w:val="003B0BBF"/>
    <w:rsid w:val="003B0D18"/>
    <w:rsid w:val="003B23D2"/>
    <w:rsid w:val="003B25C7"/>
    <w:rsid w:val="003B26CC"/>
    <w:rsid w:val="003B35B3"/>
    <w:rsid w:val="003B4800"/>
    <w:rsid w:val="003B4CA5"/>
    <w:rsid w:val="003B570C"/>
    <w:rsid w:val="003B6240"/>
    <w:rsid w:val="003B62EC"/>
    <w:rsid w:val="003C1CB7"/>
    <w:rsid w:val="003C1F4B"/>
    <w:rsid w:val="003C28C3"/>
    <w:rsid w:val="003C4C82"/>
    <w:rsid w:val="003C54E3"/>
    <w:rsid w:val="003C6F63"/>
    <w:rsid w:val="003D0093"/>
    <w:rsid w:val="003D029D"/>
    <w:rsid w:val="003D0367"/>
    <w:rsid w:val="003D2485"/>
    <w:rsid w:val="003D33A3"/>
    <w:rsid w:val="003D4006"/>
    <w:rsid w:val="003D4098"/>
    <w:rsid w:val="003D5706"/>
    <w:rsid w:val="003D745B"/>
    <w:rsid w:val="003D7996"/>
    <w:rsid w:val="003E02D7"/>
    <w:rsid w:val="003E07B3"/>
    <w:rsid w:val="003E3739"/>
    <w:rsid w:val="003E379A"/>
    <w:rsid w:val="003E4217"/>
    <w:rsid w:val="003E46B4"/>
    <w:rsid w:val="003E4E93"/>
    <w:rsid w:val="003E61C8"/>
    <w:rsid w:val="003E6542"/>
    <w:rsid w:val="003E6F7B"/>
    <w:rsid w:val="003E7057"/>
    <w:rsid w:val="003E731B"/>
    <w:rsid w:val="003E7751"/>
    <w:rsid w:val="003F08F0"/>
    <w:rsid w:val="003F1DF7"/>
    <w:rsid w:val="003F2C2A"/>
    <w:rsid w:val="003F4072"/>
    <w:rsid w:val="003F5B04"/>
    <w:rsid w:val="003F5C56"/>
    <w:rsid w:val="003F60CD"/>
    <w:rsid w:val="003F66A9"/>
    <w:rsid w:val="003F6ACC"/>
    <w:rsid w:val="00400EEA"/>
    <w:rsid w:val="00401001"/>
    <w:rsid w:val="00403FDA"/>
    <w:rsid w:val="00404C3A"/>
    <w:rsid w:val="00405755"/>
    <w:rsid w:val="00405BDB"/>
    <w:rsid w:val="00405E2E"/>
    <w:rsid w:val="004064D9"/>
    <w:rsid w:val="004066CB"/>
    <w:rsid w:val="00406C7D"/>
    <w:rsid w:val="0040722A"/>
    <w:rsid w:val="004072DE"/>
    <w:rsid w:val="00407E8E"/>
    <w:rsid w:val="0041060D"/>
    <w:rsid w:val="004112B9"/>
    <w:rsid w:val="004117A8"/>
    <w:rsid w:val="00411CAF"/>
    <w:rsid w:val="00412042"/>
    <w:rsid w:val="00412802"/>
    <w:rsid w:val="00413060"/>
    <w:rsid w:val="00413B99"/>
    <w:rsid w:val="00416045"/>
    <w:rsid w:val="004177B4"/>
    <w:rsid w:val="0041780C"/>
    <w:rsid w:val="004178EE"/>
    <w:rsid w:val="0042058A"/>
    <w:rsid w:val="004205CC"/>
    <w:rsid w:val="004232EA"/>
    <w:rsid w:val="00423550"/>
    <w:rsid w:val="004238AF"/>
    <w:rsid w:val="00424651"/>
    <w:rsid w:val="00425C9C"/>
    <w:rsid w:val="0042673E"/>
    <w:rsid w:val="00426889"/>
    <w:rsid w:val="004269A2"/>
    <w:rsid w:val="004278E3"/>
    <w:rsid w:val="00430973"/>
    <w:rsid w:val="00430AE9"/>
    <w:rsid w:val="0043186A"/>
    <w:rsid w:val="00432F61"/>
    <w:rsid w:val="00433AEB"/>
    <w:rsid w:val="00433C62"/>
    <w:rsid w:val="00435494"/>
    <w:rsid w:val="00436493"/>
    <w:rsid w:val="004367E9"/>
    <w:rsid w:val="00436CF2"/>
    <w:rsid w:val="004370AB"/>
    <w:rsid w:val="004373B4"/>
    <w:rsid w:val="00440D55"/>
    <w:rsid w:val="004412B9"/>
    <w:rsid w:val="004414F8"/>
    <w:rsid w:val="004415D1"/>
    <w:rsid w:val="0044238C"/>
    <w:rsid w:val="0044241E"/>
    <w:rsid w:val="00442B2D"/>
    <w:rsid w:val="00442F64"/>
    <w:rsid w:val="00443190"/>
    <w:rsid w:val="004439D3"/>
    <w:rsid w:val="00443E3F"/>
    <w:rsid w:val="00444068"/>
    <w:rsid w:val="004455EC"/>
    <w:rsid w:val="004456BB"/>
    <w:rsid w:val="004459B3"/>
    <w:rsid w:val="0044719B"/>
    <w:rsid w:val="00447836"/>
    <w:rsid w:val="00450BDD"/>
    <w:rsid w:val="00451BCD"/>
    <w:rsid w:val="00451CB7"/>
    <w:rsid w:val="00454CE5"/>
    <w:rsid w:val="00456F68"/>
    <w:rsid w:val="00457E46"/>
    <w:rsid w:val="004608BF"/>
    <w:rsid w:val="00460F03"/>
    <w:rsid w:val="004618DB"/>
    <w:rsid w:val="00461CB0"/>
    <w:rsid w:val="00462277"/>
    <w:rsid w:val="004624D6"/>
    <w:rsid w:val="0046396E"/>
    <w:rsid w:val="0046667E"/>
    <w:rsid w:val="00466AA5"/>
    <w:rsid w:val="00466CF7"/>
    <w:rsid w:val="00466FF7"/>
    <w:rsid w:val="00470129"/>
    <w:rsid w:val="00470283"/>
    <w:rsid w:val="00470774"/>
    <w:rsid w:val="00471053"/>
    <w:rsid w:val="00471627"/>
    <w:rsid w:val="0047189C"/>
    <w:rsid w:val="004730C1"/>
    <w:rsid w:val="004738C9"/>
    <w:rsid w:val="00474D27"/>
    <w:rsid w:val="00475C27"/>
    <w:rsid w:val="00475DB4"/>
    <w:rsid w:val="00475EC0"/>
    <w:rsid w:val="00476384"/>
    <w:rsid w:val="0047660A"/>
    <w:rsid w:val="0047786A"/>
    <w:rsid w:val="00481A79"/>
    <w:rsid w:val="0048242C"/>
    <w:rsid w:val="00482974"/>
    <w:rsid w:val="0048471F"/>
    <w:rsid w:val="00485C83"/>
    <w:rsid w:val="00485EF4"/>
    <w:rsid w:val="004865F5"/>
    <w:rsid w:val="00486999"/>
    <w:rsid w:val="0048724A"/>
    <w:rsid w:val="00487D98"/>
    <w:rsid w:val="00487FDB"/>
    <w:rsid w:val="004905D5"/>
    <w:rsid w:val="004908DC"/>
    <w:rsid w:val="0049166F"/>
    <w:rsid w:val="00491B8C"/>
    <w:rsid w:val="004922CB"/>
    <w:rsid w:val="004932FB"/>
    <w:rsid w:val="004941E2"/>
    <w:rsid w:val="00494E11"/>
    <w:rsid w:val="00495587"/>
    <w:rsid w:val="00495B13"/>
    <w:rsid w:val="00496077"/>
    <w:rsid w:val="00496743"/>
    <w:rsid w:val="00496BA8"/>
    <w:rsid w:val="00497C94"/>
    <w:rsid w:val="00497CA9"/>
    <w:rsid w:val="00497D32"/>
    <w:rsid w:val="004A078B"/>
    <w:rsid w:val="004A1C15"/>
    <w:rsid w:val="004A230C"/>
    <w:rsid w:val="004A2A7A"/>
    <w:rsid w:val="004A31D8"/>
    <w:rsid w:val="004A3923"/>
    <w:rsid w:val="004A3C9A"/>
    <w:rsid w:val="004A4E04"/>
    <w:rsid w:val="004A54CE"/>
    <w:rsid w:val="004A558B"/>
    <w:rsid w:val="004A5936"/>
    <w:rsid w:val="004A60D8"/>
    <w:rsid w:val="004A687A"/>
    <w:rsid w:val="004A6A12"/>
    <w:rsid w:val="004A6DDA"/>
    <w:rsid w:val="004A77CB"/>
    <w:rsid w:val="004A7B27"/>
    <w:rsid w:val="004B0C32"/>
    <w:rsid w:val="004B1EC0"/>
    <w:rsid w:val="004B2F94"/>
    <w:rsid w:val="004B33D8"/>
    <w:rsid w:val="004B4018"/>
    <w:rsid w:val="004B47C6"/>
    <w:rsid w:val="004B4CA3"/>
    <w:rsid w:val="004B4DA1"/>
    <w:rsid w:val="004B5195"/>
    <w:rsid w:val="004B5413"/>
    <w:rsid w:val="004B610B"/>
    <w:rsid w:val="004B632C"/>
    <w:rsid w:val="004B7691"/>
    <w:rsid w:val="004B79A2"/>
    <w:rsid w:val="004B79C8"/>
    <w:rsid w:val="004B79C9"/>
    <w:rsid w:val="004C013A"/>
    <w:rsid w:val="004C14EB"/>
    <w:rsid w:val="004C151A"/>
    <w:rsid w:val="004C22E7"/>
    <w:rsid w:val="004C2D6F"/>
    <w:rsid w:val="004C33F0"/>
    <w:rsid w:val="004C443D"/>
    <w:rsid w:val="004C4469"/>
    <w:rsid w:val="004C55D1"/>
    <w:rsid w:val="004C6551"/>
    <w:rsid w:val="004C662C"/>
    <w:rsid w:val="004C79E3"/>
    <w:rsid w:val="004D042E"/>
    <w:rsid w:val="004D08DC"/>
    <w:rsid w:val="004D0BF0"/>
    <w:rsid w:val="004D2DBC"/>
    <w:rsid w:val="004D3CD6"/>
    <w:rsid w:val="004D3EA6"/>
    <w:rsid w:val="004D4226"/>
    <w:rsid w:val="004D4C0B"/>
    <w:rsid w:val="004D5013"/>
    <w:rsid w:val="004D5549"/>
    <w:rsid w:val="004D5893"/>
    <w:rsid w:val="004D71A5"/>
    <w:rsid w:val="004D754D"/>
    <w:rsid w:val="004E0412"/>
    <w:rsid w:val="004E0C89"/>
    <w:rsid w:val="004E1395"/>
    <w:rsid w:val="004E1978"/>
    <w:rsid w:val="004E227B"/>
    <w:rsid w:val="004E294B"/>
    <w:rsid w:val="004E29FB"/>
    <w:rsid w:val="004E2E56"/>
    <w:rsid w:val="004E31F5"/>
    <w:rsid w:val="004E3BFD"/>
    <w:rsid w:val="004E3D7A"/>
    <w:rsid w:val="004E40F3"/>
    <w:rsid w:val="004E4835"/>
    <w:rsid w:val="004E5DB6"/>
    <w:rsid w:val="004E7546"/>
    <w:rsid w:val="004E7F40"/>
    <w:rsid w:val="004F10B8"/>
    <w:rsid w:val="004F11EE"/>
    <w:rsid w:val="004F1B27"/>
    <w:rsid w:val="004F1B46"/>
    <w:rsid w:val="004F1F96"/>
    <w:rsid w:val="004F23B9"/>
    <w:rsid w:val="004F4C54"/>
    <w:rsid w:val="004F6D49"/>
    <w:rsid w:val="004F7D39"/>
    <w:rsid w:val="004F7E7B"/>
    <w:rsid w:val="00500006"/>
    <w:rsid w:val="005002E7"/>
    <w:rsid w:val="005006C1"/>
    <w:rsid w:val="005015E6"/>
    <w:rsid w:val="00501C79"/>
    <w:rsid w:val="005037DE"/>
    <w:rsid w:val="00503E26"/>
    <w:rsid w:val="00504A5B"/>
    <w:rsid w:val="00504FEF"/>
    <w:rsid w:val="005053AF"/>
    <w:rsid w:val="00505464"/>
    <w:rsid w:val="005054AF"/>
    <w:rsid w:val="00505577"/>
    <w:rsid w:val="005070FA"/>
    <w:rsid w:val="00507F24"/>
    <w:rsid w:val="005101AD"/>
    <w:rsid w:val="0051085F"/>
    <w:rsid w:val="00510C2B"/>
    <w:rsid w:val="00510DEE"/>
    <w:rsid w:val="0051115E"/>
    <w:rsid w:val="005116CA"/>
    <w:rsid w:val="005124C0"/>
    <w:rsid w:val="005129B6"/>
    <w:rsid w:val="00513702"/>
    <w:rsid w:val="005162DD"/>
    <w:rsid w:val="005173B4"/>
    <w:rsid w:val="00520927"/>
    <w:rsid w:val="0052138C"/>
    <w:rsid w:val="0052175F"/>
    <w:rsid w:val="00522153"/>
    <w:rsid w:val="0052218C"/>
    <w:rsid w:val="005228BF"/>
    <w:rsid w:val="00524EA6"/>
    <w:rsid w:val="00524F26"/>
    <w:rsid w:val="0052531C"/>
    <w:rsid w:val="00525B25"/>
    <w:rsid w:val="00525E51"/>
    <w:rsid w:val="00526361"/>
    <w:rsid w:val="00527659"/>
    <w:rsid w:val="00527821"/>
    <w:rsid w:val="005278B9"/>
    <w:rsid w:val="00527A92"/>
    <w:rsid w:val="0053043C"/>
    <w:rsid w:val="00531948"/>
    <w:rsid w:val="00532B1C"/>
    <w:rsid w:val="00533243"/>
    <w:rsid w:val="00535233"/>
    <w:rsid w:val="0053553D"/>
    <w:rsid w:val="005357AC"/>
    <w:rsid w:val="00535939"/>
    <w:rsid w:val="00535FE9"/>
    <w:rsid w:val="00536774"/>
    <w:rsid w:val="00536D38"/>
    <w:rsid w:val="005371D4"/>
    <w:rsid w:val="005378EE"/>
    <w:rsid w:val="0053793D"/>
    <w:rsid w:val="00540383"/>
    <w:rsid w:val="0054068B"/>
    <w:rsid w:val="00545422"/>
    <w:rsid w:val="0054569E"/>
    <w:rsid w:val="0054576B"/>
    <w:rsid w:val="00546002"/>
    <w:rsid w:val="00546149"/>
    <w:rsid w:val="005464CB"/>
    <w:rsid w:val="00547379"/>
    <w:rsid w:val="005479D3"/>
    <w:rsid w:val="00550BDC"/>
    <w:rsid w:val="00550EC2"/>
    <w:rsid w:val="005515FF"/>
    <w:rsid w:val="0055469A"/>
    <w:rsid w:val="005551B0"/>
    <w:rsid w:val="00555A72"/>
    <w:rsid w:val="00556514"/>
    <w:rsid w:val="00556E30"/>
    <w:rsid w:val="005606BE"/>
    <w:rsid w:val="005609F6"/>
    <w:rsid w:val="00561ECF"/>
    <w:rsid w:val="005621C5"/>
    <w:rsid w:val="00562AE6"/>
    <w:rsid w:val="00562E37"/>
    <w:rsid w:val="00562F7A"/>
    <w:rsid w:val="00563250"/>
    <w:rsid w:val="005640B2"/>
    <w:rsid w:val="00564DAE"/>
    <w:rsid w:val="00565418"/>
    <w:rsid w:val="005659F5"/>
    <w:rsid w:val="00565B7F"/>
    <w:rsid w:val="00571389"/>
    <w:rsid w:val="0057182E"/>
    <w:rsid w:val="00571955"/>
    <w:rsid w:val="005727A5"/>
    <w:rsid w:val="00576E67"/>
    <w:rsid w:val="0057714F"/>
    <w:rsid w:val="005773E2"/>
    <w:rsid w:val="005776C9"/>
    <w:rsid w:val="0058203F"/>
    <w:rsid w:val="00583836"/>
    <w:rsid w:val="005849C7"/>
    <w:rsid w:val="00585FF5"/>
    <w:rsid w:val="005868A0"/>
    <w:rsid w:val="00586FC3"/>
    <w:rsid w:val="00587FBD"/>
    <w:rsid w:val="0059195D"/>
    <w:rsid w:val="00591EAD"/>
    <w:rsid w:val="0059241C"/>
    <w:rsid w:val="00593016"/>
    <w:rsid w:val="005931D0"/>
    <w:rsid w:val="00593516"/>
    <w:rsid w:val="00593C3A"/>
    <w:rsid w:val="00594A0A"/>
    <w:rsid w:val="005952AF"/>
    <w:rsid w:val="00596EE7"/>
    <w:rsid w:val="005971F6"/>
    <w:rsid w:val="005973BD"/>
    <w:rsid w:val="005A0015"/>
    <w:rsid w:val="005A1F8C"/>
    <w:rsid w:val="005A26CE"/>
    <w:rsid w:val="005A294D"/>
    <w:rsid w:val="005A2BC2"/>
    <w:rsid w:val="005A2CB3"/>
    <w:rsid w:val="005A4167"/>
    <w:rsid w:val="005A43D2"/>
    <w:rsid w:val="005A4D5D"/>
    <w:rsid w:val="005A5C99"/>
    <w:rsid w:val="005A6748"/>
    <w:rsid w:val="005A78FD"/>
    <w:rsid w:val="005A7921"/>
    <w:rsid w:val="005A7C6D"/>
    <w:rsid w:val="005B1E67"/>
    <w:rsid w:val="005B3442"/>
    <w:rsid w:val="005B3C9B"/>
    <w:rsid w:val="005B67DC"/>
    <w:rsid w:val="005B7AC2"/>
    <w:rsid w:val="005C0B34"/>
    <w:rsid w:val="005C218F"/>
    <w:rsid w:val="005C2578"/>
    <w:rsid w:val="005C3C4F"/>
    <w:rsid w:val="005C3F1F"/>
    <w:rsid w:val="005C4DC3"/>
    <w:rsid w:val="005C5C22"/>
    <w:rsid w:val="005C64BA"/>
    <w:rsid w:val="005C68B5"/>
    <w:rsid w:val="005C726A"/>
    <w:rsid w:val="005D03CB"/>
    <w:rsid w:val="005D0E01"/>
    <w:rsid w:val="005D0EC8"/>
    <w:rsid w:val="005D1537"/>
    <w:rsid w:val="005D4080"/>
    <w:rsid w:val="005D62CD"/>
    <w:rsid w:val="005D63C7"/>
    <w:rsid w:val="005D647B"/>
    <w:rsid w:val="005D6D1F"/>
    <w:rsid w:val="005D77D2"/>
    <w:rsid w:val="005D7DF8"/>
    <w:rsid w:val="005E0479"/>
    <w:rsid w:val="005E084C"/>
    <w:rsid w:val="005E0EF2"/>
    <w:rsid w:val="005E2496"/>
    <w:rsid w:val="005E293A"/>
    <w:rsid w:val="005E29DF"/>
    <w:rsid w:val="005E2AE0"/>
    <w:rsid w:val="005E3A61"/>
    <w:rsid w:val="005E3DEF"/>
    <w:rsid w:val="005E432B"/>
    <w:rsid w:val="005E44A1"/>
    <w:rsid w:val="005E617E"/>
    <w:rsid w:val="005E65BD"/>
    <w:rsid w:val="005E66AA"/>
    <w:rsid w:val="005E6F78"/>
    <w:rsid w:val="005F03C7"/>
    <w:rsid w:val="005F2D58"/>
    <w:rsid w:val="005F4171"/>
    <w:rsid w:val="005F57FC"/>
    <w:rsid w:val="005F625B"/>
    <w:rsid w:val="00601078"/>
    <w:rsid w:val="006014E3"/>
    <w:rsid w:val="0060150A"/>
    <w:rsid w:val="00601D28"/>
    <w:rsid w:val="00601D43"/>
    <w:rsid w:val="006020B7"/>
    <w:rsid w:val="00602C37"/>
    <w:rsid w:val="006032FC"/>
    <w:rsid w:val="00603824"/>
    <w:rsid w:val="00603E69"/>
    <w:rsid w:val="00604CB5"/>
    <w:rsid w:val="00604D7F"/>
    <w:rsid w:val="00604E83"/>
    <w:rsid w:val="00604F77"/>
    <w:rsid w:val="0060579F"/>
    <w:rsid w:val="00605925"/>
    <w:rsid w:val="00606B50"/>
    <w:rsid w:val="006070B1"/>
    <w:rsid w:val="00607E40"/>
    <w:rsid w:val="00610632"/>
    <w:rsid w:val="00610759"/>
    <w:rsid w:val="00611091"/>
    <w:rsid w:val="0061129D"/>
    <w:rsid w:val="0061147E"/>
    <w:rsid w:val="00612C9F"/>
    <w:rsid w:val="00612D85"/>
    <w:rsid w:val="00612EB0"/>
    <w:rsid w:val="006134D5"/>
    <w:rsid w:val="0061362F"/>
    <w:rsid w:val="006139F3"/>
    <w:rsid w:val="006140D1"/>
    <w:rsid w:val="006142CF"/>
    <w:rsid w:val="0061509B"/>
    <w:rsid w:val="00615A1C"/>
    <w:rsid w:val="00615B50"/>
    <w:rsid w:val="006170A9"/>
    <w:rsid w:val="00617391"/>
    <w:rsid w:val="0062014C"/>
    <w:rsid w:val="006213CE"/>
    <w:rsid w:val="006233B8"/>
    <w:rsid w:val="00627154"/>
    <w:rsid w:val="006273CF"/>
    <w:rsid w:val="00627653"/>
    <w:rsid w:val="006276CA"/>
    <w:rsid w:val="00627B90"/>
    <w:rsid w:val="006307D7"/>
    <w:rsid w:val="00631429"/>
    <w:rsid w:val="00631EA8"/>
    <w:rsid w:val="00633FD2"/>
    <w:rsid w:val="006341EA"/>
    <w:rsid w:val="00634227"/>
    <w:rsid w:val="00634B99"/>
    <w:rsid w:val="006356B4"/>
    <w:rsid w:val="00635712"/>
    <w:rsid w:val="00635764"/>
    <w:rsid w:val="00635978"/>
    <w:rsid w:val="00635A34"/>
    <w:rsid w:val="006373C7"/>
    <w:rsid w:val="006377FF"/>
    <w:rsid w:val="00637C46"/>
    <w:rsid w:val="00641593"/>
    <w:rsid w:val="006417CC"/>
    <w:rsid w:val="0064258F"/>
    <w:rsid w:val="00643968"/>
    <w:rsid w:val="006443D9"/>
    <w:rsid w:val="0064442C"/>
    <w:rsid w:val="00645566"/>
    <w:rsid w:val="00646C70"/>
    <w:rsid w:val="00647A27"/>
    <w:rsid w:val="00647CFD"/>
    <w:rsid w:val="006508CD"/>
    <w:rsid w:val="0065177C"/>
    <w:rsid w:val="006527B4"/>
    <w:rsid w:val="00655F14"/>
    <w:rsid w:val="006565AA"/>
    <w:rsid w:val="006572A4"/>
    <w:rsid w:val="00657466"/>
    <w:rsid w:val="00657955"/>
    <w:rsid w:val="00661F03"/>
    <w:rsid w:val="00661F7C"/>
    <w:rsid w:val="00662B47"/>
    <w:rsid w:val="00662BD0"/>
    <w:rsid w:val="0066360A"/>
    <w:rsid w:val="0066450E"/>
    <w:rsid w:val="0066462B"/>
    <w:rsid w:val="0066483A"/>
    <w:rsid w:val="00664C80"/>
    <w:rsid w:val="006654CB"/>
    <w:rsid w:val="00666147"/>
    <w:rsid w:val="00666224"/>
    <w:rsid w:val="00666AB9"/>
    <w:rsid w:val="00666DB8"/>
    <w:rsid w:val="00666EF4"/>
    <w:rsid w:val="00667655"/>
    <w:rsid w:val="00671092"/>
    <w:rsid w:val="006721EC"/>
    <w:rsid w:val="00672356"/>
    <w:rsid w:val="00672A42"/>
    <w:rsid w:val="00673352"/>
    <w:rsid w:val="00673936"/>
    <w:rsid w:val="00674E78"/>
    <w:rsid w:val="0067555D"/>
    <w:rsid w:val="00675AB5"/>
    <w:rsid w:val="00675FC5"/>
    <w:rsid w:val="0067643E"/>
    <w:rsid w:val="00676930"/>
    <w:rsid w:val="00676D17"/>
    <w:rsid w:val="00677278"/>
    <w:rsid w:val="006774B3"/>
    <w:rsid w:val="006800AF"/>
    <w:rsid w:val="00680B13"/>
    <w:rsid w:val="00680D5E"/>
    <w:rsid w:val="0068244E"/>
    <w:rsid w:val="00682C43"/>
    <w:rsid w:val="0068338D"/>
    <w:rsid w:val="0068347E"/>
    <w:rsid w:val="00683C65"/>
    <w:rsid w:val="006843FA"/>
    <w:rsid w:val="00684C24"/>
    <w:rsid w:val="00684EC2"/>
    <w:rsid w:val="00684F62"/>
    <w:rsid w:val="00685538"/>
    <w:rsid w:val="00685DF5"/>
    <w:rsid w:val="0068688D"/>
    <w:rsid w:val="0068783D"/>
    <w:rsid w:val="00687906"/>
    <w:rsid w:val="00687BB9"/>
    <w:rsid w:val="00690437"/>
    <w:rsid w:val="00690A06"/>
    <w:rsid w:val="006911AF"/>
    <w:rsid w:val="006923D6"/>
    <w:rsid w:val="00692822"/>
    <w:rsid w:val="00695133"/>
    <w:rsid w:val="00695464"/>
    <w:rsid w:val="00695680"/>
    <w:rsid w:val="0069578E"/>
    <w:rsid w:val="006961C4"/>
    <w:rsid w:val="00697512"/>
    <w:rsid w:val="00697F65"/>
    <w:rsid w:val="006A04DA"/>
    <w:rsid w:val="006A129C"/>
    <w:rsid w:val="006A134A"/>
    <w:rsid w:val="006A1975"/>
    <w:rsid w:val="006A1C30"/>
    <w:rsid w:val="006A2B56"/>
    <w:rsid w:val="006A2DA9"/>
    <w:rsid w:val="006A2EBD"/>
    <w:rsid w:val="006A32B3"/>
    <w:rsid w:val="006A38FC"/>
    <w:rsid w:val="006A4BD7"/>
    <w:rsid w:val="006A5E85"/>
    <w:rsid w:val="006A6070"/>
    <w:rsid w:val="006A67BA"/>
    <w:rsid w:val="006B0B35"/>
    <w:rsid w:val="006B0DAE"/>
    <w:rsid w:val="006B1BB2"/>
    <w:rsid w:val="006B2C4D"/>
    <w:rsid w:val="006B31D1"/>
    <w:rsid w:val="006B35FE"/>
    <w:rsid w:val="006B392D"/>
    <w:rsid w:val="006B4196"/>
    <w:rsid w:val="006B45BE"/>
    <w:rsid w:val="006B4A2E"/>
    <w:rsid w:val="006B4BD6"/>
    <w:rsid w:val="006B5DC8"/>
    <w:rsid w:val="006B5E46"/>
    <w:rsid w:val="006B632B"/>
    <w:rsid w:val="006B6853"/>
    <w:rsid w:val="006B6DC1"/>
    <w:rsid w:val="006B6F95"/>
    <w:rsid w:val="006B74C1"/>
    <w:rsid w:val="006C033A"/>
    <w:rsid w:val="006C04F8"/>
    <w:rsid w:val="006C0B1C"/>
    <w:rsid w:val="006C257B"/>
    <w:rsid w:val="006C2746"/>
    <w:rsid w:val="006C280F"/>
    <w:rsid w:val="006C3A55"/>
    <w:rsid w:val="006C41C4"/>
    <w:rsid w:val="006C46BF"/>
    <w:rsid w:val="006C53AE"/>
    <w:rsid w:val="006C54A0"/>
    <w:rsid w:val="006C7B23"/>
    <w:rsid w:val="006D022E"/>
    <w:rsid w:val="006D0964"/>
    <w:rsid w:val="006D0ECD"/>
    <w:rsid w:val="006D1C4F"/>
    <w:rsid w:val="006D264A"/>
    <w:rsid w:val="006D3002"/>
    <w:rsid w:val="006D3276"/>
    <w:rsid w:val="006D425A"/>
    <w:rsid w:val="006D43ED"/>
    <w:rsid w:val="006D4F01"/>
    <w:rsid w:val="006D52C5"/>
    <w:rsid w:val="006D5A8E"/>
    <w:rsid w:val="006D5C0D"/>
    <w:rsid w:val="006D71F3"/>
    <w:rsid w:val="006D7B46"/>
    <w:rsid w:val="006E0C63"/>
    <w:rsid w:val="006E15C8"/>
    <w:rsid w:val="006E196A"/>
    <w:rsid w:val="006E1A2E"/>
    <w:rsid w:val="006E24CE"/>
    <w:rsid w:val="006E32FA"/>
    <w:rsid w:val="006E395D"/>
    <w:rsid w:val="006E42EC"/>
    <w:rsid w:val="006E4CC0"/>
    <w:rsid w:val="006E519E"/>
    <w:rsid w:val="006E61F2"/>
    <w:rsid w:val="006E6926"/>
    <w:rsid w:val="006E6D8B"/>
    <w:rsid w:val="006E7799"/>
    <w:rsid w:val="006F099C"/>
    <w:rsid w:val="006F0CE8"/>
    <w:rsid w:val="006F0FE8"/>
    <w:rsid w:val="006F1923"/>
    <w:rsid w:val="006F22D3"/>
    <w:rsid w:val="006F25D7"/>
    <w:rsid w:val="006F40E0"/>
    <w:rsid w:val="006F55B0"/>
    <w:rsid w:val="006F57CC"/>
    <w:rsid w:val="006F5ADA"/>
    <w:rsid w:val="00700066"/>
    <w:rsid w:val="0070147A"/>
    <w:rsid w:val="007020FD"/>
    <w:rsid w:val="00702119"/>
    <w:rsid w:val="00702715"/>
    <w:rsid w:val="007029CC"/>
    <w:rsid w:val="00703766"/>
    <w:rsid w:val="00703808"/>
    <w:rsid w:val="00704508"/>
    <w:rsid w:val="00704BDA"/>
    <w:rsid w:val="00705608"/>
    <w:rsid w:val="00705C2E"/>
    <w:rsid w:val="007060BE"/>
    <w:rsid w:val="007064B2"/>
    <w:rsid w:val="0070672E"/>
    <w:rsid w:val="00706A7C"/>
    <w:rsid w:val="007100F7"/>
    <w:rsid w:val="00711774"/>
    <w:rsid w:val="00711C88"/>
    <w:rsid w:val="00711F51"/>
    <w:rsid w:val="00712188"/>
    <w:rsid w:val="00712BED"/>
    <w:rsid w:val="00713976"/>
    <w:rsid w:val="00713B8F"/>
    <w:rsid w:val="00714281"/>
    <w:rsid w:val="007143BD"/>
    <w:rsid w:val="00714858"/>
    <w:rsid w:val="007151E3"/>
    <w:rsid w:val="00716669"/>
    <w:rsid w:val="00717174"/>
    <w:rsid w:val="0071740E"/>
    <w:rsid w:val="00720C07"/>
    <w:rsid w:val="007210DD"/>
    <w:rsid w:val="007211BA"/>
    <w:rsid w:val="00721509"/>
    <w:rsid w:val="00721E36"/>
    <w:rsid w:val="007226BE"/>
    <w:rsid w:val="00722EC0"/>
    <w:rsid w:val="007237B3"/>
    <w:rsid w:val="00723A6F"/>
    <w:rsid w:val="00724098"/>
    <w:rsid w:val="007247FA"/>
    <w:rsid w:val="007249FA"/>
    <w:rsid w:val="007261FA"/>
    <w:rsid w:val="007267E0"/>
    <w:rsid w:val="0072777D"/>
    <w:rsid w:val="00727BAA"/>
    <w:rsid w:val="00727BD5"/>
    <w:rsid w:val="00730E06"/>
    <w:rsid w:val="007318B1"/>
    <w:rsid w:val="007328A7"/>
    <w:rsid w:val="00732FD7"/>
    <w:rsid w:val="0073325C"/>
    <w:rsid w:val="00734176"/>
    <w:rsid w:val="0073467B"/>
    <w:rsid w:val="0073677A"/>
    <w:rsid w:val="00737B46"/>
    <w:rsid w:val="00737EDA"/>
    <w:rsid w:val="00737F49"/>
    <w:rsid w:val="00740467"/>
    <w:rsid w:val="007407CB"/>
    <w:rsid w:val="00740955"/>
    <w:rsid w:val="0074128F"/>
    <w:rsid w:val="00741A22"/>
    <w:rsid w:val="00742F09"/>
    <w:rsid w:val="0074346B"/>
    <w:rsid w:val="00743762"/>
    <w:rsid w:val="00743EB0"/>
    <w:rsid w:val="00744CA6"/>
    <w:rsid w:val="00745B6C"/>
    <w:rsid w:val="00745C49"/>
    <w:rsid w:val="00745F82"/>
    <w:rsid w:val="007462EC"/>
    <w:rsid w:val="007473B5"/>
    <w:rsid w:val="00747580"/>
    <w:rsid w:val="00747E84"/>
    <w:rsid w:val="00751992"/>
    <w:rsid w:val="0075225D"/>
    <w:rsid w:val="00753B36"/>
    <w:rsid w:val="0075481B"/>
    <w:rsid w:val="00755E78"/>
    <w:rsid w:val="00757A02"/>
    <w:rsid w:val="00757DDB"/>
    <w:rsid w:val="00757FD7"/>
    <w:rsid w:val="00760506"/>
    <w:rsid w:val="00761272"/>
    <w:rsid w:val="0076145B"/>
    <w:rsid w:val="0076199E"/>
    <w:rsid w:val="00761EE0"/>
    <w:rsid w:val="00762785"/>
    <w:rsid w:val="0076281A"/>
    <w:rsid w:val="00762CAD"/>
    <w:rsid w:val="007651C8"/>
    <w:rsid w:val="007654CE"/>
    <w:rsid w:val="00766486"/>
    <w:rsid w:val="00766B06"/>
    <w:rsid w:val="007674E0"/>
    <w:rsid w:val="00767C86"/>
    <w:rsid w:val="007700E2"/>
    <w:rsid w:val="00771005"/>
    <w:rsid w:val="0077225D"/>
    <w:rsid w:val="00772E2C"/>
    <w:rsid w:val="007731D9"/>
    <w:rsid w:val="0077383C"/>
    <w:rsid w:val="00773F47"/>
    <w:rsid w:val="00776167"/>
    <w:rsid w:val="00776700"/>
    <w:rsid w:val="007770B9"/>
    <w:rsid w:val="00777F27"/>
    <w:rsid w:val="00782004"/>
    <w:rsid w:val="00782636"/>
    <w:rsid w:val="00782E31"/>
    <w:rsid w:val="00782F3C"/>
    <w:rsid w:val="0078340C"/>
    <w:rsid w:val="00784C08"/>
    <w:rsid w:val="007859F0"/>
    <w:rsid w:val="00785FE1"/>
    <w:rsid w:val="00786575"/>
    <w:rsid w:val="00786A07"/>
    <w:rsid w:val="007877EC"/>
    <w:rsid w:val="00787999"/>
    <w:rsid w:val="007901BE"/>
    <w:rsid w:val="00790355"/>
    <w:rsid w:val="00790D3C"/>
    <w:rsid w:val="00791AAA"/>
    <w:rsid w:val="0079249B"/>
    <w:rsid w:val="00792EE2"/>
    <w:rsid w:val="00792F1C"/>
    <w:rsid w:val="00793113"/>
    <w:rsid w:val="0079324F"/>
    <w:rsid w:val="007934E1"/>
    <w:rsid w:val="007937C1"/>
    <w:rsid w:val="00794392"/>
    <w:rsid w:val="00794AED"/>
    <w:rsid w:val="00794AF2"/>
    <w:rsid w:val="00794CB6"/>
    <w:rsid w:val="0079557A"/>
    <w:rsid w:val="00797332"/>
    <w:rsid w:val="007A055B"/>
    <w:rsid w:val="007A0C45"/>
    <w:rsid w:val="007A10F3"/>
    <w:rsid w:val="007A16A9"/>
    <w:rsid w:val="007A1D8A"/>
    <w:rsid w:val="007A2B34"/>
    <w:rsid w:val="007A3FF8"/>
    <w:rsid w:val="007A4630"/>
    <w:rsid w:val="007A4AE1"/>
    <w:rsid w:val="007A54C3"/>
    <w:rsid w:val="007A5791"/>
    <w:rsid w:val="007A6BDF"/>
    <w:rsid w:val="007A72B4"/>
    <w:rsid w:val="007A7393"/>
    <w:rsid w:val="007A75EB"/>
    <w:rsid w:val="007A7821"/>
    <w:rsid w:val="007A7A47"/>
    <w:rsid w:val="007B0383"/>
    <w:rsid w:val="007B1075"/>
    <w:rsid w:val="007B1153"/>
    <w:rsid w:val="007B28C5"/>
    <w:rsid w:val="007B4B14"/>
    <w:rsid w:val="007B4DD6"/>
    <w:rsid w:val="007B5C86"/>
    <w:rsid w:val="007B5E6A"/>
    <w:rsid w:val="007B634F"/>
    <w:rsid w:val="007B6734"/>
    <w:rsid w:val="007B6F13"/>
    <w:rsid w:val="007B705F"/>
    <w:rsid w:val="007C0D1A"/>
    <w:rsid w:val="007C0F32"/>
    <w:rsid w:val="007C1B0F"/>
    <w:rsid w:val="007C1F72"/>
    <w:rsid w:val="007C28CD"/>
    <w:rsid w:val="007C34E3"/>
    <w:rsid w:val="007C353F"/>
    <w:rsid w:val="007C42D8"/>
    <w:rsid w:val="007C4A7F"/>
    <w:rsid w:val="007C5153"/>
    <w:rsid w:val="007C5335"/>
    <w:rsid w:val="007C5813"/>
    <w:rsid w:val="007C5CDA"/>
    <w:rsid w:val="007C688A"/>
    <w:rsid w:val="007C6AD4"/>
    <w:rsid w:val="007C7D4A"/>
    <w:rsid w:val="007D03DE"/>
    <w:rsid w:val="007D061B"/>
    <w:rsid w:val="007D0906"/>
    <w:rsid w:val="007D1378"/>
    <w:rsid w:val="007D171B"/>
    <w:rsid w:val="007D21F3"/>
    <w:rsid w:val="007D2AC4"/>
    <w:rsid w:val="007D2B0E"/>
    <w:rsid w:val="007D2F41"/>
    <w:rsid w:val="007D36F0"/>
    <w:rsid w:val="007D4007"/>
    <w:rsid w:val="007D415F"/>
    <w:rsid w:val="007D46C2"/>
    <w:rsid w:val="007D4DAA"/>
    <w:rsid w:val="007D5A55"/>
    <w:rsid w:val="007D5B1D"/>
    <w:rsid w:val="007D647F"/>
    <w:rsid w:val="007E0088"/>
    <w:rsid w:val="007E0ADB"/>
    <w:rsid w:val="007E172F"/>
    <w:rsid w:val="007E1767"/>
    <w:rsid w:val="007E224A"/>
    <w:rsid w:val="007E2ACD"/>
    <w:rsid w:val="007E3BD1"/>
    <w:rsid w:val="007E4028"/>
    <w:rsid w:val="007E4A28"/>
    <w:rsid w:val="007E4D12"/>
    <w:rsid w:val="007E53DD"/>
    <w:rsid w:val="007E5A5A"/>
    <w:rsid w:val="007E5CC6"/>
    <w:rsid w:val="007E638D"/>
    <w:rsid w:val="007E67E8"/>
    <w:rsid w:val="007F0745"/>
    <w:rsid w:val="007F1D01"/>
    <w:rsid w:val="007F20EE"/>
    <w:rsid w:val="007F2FB7"/>
    <w:rsid w:val="007F5A02"/>
    <w:rsid w:val="007F6498"/>
    <w:rsid w:val="007F6C6A"/>
    <w:rsid w:val="007F708D"/>
    <w:rsid w:val="008009A0"/>
    <w:rsid w:val="00800C59"/>
    <w:rsid w:val="00800DFF"/>
    <w:rsid w:val="0080296D"/>
    <w:rsid w:val="00802FD7"/>
    <w:rsid w:val="008030FD"/>
    <w:rsid w:val="00803519"/>
    <w:rsid w:val="008044DD"/>
    <w:rsid w:val="00804D88"/>
    <w:rsid w:val="00805190"/>
    <w:rsid w:val="00807078"/>
    <w:rsid w:val="00810CD6"/>
    <w:rsid w:val="00811720"/>
    <w:rsid w:val="008120DD"/>
    <w:rsid w:val="008123CC"/>
    <w:rsid w:val="00814D30"/>
    <w:rsid w:val="00814F54"/>
    <w:rsid w:val="00815A0B"/>
    <w:rsid w:val="00816A79"/>
    <w:rsid w:val="00816BC0"/>
    <w:rsid w:val="008201F3"/>
    <w:rsid w:val="0082101C"/>
    <w:rsid w:val="00821903"/>
    <w:rsid w:val="00821FB8"/>
    <w:rsid w:val="00822911"/>
    <w:rsid w:val="00822F9A"/>
    <w:rsid w:val="008241F4"/>
    <w:rsid w:val="00824426"/>
    <w:rsid w:val="00824790"/>
    <w:rsid w:val="008247B6"/>
    <w:rsid w:val="008248CE"/>
    <w:rsid w:val="008258C0"/>
    <w:rsid w:val="00825A5E"/>
    <w:rsid w:val="0082680D"/>
    <w:rsid w:val="00827FE5"/>
    <w:rsid w:val="00831602"/>
    <w:rsid w:val="00831730"/>
    <w:rsid w:val="00832165"/>
    <w:rsid w:val="00833B84"/>
    <w:rsid w:val="00833DC9"/>
    <w:rsid w:val="00833E70"/>
    <w:rsid w:val="00834B96"/>
    <w:rsid w:val="00834CD6"/>
    <w:rsid w:val="00835BFB"/>
    <w:rsid w:val="00835C05"/>
    <w:rsid w:val="008363A5"/>
    <w:rsid w:val="00836599"/>
    <w:rsid w:val="008369B5"/>
    <w:rsid w:val="00836EB3"/>
    <w:rsid w:val="00836EC5"/>
    <w:rsid w:val="0083711A"/>
    <w:rsid w:val="00840344"/>
    <w:rsid w:val="00840347"/>
    <w:rsid w:val="008426A1"/>
    <w:rsid w:val="00842D08"/>
    <w:rsid w:val="008432DF"/>
    <w:rsid w:val="008444FF"/>
    <w:rsid w:val="008467EE"/>
    <w:rsid w:val="00847603"/>
    <w:rsid w:val="008478DE"/>
    <w:rsid w:val="00850098"/>
    <w:rsid w:val="008503C3"/>
    <w:rsid w:val="00850D44"/>
    <w:rsid w:val="00852C3D"/>
    <w:rsid w:val="00852F50"/>
    <w:rsid w:val="0085409D"/>
    <w:rsid w:val="00854977"/>
    <w:rsid w:val="00855EB9"/>
    <w:rsid w:val="00856298"/>
    <w:rsid w:val="0085698A"/>
    <w:rsid w:val="008579E2"/>
    <w:rsid w:val="00857E80"/>
    <w:rsid w:val="0086025E"/>
    <w:rsid w:val="00860879"/>
    <w:rsid w:val="00861851"/>
    <w:rsid w:val="00862443"/>
    <w:rsid w:val="00862C5F"/>
    <w:rsid w:val="00862D0A"/>
    <w:rsid w:val="00863005"/>
    <w:rsid w:val="00864B0B"/>
    <w:rsid w:val="0086536B"/>
    <w:rsid w:val="008657C0"/>
    <w:rsid w:val="00866D78"/>
    <w:rsid w:val="008676BE"/>
    <w:rsid w:val="00870551"/>
    <w:rsid w:val="00870F50"/>
    <w:rsid w:val="0087201C"/>
    <w:rsid w:val="00872737"/>
    <w:rsid w:val="00872C2C"/>
    <w:rsid w:val="00873AB0"/>
    <w:rsid w:val="008740D9"/>
    <w:rsid w:val="008741BD"/>
    <w:rsid w:val="00874455"/>
    <w:rsid w:val="00874948"/>
    <w:rsid w:val="0087504E"/>
    <w:rsid w:val="00875069"/>
    <w:rsid w:val="00876524"/>
    <w:rsid w:val="00876852"/>
    <w:rsid w:val="00876ACB"/>
    <w:rsid w:val="00876BB4"/>
    <w:rsid w:val="00876EBD"/>
    <w:rsid w:val="00877664"/>
    <w:rsid w:val="00880D64"/>
    <w:rsid w:val="00881B7B"/>
    <w:rsid w:val="008829C4"/>
    <w:rsid w:val="008834A5"/>
    <w:rsid w:val="00883BBB"/>
    <w:rsid w:val="00883E16"/>
    <w:rsid w:val="00884F43"/>
    <w:rsid w:val="00884F8A"/>
    <w:rsid w:val="00885C37"/>
    <w:rsid w:val="00886C5A"/>
    <w:rsid w:val="00887CB0"/>
    <w:rsid w:val="00890E59"/>
    <w:rsid w:val="008910A7"/>
    <w:rsid w:val="00891C0D"/>
    <w:rsid w:val="00892C12"/>
    <w:rsid w:val="00892E1F"/>
    <w:rsid w:val="00893413"/>
    <w:rsid w:val="00893C63"/>
    <w:rsid w:val="00893F8C"/>
    <w:rsid w:val="008947C3"/>
    <w:rsid w:val="0089492B"/>
    <w:rsid w:val="00894E67"/>
    <w:rsid w:val="00895134"/>
    <w:rsid w:val="00895F2E"/>
    <w:rsid w:val="008964F1"/>
    <w:rsid w:val="00896CE4"/>
    <w:rsid w:val="00896DE8"/>
    <w:rsid w:val="008A0082"/>
    <w:rsid w:val="008A0FAB"/>
    <w:rsid w:val="008A204E"/>
    <w:rsid w:val="008A2806"/>
    <w:rsid w:val="008A2F00"/>
    <w:rsid w:val="008A412A"/>
    <w:rsid w:val="008A43E6"/>
    <w:rsid w:val="008A4703"/>
    <w:rsid w:val="008A4C34"/>
    <w:rsid w:val="008A5143"/>
    <w:rsid w:val="008A60F9"/>
    <w:rsid w:val="008A62DB"/>
    <w:rsid w:val="008A6FA0"/>
    <w:rsid w:val="008A7D21"/>
    <w:rsid w:val="008B01FF"/>
    <w:rsid w:val="008B0AB3"/>
    <w:rsid w:val="008B17EB"/>
    <w:rsid w:val="008B20F4"/>
    <w:rsid w:val="008B235D"/>
    <w:rsid w:val="008B2D42"/>
    <w:rsid w:val="008B305D"/>
    <w:rsid w:val="008B3075"/>
    <w:rsid w:val="008B3D08"/>
    <w:rsid w:val="008B568C"/>
    <w:rsid w:val="008B69BA"/>
    <w:rsid w:val="008B6B01"/>
    <w:rsid w:val="008B79AF"/>
    <w:rsid w:val="008C0317"/>
    <w:rsid w:val="008C1315"/>
    <w:rsid w:val="008C28AF"/>
    <w:rsid w:val="008C3E67"/>
    <w:rsid w:val="008C54ED"/>
    <w:rsid w:val="008C55F8"/>
    <w:rsid w:val="008C5623"/>
    <w:rsid w:val="008C6D1B"/>
    <w:rsid w:val="008C6D9B"/>
    <w:rsid w:val="008C72C7"/>
    <w:rsid w:val="008C74BF"/>
    <w:rsid w:val="008C79C9"/>
    <w:rsid w:val="008C7D50"/>
    <w:rsid w:val="008D031C"/>
    <w:rsid w:val="008D0CAE"/>
    <w:rsid w:val="008D0CCD"/>
    <w:rsid w:val="008D1818"/>
    <w:rsid w:val="008D1B6C"/>
    <w:rsid w:val="008D23AD"/>
    <w:rsid w:val="008D2492"/>
    <w:rsid w:val="008D2771"/>
    <w:rsid w:val="008D2DCA"/>
    <w:rsid w:val="008D3531"/>
    <w:rsid w:val="008D35EE"/>
    <w:rsid w:val="008D3D86"/>
    <w:rsid w:val="008D4B99"/>
    <w:rsid w:val="008D622F"/>
    <w:rsid w:val="008D62D9"/>
    <w:rsid w:val="008D6BEB"/>
    <w:rsid w:val="008D6FBB"/>
    <w:rsid w:val="008D77D3"/>
    <w:rsid w:val="008E09FB"/>
    <w:rsid w:val="008E22EE"/>
    <w:rsid w:val="008E2564"/>
    <w:rsid w:val="008E28C8"/>
    <w:rsid w:val="008E2B14"/>
    <w:rsid w:val="008E2CFF"/>
    <w:rsid w:val="008E3E1A"/>
    <w:rsid w:val="008E49FC"/>
    <w:rsid w:val="008E4F5C"/>
    <w:rsid w:val="008E553F"/>
    <w:rsid w:val="008E5CE5"/>
    <w:rsid w:val="008E7BCB"/>
    <w:rsid w:val="008F10CF"/>
    <w:rsid w:val="008F18A7"/>
    <w:rsid w:val="008F23AC"/>
    <w:rsid w:val="008F2709"/>
    <w:rsid w:val="008F33F6"/>
    <w:rsid w:val="008F39A6"/>
    <w:rsid w:val="008F3AD3"/>
    <w:rsid w:val="008F542A"/>
    <w:rsid w:val="008F6E5C"/>
    <w:rsid w:val="008F6F3E"/>
    <w:rsid w:val="008F7AE7"/>
    <w:rsid w:val="00901689"/>
    <w:rsid w:val="009018C0"/>
    <w:rsid w:val="00903FC1"/>
    <w:rsid w:val="00906390"/>
    <w:rsid w:val="00906969"/>
    <w:rsid w:val="00907E52"/>
    <w:rsid w:val="00907F50"/>
    <w:rsid w:val="00912427"/>
    <w:rsid w:val="00912A31"/>
    <w:rsid w:val="00912AC3"/>
    <w:rsid w:val="0091311D"/>
    <w:rsid w:val="00913230"/>
    <w:rsid w:val="009141BF"/>
    <w:rsid w:val="009141CE"/>
    <w:rsid w:val="00914C0A"/>
    <w:rsid w:val="00915822"/>
    <w:rsid w:val="00915C45"/>
    <w:rsid w:val="009169F7"/>
    <w:rsid w:val="00917884"/>
    <w:rsid w:val="009223FC"/>
    <w:rsid w:val="0092271F"/>
    <w:rsid w:val="009228FA"/>
    <w:rsid w:val="00922C49"/>
    <w:rsid w:val="00923312"/>
    <w:rsid w:val="00923B85"/>
    <w:rsid w:val="00924B33"/>
    <w:rsid w:val="00924FAB"/>
    <w:rsid w:val="00925168"/>
    <w:rsid w:val="0092589C"/>
    <w:rsid w:val="00925D48"/>
    <w:rsid w:val="009273D7"/>
    <w:rsid w:val="00927A1A"/>
    <w:rsid w:val="00930134"/>
    <w:rsid w:val="00930906"/>
    <w:rsid w:val="00930940"/>
    <w:rsid w:val="00930C21"/>
    <w:rsid w:val="00930D7B"/>
    <w:rsid w:val="0093376D"/>
    <w:rsid w:val="00933E6C"/>
    <w:rsid w:val="009342BB"/>
    <w:rsid w:val="00936263"/>
    <w:rsid w:val="00941EA8"/>
    <w:rsid w:val="00942756"/>
    <w:rsid w:val="00942B08"/>
    <w:rsid w:val="0094328A"/>
    <w:rsid w:val="009441EF"/>
    <w:rsid w:val="009443BE"/>
    <w:rsid w:val="00944ED2"/>
    <w:rsid w:val="00946C5B"/>
    <w:rsid w:val="00947157"/>
    <w:rsid w:val="00947B74"/>
    <w:rsid w:val="00947EAC"/>
    <w:rsid w:val="00950383"/>
    <w:rsid w:val="00952037"/>
    <w:rsid w:val="0095219D"/>
    <w:rsid w:val="00953414"/>
    <w:rsid w:val="00956D3F"/>
    <w:rsid w:val="009604C7"/>
    <w:rsid w:val="009616C2"/>
    <w:rsid w:val="00961A67"/>
    <w:rsid w:val="009638D5"/>
    <w:rsid w:val="009640DC"/>
    <w:rsid w:val="00964463"/>
    <w:rsid w:val="00964498"/>
    <w:rsid w:val="00964752"/>
    <w:rsid w:val="00964A01"/>
    <w:rsid w:val="00965112"/>
    <w:rsid w:val="00965615"/>
    <w:rsid w:val="0096659A"/>
    <w:rsid w:val="00971F12"/>
    <w:rsid w:val="0097231B"/>
    <w:rsid w:val="009733E7"/>
    <w:rsid w:val="00974146"/>
    <w:rsid w:val="0097442B"/>
    <w:rsid w:val="009750AE"/>
    <w:rsid w:val="00975FA8"/>
    <w:rsid w:val="009764F9"/>
    <w:rsid w:val="009765B2"/>
    <w:rsid w:val="0097679F"/>
    <w:rsid w:val="009805CB"/>
    <w:rsid w:val="009809CB"/>
    <w:rsid w:val="0098157E"/>
    <w:rsid w:val="009828EF"/>
    <w:rsid w:val="00982E76"/>
    <w:rsid w:val="00982FBD"/>
    <w:rsid w:val="0098365E"/>
    <w:rsid w:val="00983C7A"/>
    <w:rsid w:val="009844FC"/>
    <w:rsid w:val="00984E8D"/>
    <w:rsid w:val="009850BF"/>
    <w:rsid w:val="009853C2"/>
    <w:rsid w:val="00986F52"/>
    <w:rsid w:val="0099004D"/>
    <w:rsid w:val="009902FE"/>
    <w:rsid w:val="00990F1F"/>
    <w:rsid w:val="00991403"/>
    <w:rsid w:val="009915EA"/>
    <w:rsid w:val="00991E3F"/>
    <w:rsid w:val="009926D6"/>
    <w:rsid w:val="00993507"/>
    <w:rsid w:val="009938ED"/>
    <w:rsid w:val="009938F1"/>
    <w:rsid w:val="009939CB"/>
    <w:rsid w:val="0099462E"/>
    <w:rsid w:val="009946FD"/>
    <w:rsid w:val="00994A87"/>
    <w:rsid w:val="0099578F"/>
    <w:rsid w:val="0099587A"/>
    <w:rsid w:val="00995F6D"/>
    <w:rsid w:val="00997295"/>
    <w:rsid w:val="00997ED2"/>
    <w:rsid w:val="009A0AF1"/>
    <w:rsid w:val="009A13C9"/>
    <w:rsid w:val="009A28DE"/>
    <w:rsid w:val="009A2A85"/>
    <w:rsid w:val="009A3760"/>
    <w:rsid w:val="009A388B"/>
    <w:rsid w:val="009A40AD"/>
    <w:rsid w:val="009A4FF3"/>
    <w:rsid w:val="009A6670"/>
    <w:rsid w:val="009A6A82"/>
    <w:rsid w:val="009A6E12"/>
    <w:rsid w:val="009A714C"/>
    <w:rsid w:val="009A7506"/>
    <w:rsid w:val="009A7682"/>
    <w:rsid w:val="009B2514"/>
    <w:rsid w:val="009B2E70"/>
    <w:rsid w:val="009B4321"/>
    <w:rsid w:val="009B4B9C"/>
    <w:rsid w:val="009B5EF8"/>
    <w:rsid w:val="009B7606"/>
    <w:rsid w:val="009B7B50"/>
    <w:rsid w:val="009B7F12"/>
    <w:rsid w:val="009C092E"/>
    <w:rsid w:val="009C1AAD"/>
    <w:rsid w:val="009C2B5F"/>
    <w:rsid w:val="009C3C4E"/>
    <w:rsid w:val="009C4261"/>
    <w:rsid w:val="009C4D27"/>
    <w:rsid w:val="009C5A84"/>
    <w:rsid w:val="009C5DF8"/>
    <w:rsid w:val="009C6180"/>
    <w:rsid w:val="009C765F"/>
    <w:rsid w:val="009C7C12"/>
    <w:rsid w:val="009D03B3"/>
    <w:rsid w:val="009D0C17"/>
    <w:rsid w:val="009D1CD5"/>
    <w:rsid w:val="009D3BE0"/>
    <w:rsid w:val="009D40CC"/>
    <w:rsid w:val="009D4842"/>
    <w:rsid w:val="009D5EDC"/>
    <w:rsid w:val="009D6364"/>
    <w:rsid w:val="009D6879"/>
    <w:rsid w:val="009D6C02"/>
    <w:rsid w:val="009D6EE6"/>
    <w:rsid w:val="009D6F23"/>
    <w:rsid w:val="009D71BE"/>
    <w:rsid w:val="009D782F"/>
    <w:rsid w:val="009D7A73"/>
    <w:rsid w:val="009D7F11"/>
    <w:rsid w:val="009E1C17"/>
    <w:rsid w:val="009E1FAC"/>
    <w:rsid w:val="009E2DD6"/>
    <w:rsid w:val="009E3973"/>
    <w:rsid w:val="009E3C72"/>
    <w:rsid w:val="009E3D3F"/>
    <w:rsid w:val="009E4857"/>
    <w:rsid w:val="009E57ED"/>
    <w:rsid w:val="009F0880"/>
    <w:rsid w:val="009F21A0"/>
    <w:rsid w:val="009F2852"/>
    <w:rsid w:val="009F2AEE"/>
    <w:rsid w:val="009F2E6E"/>
    <w:rsid w:val="009F30C6"/>
    <w:rsid w:val="009F4269"/>
    <w:rsid w:val="009F45E4"/>
    <w:rsid w:val="009F5D48"/>
    <w:rsid w:val="009F5EBA"/>
    <w:rsid w:val="009F6D78"/>
    <w:rsid w:val="009F7F1D"/>
    <w:rsid w:val="00A00579"/>
    <w:rsid w:val="00A01035"/>
    <w:rsid w:val="00A017B9"/>
    <w:rsid w:val="00A01F43"/>
    <w:rsid w:val="00A023FE"/>
    <w:rsid w:val="00A024CC"/>
    <w:rsid w:val="00A036D9"/>
    <w:rsid w:val="00A036E6"/>
    <w:rsid w:val="00A04454"/>
    <w:rsid w:val="00A04B6B"/>
    <w:rsid w:val="00A05062"/>
    <w:rsid w:val="00A06233"/>
    <w:rsid w:val="00A064FC"/>
    <w:rsid w:val="00A0711E"/>
    <w:rsid w:val="00A072CE"/>
    <w:rsid w:val="00A0795D"/>
    <w:rsid w:val="00A1145B"/>
    <w:rsid w:val="00A11DAD"/>
    <w:rsid w:val="00A11E91"/>
    <w:rsid w:val="00A11F46"/>
    <w:rsid w:val="00A12292"/>
    <w:rsid w:val="00A12484"/>
    <w:rsid w:val="00A127A7"/>
    <w:rsid w:val="00A12D40"/>
    <w:rsid w:val="00A13865"/>
    <w:rsid w:val="00A14F05"/>
    <w:rsid w:val="00A158BB"/>
    <w:rsid w:val="00A166EC"/>
    <w:rsid w:val="00A16DC3"/>
    <w:rsid w:val="00A17A33"/>
    <w:rsid w:val="00A2140D"/>
    <w:rsid w:val="00A23321"/>
    <w:rsid w:val="00A2344E"/>
    <w:rsid w:val="00A24030"/>
    <w:rsid w:val="00A240AA"/>
    <w:rsid w:val="00A24F55"/>
    <w:rsid w:val="00A24F9F"/>
    <w:rsid w:val="00A255D1"/>
    <w:rsid w:val="00A26AFF"/>
    <w:rsid w:val="00A277AD"/>
    <w:rsid w:val="00A279C2"/>
    <w:rsid w:val="00A27CDD"/>
    <w:rsid w:val="00A27CEF"/>
    <w:rsid w:val="00A302DF"/>
    <w:rsid w:val="00A30A4F"/>
    <w:rsid w:val="00A30C02"/>
    <w:rsid w:val="00A31314"/>
    <w:rsid w:val="00A32128"/>
    <w:rsid w:val="00A3239F"/>
    <w:rsid w:val="00A32732"/>
    <w:rsid w:val="00A346E1"/>
    <w:rsid w:val="00A357B9"/>
    <w:rsid w:val="00A36BD3"/>
    <w:rsid w:val="00A3762F"/>
    <w:rsid w:val="00A37827"/>
    <w:rsid w:val="00A37837"/>
    <w:rsid w:val="00A378ED"/>
    <w:rsid w:val="00A40574"/>
    <w:rsid w:val="00A41D9C"/>
    <w:rsid w:val="00A426A5"/>
    <w:rsid w:val="00A42BA7"/>
    <w:rsid w:val="00A43789"/>
    <w:rsid w:val="00A439A9"/>
    <w:rsid w:val="00A4424A"/>
    <w:rsid w:val="00A443C1"/>
    <w:rsid w:val="00A44D50"/>
    <w:rsid w:val="00A4767D"/>
    <w:rsid w:val="00A500A4"/>
    <w:rsid w:val="00A505D7"/>
    <w:rsid w:val="00A511BD"/>
    <w:rsid w:val="00A51540"/>
    <w:rsid w:val="00A51C55"/>
    <w:rsid w:val="00A5238F"/>
    <w:rsid w:val="00A52745"/>
    <w:rsid w:val="00A535E1"/>
    <w:rsid w:val="00A53F57"/>
    <w:rsid w:val="00A547A4"/>
    <w:rsid w:val="00A553FB"/>
    <w:rsid w:val="00A5577F"/>
    <w:rsid w:val="00A55F73"/>
    <w:rsid w:val="00A5690F"/>
    <w:rsid w:val="00A57128"/>
    <w:rsid w:val="00A571DE"/>
    <w:rsid w:val="00A57609"/>
    <w:rsid w:val="00A62435"/>
    <w:rsid w:val="00A62655"/>
    <w:rsid w:val="00A62861"/>
    <w:rsid w:val="00A629A7"/>
    <w:rsid w:val="00A62F3A"/>
    <w:rsid w:val="00A62F4D"/>
    <w:rsid w:val="00A633F4"/>
    <w:rsid w:val="00A639F3"/>
    <w:rsid w:val="00A70B05"/>
    <w:rsid w:val="00A70C83"/>
    <w:rsid w:val="00A70F8E"/>
    <w:rsid w:val="00A711AF"/>
    <w:rsid w:val="00A71612"/>
    <w:rsid w:val="00A716EA"/>
    <w:rsid w:val="00A71D03"/>
    <w:rsid w:val="00A71DFD"/>
    <w:rsid w:val="00A745B9"/>
    <w:rsid w:val="00A74682"/>
    <w:rsid w:val="00A76AB2"/>
    <w:rsid w:val="00A772CA"/>
    <w:rsid w:val="00A77613"/>
    <w:rsid w:val="00A77CF5"/>
    <w:rsid w:val="00A77CF7"/>
    <w:rsid w:val="00A81EF1"/>
    <w:rsid w:val="00A81F9E"/>
    <w:rsid w:val="00A83566"/>
    <w:rsid w:val="00A86CFC"/>
    <w:rsid w:val="00A87120"/>
    <w:rsid w:val="00A87251"/>
    <w:rsid w:val="00A8727D"/>
    <w:rsid w:val="00A876D8"/>
    <w:rsid w:val="00A87C04"/>
    <w:rsid w:val="00A9370E"/>
    <w:rsid w:val="00A9528C"/>
    <w:rsid w:val="00A956D1"/>
    <w:rsid w:val="00A9582A"/>
    <w:rsid w:val="00A95AD8"/>
    <w:rsid w:val="00A96C24"/>
    <w:rsid w:val="00A96FA5"/>
    <w:rsid w:val="00A979BD"/>
    <w:rsid w:val="00A97A73"/>
    <w:rsid w:val="00A97C9A"/>
    <w:rsid w:val="00AA01C4"/>
    <w:rsid w:val="00AA09A0"/>
    <w:rsid w:val="00AA11AE"/>
    <w:rsid w:val="00AA1BAD"/>
    <w:rsid w:val="00AA1CAA"/>
    <w:rsid w:val="00AA26C6"/>
    <w:rsid w:val="00AA2EB8"/>
    <w:rsid w:val="00AA328E"/>
    <w:rsid w:val="00AA3D06"/>
    <w:rsid w:val="00AA4015"/>
    <w:rsid w:val="00AA48A3"/>
    <w:rsid w:val="00AA5139"/>
    <w:rsid w:val="00AA6762"/>
    <w:rsid w:val="00AA740D"/>
    <w:rsid w:val="00AA7F53"/>
    <w:rsid w:val="00AB09B7"/>
    <w:rsid w:val="00AB16E1"/>
    <w:rsid w:val="00AB2BC0"/>
    <w:rsid w:val="00AB2CE2"/>
    <w:rsid w:val="00AB2D7D"/>
    <w:rsid w:val="00AB30BB"/>
    <w:rsid w:val="00AB3E24"/>
    <w:rsid w:val="00AB4418"/>
    <w:rsid w:val="00AB521F"/>
    <w:rsid w:val="00AB5DB8"/>
    <w:rsid w:val="00AB7E02"/>
    <w:rsid w:val="00AC0835"/>
    <w:rsid w:val="00AC096C"/>
    <w:rsid w:val="00AC0E3D"/>
    <w:rsid w:val="00AC23F2"/>
    <w:rsid w:val="00AC2779"/>
    <w:rsid w:val="00AC37EA"/>
    <w:rsid w:val="00AC3B88"/>
    <w:rsid w:val="00AC3CD2"/>
    <w:rsid w:val="00AC522E"/>
    <w:rsid w:val="00AC6DD7"/>
    <w:rsid w:val="00AC720A"/>
    <w:rsid w:val="00AD0619"/>
    <w:rsid w:val="00AD13A1"/>
    <w:rsid w:val="00AD1BC8"/>
    <w:rsid w:val="00AD3B6D"/>
    <w:rsid w:val="00AD4727"/>
    <w:rsid w:val="00AD4BA9"/>
    <w:rsid w:val="00AD51F7"/>
    <w:rsid w:val="00AD55A3"/>
    <w:rsid w:val="00AD57E6"/>
    <w:rsid w:val="00AD6254"/>
    <w:rsid w:val="00AD6CF3"/>
    <w:rsid w:val="00AD7184"/>
    <w:rsid w:val="00AE01CD"/>
    <w:rsid w:val="00AE0D37"/>
    <w:rsid w:val="00AE158B"/>
    <w:rsid w:val="00AE1892"/>
    <w:rsid w:val="00AE1AE8"/>
    <w:rsid w:val="00AE2B0B"/>
    <w:rsid w:val="00AE43FC"/>
    <w:rsid w:val="00AE4AD0"/>
    <w:rsid w:val="00AE528F"/>
    <w:rsid w:val="00AE587D"/>
    <w:rsid w:val="00AE7245"/>
    <w:rsid w:val="00AE7927"/>
    <w:rsid w:val="00AE7CDB"/>
    <w:rsid w:val="00AF06D2"/>
    <w:rsid w:val="00AF0A3A"/>
    <w:rsid w:val="00AF16CE"/>
    <w:rsid w:val="00AF1B13"/>
    <w:rsid w:val="00AF1D82"/>
    <w:rsid w:val="00AF2940"/>
    <w:rsid w:val="00AF29D2"/>
    <w:rsid w:val="00AF2E0B"/>
    <w:rsid w:val="00AF3A22"/>
    <w:rsid w:val="00AF4403"/>
    <w:rsid w:val="00AF4822"/>
    <w:rsid w:val="00AF4C2B"/>
    <w:rsid w:val="00AF5D3F"/>
    <w:rsid w:val="00AF5DAD"/>
    <w:rsid w:val="00AF60D5"/>
    <w:rsid w:val="00AF6439"/>
    <w:rsid w:val="00AF7229"/>
    <w:rsid w:val="00AF72EC"/>
    <w:rsid w:val="00AF75A7"/>
    <w:rsid w:val="00B005A8"/>
    <w:rsid w:val="00B0063A"/>
    <w:rsid w:val="00B01523"/>
    <w:rsid w:val="00B02F46"/>
    <w:rsid w:val="00B03085"/>
    <w:rsid w:val="00B03965"/>
    <w:rsid w:val="00B03C2C"/>
    <w:rsid w:val="00B03E1C"/>
    <w:rsid w:val="00B04EE3"/>
    <w:rsid w:val="00B0579B"/>
    <w:rsid w:val="00B05A71"/>
    <w:rsid w:val="00B05F91"/>
    <w:rsid w:val="00B06560"/>
    <w:rsid w:val="00B1047F"/>
    <w:rsid w:val="00B11BE8"/>
    <w:rsid w:val="00B11D90"/>
    <w:rsid w:val="00B11E02"/>
    <w:rsid w:val="00B120D7"/>
    <w:rsid w:val="00B123D8"/>
    <w:rsid w:val="00B12526"/>
    <w:rsid w:val="00B1266E"/>
    <w:rsid w:val="00B14776"/>
    <w:rsid w:val="00B16CD0"/>
    <w:rsid w:val="00B16D08"/>
    <w:rsid w:val="00B17F4A"/>
    <w:rsid w:val="00B20351"/>
    <w:rsid w:val="00B216EF"/>
    <w:rsid w:val="00B21F67"/>
    <w:rsid w:val="00B22667"/>
    <w:rsid w:val="00B234EB"/>
    <w:rsid w:val="00B23523"/>
    <w:rsid w:val="00B23604"/>
    <w:rsid w:val="00B23AB1"/>
    <w:rsid w:val="00B23C36"/>
    <w:rsid w:val="00B24BD3"/>
    <w:rsid w:val="00B24E74"/>
    <w:rsid w:val="00B2503C"/>
    <w:rsid w:val="00B2564D"/>
    <w:rsid w:val="00B257F4"/>
    <w:rsid w:val="00B25860"/>
    <w:rsid w:val="00B26049"/>
    <w:rsid w:val="00B2754D"/>
    <w:rsid w:val="00B30116"/>
    <w:rsid w:val="00B319AC"/>
    <w:rsid w:val="00B32C92"/>
    <w:rsid w:val="00B339C6"/>
    <w:rsid w:val="00B33CA8"/>
    <w:rsid w:val="00B33FC6"/>
    <w:rsid w:val="00B34E63"/>
    <w:rsid w:val="00B36A29"/>
    <w:rsid w:val="00B402E3"/>
    <w:rsid w:val="00B415A1"/>
    <w:rsid w:val="00B4254D"/>
    <w:rsid w:val="00B4284F"/>
    <w:rsid w:val="00B42A5C"/>
    <w:rsid w:val="00B431E0"/>
    <w:rsid w:val="00B459D5"/>
    <w:rsid w:val="00B462E6"/>
    <w:rsid w:val="00B47638"/>
    <w:rsid w:val="00B50057"/>
    <w:rsid w:val="00B51006"/>
    <w:rsid w:val="00B51436"/>
    <w:rsid w:val="00B51C8B"/>
    <w:rsid w:val="00B526EF"/>
    <w:rsid w:val="00B529B5"/>
    <w:rsid w:val="00B53700"/>
    <w:rsid w:val="00B547F7"/>
    <w:rsid w:val="00B54F59"/>
    <w:rsid w:val="00B557FB"/>
    <w:rsid w:val="00B55B59"/>
    <w:rsid w:val="00B61F79"/>
    <w:rsid w:val="00B64139"/>
    <w:rsid w:val="00B64D20"/>
    <w:rsid w:val="00B65BCB"/>
    <w:rsid w:val="00B65E2B"/>
    <w:rsid w:val="00B66659"/>
    <w:rsid w:val="00B66CD1"/>
    <w:rsid w:val="00B66E4C"/>
    <w:rsid w:val="00B6712D"/>
    <w:rsid w:val="00B6750C"/>
    <w:rsid w:val="00B701AA"/>
    <w:rsid w:val="00B70905"/>
    <w:rsid w:val="00B70B3D"/>
    <w:rsid w:val="00B70C4F"/>
    <w:rsid w:val="00B70D13"/>
    <w:rsid w:val="00B729DE"/>
    <w:rsid w:val="00B7375A"/>
    <w:rsid w:val="00B73DB4"/>
    <w:rsid w:val="00B7403E"/>
    <w:rsid w:val="00B74849"/>
    <w:rsid w:val="00B75583"/>
    <w:rsid w:val="00B758C7"/>
    <w:rsid w:val="00B76BE3"/>
    <w:rsid w:val="00B7792E"/>
    <w:rsid w:val="00B800E6"/>
    <w:rsid w:val="00B802F5"/>
    <w:rsid w:val="00B8099D"/>
    <w:rsid w:val="00B81223"/>
    <w:rsid w:val="00B8203B"/>
    <w:rsid w:val="00B84B99"/>
    <w:rsid w:val="00B84EB2"/>
    <w:rsid w:val="00B850D2"/>
    <w:rsid w:val="00B85FC4"/>
    <w:rsid w:val="00B8691C"/>
    <w:rsid w:val="00B86BA1"/>
    <w:rsid w:val="00B86F94"/>
    <w:rsid w:val="00B87AD8"/>
    <w:rsid w:val="00B90359"/>
    <w:rsid w:val="00B90C15"/>
    <w:rsid w:val="00B90C5C"/>
    <w:rsid w:val="00B90EBA"/>
    <w:rsid w:val="00B921FA"/>
    <w:rsid w:val="00B92CE9"/>
    <w:rsid w:val="00B932C5"/>
    <w:rsid w:val="00B94188"/>
    <w:rsid w:val="00B94874"/>
    <w:rsid w:val="00B949E3"/>
    <w:rsid w:val="00B94DD8"/>
    <w:rsid w:val="00B96371"/>
    <w:rsid w:val="00B96A9A"/>
    <w:rsid w:val="00B96B98"/>
    <w:rsid w:val="00B96FF7"/>
    <w:rsid w:val="00BA01FA"/>
    <w:rsid w:val="00BA2616"/>
    <w:rsid w:val="00BA2645"/>
    <w:rsid w:val="00BA276D"/>
    <w:rsid w:val="00BA3AB7"/>
    <w:rsid w:val="00BA4136"/>
    <w:rsid w:val="00BA449C"/>
    <w:rsid w:val="00BA5B29"/>
    <w:rsid w:val="00BA5BAD"/>
    <w:rsid w:val="00BA6B1F"/>
    <w:rsid w:val="00BA6C10"/>
    <w:rsid w:val="00BB05E5"/>
    <w:rsid w:val="00BB08F8"/>
    <w:rsid w:val="00BB1009"/>
    <w:rsid w:val="00BB2656"/>
    <w:rsid w:val="00BB26E8"/>
    <w:rsid w:val="00BB28E0"/>
    <w:rsid w:val="00BB2920"/>
    <w:rsid w:val="00BB2C59"/>
    <w:rsid w:val="00BB4326"/>
    <w:rsid w:val="00BB4330"/>
    <w:rsid w:val="00BB4425"/>
    <w:rsid w:val="00BB4841"/>
    <w:rsid w:val="00BB4B42"/>
    <w:rsid w:val="00BB4D6B"/>
    <w:rsid w:val="00BB55FC"/>
    <w:rsid w:val="00BB5BAE"/>
    <w:rsid w:val="00BB5C6C"/>
    <w:rsid w:val="00BB5C8C"/>
    <w:rsid w:val="00BB64CC"/>
    <w:rsid w:val="00BB7DE6"/>
    <w:rsid w:val="00BB7E64"/>
    <w:rsid w:val="00BC0C22"/>
    <w:rsid w:val="00BC1526"/>
    <w:rsid w:val="00BC19A8"/>
    <w:rsid w:val="00BC2730"/>
    <w:rsid w:val="00BC3495"/>
    <w:rsid w:val="00BC5D97"/>
    <w:rsid w:val="00BC612C"/>
    <w:rsid w:val="00BC6F15"/>
    <w:rsid w:val="00BC7608"/>
    <w:rsid w:val="00BD01A1"/>
    <w:rsid w:val="00BD0D32"/>
    <w:rsid w:val="00BD0FDB"/>
    <w:rsid w:val="00BD15C1"/>
    <w:rsid w:val="00BD160F"/>
    <w:rsid w:val="00BD2697"/>
    <w:rsid w:val="00BD2B28"/>
    <w:rsid w:val="00BD2DF8"/>
    <w:rsid w:val="00BD3700"/>
    <w:rsid w:val="00BD3730"/>
    <w:rsid w:val="00BD3DDB"/>
    <w:rsid w:val="00BD4F17"/>
    <w:rsid w:val="00BD50B2"/>
    <w:rsid w:val="00BD5184"/>
    <w:rsid w:val="00BD7240"/>
    <w:rsid w:val="00BD7737"/>
    <w:rsid w:val="00BE07C9"/>
    <w:rsid w:val="00BE2063"/>
    <w:rsid w:val="00BE2A68"/>
    <w:rsid w:val="00BE2F65"/>
    <w:rsid w:val="00BE46D5"/>
    <w:rsid w:val="00BE477C"/>
    <w:rsid w:val="00BE4A65"/>
    <w:rsid w:val="00BE4B53"/>
    <w:rsid w:val="00BE4DCF"/>
    <w:rsid w:val="00BE5AD7"/>
    <w:rsid w:val="00BF0422"/>
    <w:rsid w:val="00BF08E3"/>
    <w:rsid w:val="00BF1681"/>
    <w:rsid w:val="00BF2A91"/>
    <w:rsid w:val="00BF3680"/>
    <w:rsid w:val="00BF4BE8"/>
    <w:rsid w:val="00BF4C68"/>
    <w:rsid w:val="00BF56D7"/>
    <w:rsid w:val="00BF6023"/>
    <w:rsid w:val="00BF6C97"/>
    <w:rsid w:val="00BF73D8"/>
    <w:rsid w:val="00BF76C6"/>
    <w:rsid w:val="00BF79AE"/>
    <w:rsid w:val="00BF7DD7"/>
    <w:rsid w:val="00C0038C"/>
    <w:rsid w:val="00C0038E"/>
    <w:rsid w:val="00C00474"/>
    <w:rsid w:val="00C0096F"/>
    <w:rsid w:val="00C0120A"/>
    <w:rsid w:val="00C01310"/>
    <w:rsid w:val="00C01DE7"/>
    <w:rsid w:val="00C0219F"/>
    <w:rsid w:val="00C02603"/>
    <w:rsid w:val="00C044B1"/>
    <w:rsid w:val="00C0584C"/>
    <w:rsid w:val="00C05E23"/>
    <w:rsid w:val="00C07159"/>
    <w:rsid w:val="00C0769B"/>
    <w:rsid w:val="00C0772F"/>
    <w:rsid w:val="00C07B68"/>
    <w:rsid w:val="00C111DA"/>
    <w:rsid w:val="00C11267"/>
    <w:rsid w:val="00C116BF"/>
    <w:rsid w:val="00C11C63"/>
    <w:rsid w:val="00C13834"/>
    <w:rsid w:val="00C148F1"/>
    <w:rsid w:val="00C1524F"/>
    <w:rsid w:val="00C1570A"/>
    <w:rsid w:val="00C1619A"/>
    <w:rsid w:val="00C17425"/>
    <w:rsid w:val="00C1776E"/>
    <w:rsid w:val="00C17E06"/>
    <w:rsid w:val="00C2053A"/>
    <w:rsid w:val="00C20796"/>
    <w:rsid w:val="00C20971"/>
    <w:rsid w:val="00C215E3"/>
    <w:rsid w:val="00C218AD"/>
    <w:rsid w:val="00C21D7D"/>
    <w:rsid w:val="00C22CEF"/>
    <w:rsid w:val="00C24A89"/>
    <w:rsid w:val="00C252D4"/>
    <w:rsid w:val="00C2562B"/>
    <w:rsid w:val="00C25760"/>
    <w:rsid w:val="00C2752B"/>
    <w:rsid w:val="00C279E9"/>
    <w:rsid w:val="00C27E71"/>
    <w:rsid w:val="00C27FCC"/>
    <w:rsid w:val="00C30E5A"/>
    <w:rsid w:val="00C31882"/>
    <w:rsid w:val="00C324EE"/>
    <w:rsid w:val="00C329E6"/>
    <w:rsid w:val="00C33353"/>
    <w:rsid w:val="00C3420C"/>
    <w:rsid w:val="00C34B1B"/>
    <w:rsid w:val="00C350BC"/>
    <w:rsid w:val="00C363F0"/>
    <w:rsid w:val="00C374B6"/>
    <w:rsid w:val="00C374D3"/>
    <w:rsid w:val="00C37808"/>
    <w:rsid w:val="00C37A09"/>
    <w:rsid w:val="00C37BF7"/>
    <w:rsid w:val="00C407B0"/>
    <w:rsid w:val="00C412DA"/>
    <w:rsid w:val="00C419F8"/>
    <w:rsid w:val="00C42D21"/>
    <w:rsid w:val="00C43262"/>
    <w:rsid w:val="00C449F2"/>
    <w:rsid w:val="00C44C24"/>
    <w:rsid w:val="00C44EE1"/>
    <w:rsid w:val="00C4689C"/>
    <w:rsid w:val="00C4732C"/>
    <w:rsid w:val="00C501E1"/>
    <w:rsid w:val="00C5108B"/>
    <w:rsid w:val="00C5191E"/>
    <w:rsid w:val="00C5243C"/>
    <w:rsid w:val="00C541E5"/>
    <w:rsid w:val="00C548D1"/>
    <w:rsid w:val="00C56A21"/>
    <w:rsid w:val="00C56F33"/>
    <w:rsid w:val="00C570AB"/>
    <w:rsid w:val="00C5790D"/>
    <w:rsid w:val="00C57E50"/>
    <w:rsid w:val="00C6207A"/>
    <w:rsid w:val="00C62ECA"/>
    <w:rsid w:val="00C635E7"/>
    <w:rsid w:val="00C66502"/>
    <w:rsid w:val="00C66ED6"/>
    <w:rsid w:val="00C72E30"/>
    <w:rsid w:val="00C73A99"/>
    <w:rsid w:val="00C73AA3"/>
    <w:rsid w:val="00C742C5"/>
    <w:rsid w:val="00C74EEB"/>
    <w:rsid w:val="00C75E87"/>
    <w:rsid w:val="00C762F4"/>
    <w:rsid w:val="00C77769"/>
    <w:rsid w:val="00C811A0"/>
    <w:rsid w:val="00C81852"/>
    <w:rsid w:val="00C81AE4"/>
    <w:rsid w:val="00C82377"/>
    <w:rsid w:val="00C823B1"/>
    <w:rsid w:val="00C8317F"/>
    <w:rsid w:val="00C8395D"/>
    <w:rsid w:val="00C83B66"/>
    <w:rsid w:val="00C84745"/>
    <w:rsid w:val="00C85E9F"/>
    <w:rsid w:val="00C86049"/>
    <w:rsid w:val="00C8606C"/>
    <w:rsid w:val="00C876D3"/>
    <w:rsid w:val="00C87C28"/>
    <w:rsid w:val="00C87C52"/>
    <w:rsid w:val="00C910E0"/>
    <w:rsid w:val="00C91918"/>
    <w:rsid w:val="00C930FA"/>
    <w:rsid w:val="00C9337D"/>
    <w:rsid w:val="00C93E91"/>
    <w:rsid w:val="00C94FEE"/>
    <w:rsid w:val="00CA01DA"/>
    <w:rsid w:val="00CA05D9"/>
    <w:rsid w:val="00CA0823"/>
    <w:rsid w:val="00CA162D"/>
    <w:rsid w:val="00CA1AB5"/>
    <w:rsid w:val="00CA1C71"/>
    <w:rsid w:val="00CA3C2E"/>
    <w:rsid w:val="00CA442E"/>
    <w:rsid w:val="00CA4E4C"/>
    <w:rsid w:val="00CA5639"/>
    <w:rsid w:val="00CA5844"/>
    <w:rsid w:val="00CA5AE6"/>
    <w:rsid w:val="00CA6736"/>
    <w:rsid w:val="00CA71BA"/>
    <w:rsid w:val="00CA752E"/>
    <w:rsid w:val="00CA765D"/>
    <w:rsid w:val="00CA790E"/>
    <w:rsid w:val="00CA7D30"/>
    <w:rsid w:val="00CB2CC6"/>
    <w:rsid w:val="00CB38AC"/>
    <w:rsid w:val="00CB3EBA"/>
    <w:rsid w:val="00CB53AF"/>
    <w:rsid w:val="00CB5455"/>
    <w:rsid w:val="00CB61D0"/>
    <w:rsid w:val="00CB7CE3"/>
    <w:rsid w:val="00CB7FFE"/>
    <w:rsid w:val="00CC0E69"/>
    <w:rsid w:val="00CC22B4"/>
    <w:rsid w:val="00CC26DB"/>
    <w:rsid w:val="00CC2EE7"/>
    <w:rsid w:val="00CC3555"/>
    <w:rsid w:val="00CC4056"/>
    <w:rsid w:val="00CC40AA"/>
    <w:rsid w:val="00CC4691"/>
    <w:rsid w:val="00CC4E93"/>
    <w:rsid w:val="00CC4F51"/>
    <w:rsid w:val="00CD0131"/>
    <w:rsid w:val="00CD15C8"/>
    <w:rsid w:val="00CD2C78"/>
    <w:rsid w:val="00CD3EF8"/>
    <w:rsid w:val="00CD4338"/>
    <w:rsid w:val="00CD435F"/>
    <w:rsid w:val="00CD4A0E"/>
    <w:rsid w:val="00CD4F4E"/>
    <w:rsid w:val="00CD4FF9"/>
    <w:rsid w:val="00CD54EA"/>
    <w:rsid w:val="00CD623E"/>
    <w:rsid w:val="00CD69CD"/>
    <w:rsid w:val="00CD78E5"/>
    <w:rsid w:val="00CD79D1"/>
    <w:rsid w:val="00CD7C9D"/>
    <w:rsid w:val="00CD7D6D"/>
    <w:rsid w:val="00CD7E24"/>
    <w:rsid w:val="00CD7E41"/>
    <w:rsid w:val="00CE0223"/>
    <w:rsid w:val="00CE061B"/>
    <w:rsid w:val="00CE1618"/>
    <w:rsid w:val="00CE1BB0"/>
    <w:rsid w:val="00CE1D58"/>
    <w:rsid w:val="00CE22DD"/>
    <w:rsid w:val="00CE246F"/>
    <w:rsid w:val="00CE2B72"/>
    <w:rsid w:val="00CE33F3"/>
    <w:rsid w:val="00CE4607"/>
    <w:rsid w:val="00CE4621"/>
    <w:rsid w:val="00CE4C9A"/>
    <w:rsid w:val="00CE4E6B"/>
    <w:rsid w:val="00CE5F40"/>
    <w:rsid w:val="00CE6CCA"/>
    <w:rsid w:val="00CE7682"/>
    <w:rsid w:val="00CE7C6B"/>
    <w:rsid w:val="00CE7F48"/>
    <w:rsid w:val="00CE7FA1"/>
    <w:rsid w:val="00CF015F"/>
    <w:rsid w:val="00CF0327"/>
    <w:rsid w:val="00CF0557"/>
    <w:rsid w:val="00CF0A68"/>
    <w:rsid w:val="00CF134B"/>
    <w:rsid w:val="00CF1484"/>
    <w:rsid w:val="00CF1AEA"/>
    <w:rsid w:val="00CF1DC0"/>
    <w:rsid w:val="00CF1F27"/>
    <w:rsid w:val="00CF20DD"/>
    <w:rsid w:val="00CF3BD4"/>
    <w:rsid w:val="00CF40E7"/>
    <w:rsid w:val="00CF4152"/>
    <w:rsid w:val="00CF423D"/>
    <w:rsid w:val="00CF4996"/>
    <w:rsid w:val="00CF52FD"/>
    <w:rsid w:val="00CF6C3F"/>
    <w:rsid w:val="00CF7A46"/>
    <w:rsid w:val="00D01EFC"/>
    <w:rsid w:val="00D03F2F"/>
    <w:rsid w:val="00D042C3"/>
    <w:rsid w:val="00D053D1"/>
    <w:rsid w:val="00D05F10"/>
    <w:rsid w:val="00D06B59"/>
    <w:rsid w:val="00D06F66"/>
    <w:rsid w:val="00D0749C"/>
    <w:rsid w:val="00D07ABD"/>
    <w:rsid w:val="00D07EDC"/>
    <w:rsid w:val="00D1132B"/>
    <w:rsid w:val="00D11BFE"/>
    <w:rsid w:val="00D121DE"/>
    <w:rsid w:val="00D12EA0"/>
    <w:rsid w:val="00D133DC"/>
    <w:rsid w:val="00D13B1E"/>
    <w:rsid w:val="00D13B6E"/>
    <w:rsid w:val="00D13E83"/>
    <w:rsid w:val="00D159F7"/>
    <w:rsid w:val="00D15AD0"/>
    <w:rsid w:val="00D161B7"/>
    <w:rsid w:val="00D17B07"/>
    <w:rsid w:val="00D17F18"/>
    <w:rsid w:val="00D2128C"/>
    <w:rsid w:val="00D21EAA"/>
    <w:rsid w:val="00D21F39"/>
    <w:rsid w:val="00D22685"/>
    <w:rsid w:val="00D22A9B"/>
    <w:rsid w:val="00D22AAD"/>
    <w:rsid w:val="00D22EC2"/>
    <w:rsid w:val="00D2607A"/>
    <w:rsid w:val="00D26781"/>
    <w:rsid w:val="00D26C70"/>
    <w:rsid w:val="00D27D21"/>
    <w:rsid w:val="00D31899"/>
    <w:rsid w:val="00D3332F"/>
    <w:rsid w:val="00D33F61"/>
    <w:rsid w:val="00D33F73"/>
    <w:rsid w:val="00D34B88"/>
    <w:rsid w:val="00D353EE"/>
    <w:rsid w:val="00D35568"/>
    <w:rsid w:val="00D403F2"/>
    <w:rsid w:val="00D40879"/>
    <w:rsid w:val="00D41CC4"/>
    <w:rsid w:val="00D422A8"/>
    <w:rsid w:val="00D4298C"/>
    <w:rsid w:val="00D42D6C"/>
    <w:rsid w:val="00D43C6E"/>
    <w:rsid w:val="00D43F25"/>
    <w:rsid w:val="00D45317"/>
    <w:rsid w:val="00D457FE"/>
    <w:rsid w:val="00D459DA"/>
    <w:rsid w:val="00D45B13"/>
    <w:rsid w:val="00D4644E"/>
    <w:rsid w:val="00D4654B"/>
    <w:rsid w:val="00D47DB0"/>
    <w:rsid w:val="00D5073C"/>
    <w:rsid w:val="00D50EAC"/>
    <w:rsid w:val="00D51178"/>
    <w:rsid w:val="00D52D0B"/>
    <w:rsid w:val="00D53EBC"/>
    <w:rsid w:val="00D5470C"/>
    <w:rsid w:val="00D54E7D"/>
    <w:rsid w:val="00D55A31"/>
    <w:rsid w:val="00D560E5"/>
    <w:rsid w:val="00D573AF"/>
    <w:rsid w:val="00D574F1"/>
    <w:rsid w:val="00D57879"/>
    <w:rsid w:val="00D600F5"/>
    <w:rsid w:val="00D606F9"/>
    <w:rsid w:val="00D60C64"/>
    <w:rsid w:val="00D629C7"/>
    <w:rsid w:val="00D62E32"/>
    <w:rsid w:val="00D6303C"/>
    <w:rsid w:val="00D634E0"/>
    <w:rsid w:val="00D63983"/>
    <w:rsid w:val="00D63B88"/>
    <w:rsid w:val="00D6434D"/>
    <w:rsid w:val="00D64B99"/>
    <w:rsid w:val="00D64CF1"/>
    <w:rsid w:val="00D659A0"/>
    <w:rsid w:val="00D66FE8"/>
    <w:rsid w:val="00D67D5B"/>
    <w:rsid w:val="00D70BCF"/>
    <w:rsid w:val="00D70C84"/>
    <w:rsid w:val="00D71ADE"/>
    <w:rsid w:val="00D722FF"/>
    <w:rsid w:val="00D725D8"/>
    <w:rsid w:val="00D72B2A"/>
    <w:rsid w:val="00D73EB7"/>
    <w:rsid w:val="00D7496C"/>
    <w:rsid w:val="00D74ED7"/>
    <w:rsid w:val="00D750CD"/>
    <w:rsid w:val="00D75F08"/>
    <w:rsid w:val="00D76455"/>
    <w:rsid w:val="00D76A34"/>
    <w:rsid w:val="00D76C4E"/>
    <w:rsid w:val="00D77698"/>
    <w:rsid w:val="00D7797A"/>
    <w:rsid w:val="00D8023F"/>
    <w:rsid w:val="00D83747"/>
    <w:rsid w:val="00D8377F"/>
    <w:rsid w:val="00D837B6"/>
    <w:rsid w:val="00D83DCE"/>
    <w:rsid w:val="00D85155"/>
    <w:rsid w:val="00D85F20"/>
    <w:rsid w:val="00D91796"/>
    <w:rsid w:val="00D9281C"/>
    <w:rsid w:val="00D92D70"/>
    <w:rsid w:val="00D94DBC"/>
    <w:rsid w:val="00D97C8F"/>
    <w:rsid w:val="00DA0CFA"/>
    <w:rsid w:val="00DA114F"/>
    <w:rsid w:val="00DA162E"/>
    <w:rsid w:val="00DA2915"/>
    <w:rsid w:val="00DA3312"/>
    <w:rsid w:val="00DA363E"/>
    <w:rsid w:val="00DA3A5A"/>
    <w:rsid w:val="00DA46A1"/>
    <w:rsid w:val="00DA46EF"/>
    <w:rsid w:val="00DA4FF7"/>
    <w:rsid w:val="00DA732B"/>
    <w:rsid w:val="00DB0083"/>
    <w:rsid w:val="00DB26BC"/>
    <w:rsid w:val="00DB4422"/>
    <w:rsid w:val="00DB44D6"/>
    <w:rsid w:val="00DB46C7"/>
    <w:rsid w:val="00DB4F2A"/>
    <w:rsid w:val="00DB4F47"/>
    <w:rsid w:val="00DB59CE"/>
    <w:rsid w:val="00DB65DB"/>
    <w:rsid w:val="00DB6D88"/>
    <w:rsid w:val="00DB775B"/>
    <w:rsid w:val="00DB784D"/>
    <w:rsid w:val="00DC16F5"/>
    <w:rsid w:val="00DC18C6"/>
    <w:rsid w:val="00DC2273"/>
    <w:rsid w:val="00DC2426"/>
    <w:rsid w:val="00DC2622"/>
    <w:rsid w:val="00DC3536"/>
    <w:rsid w:val="00DC391B"/>
    <w:rsid w:val="00DC4978"/>
    <w:rsid w:val="00DC5798"/>
    <w:rsid w:val="00DC5E00"/>
    <w:rsid w:val="00DC7346"/>
    <w:rsid w:val="00DC7A4A"/>
    <w:rsid w:val="00DC7C92"/>
    <w:rsid w:val="00DC7DC1"/>
    <w:rsid w:val="00DD048F"/>
    <w:rsid w:val="00DD1669"/>
    <w:rsid w:val="00DD1C6D"/>
    <w:rsid w:val="00DD1E59"/>
    <w:rsid w:val="00DD2556"/>
    <w:rsid w:val="00DD2661"/>
    <w:rsid w:val="00DD4389"/>
    <w:rsid w:val="00DD5231"/>
    <w:rsid w:val="00DD5575"/>
    <w:rsid w:val="00DD6554"/>
    <w:rsid w:val="00DD7E6F"/>
    <w:rsid w:val="00DE0AB0"/>
    <w:rsid w:val="00DE1551"/>
    <w:rsid w:val="00DE1589"/>
    <w:rsid w:val="00DE1DD0"/>
    <w:rsid w:val="00DE2787"/>
    <w:rsid w:val="00DE3213"/>
    <w:rsid w:val="00DE3B98"/>
    <w:rsid w:val="00DE47BA"/>
    <w:rsid w:val="00DE4B7E"/>
    <w:rsid w:val="00DE5371"/>
    <w:rsid w:val="00DE5537"/>
    <w:rsid w:val="00DE57AA"/>
    <w:rsid w:val="00DE6BF6"/>
    <w:rsid w:val="00DE76D2"/>
    <w:rsid w:val="00DE7E13"/>
    <w:rsid w:val="00DE7F36"/>
    <w:rsid w:val="00DF0046"/>
    <w:rsid w:val="00DF0721"/>
    <w:rsid w:val="00DF0CE5"/>
    <w:rsid w:val="00DF173F"/>
    <w:rsid w:val="00DF1AB8"/>
    <w:rsid w:val="00DF1C86"/>
    <w:rsid w:val="00DF2D58"/>
    <w:rsid w:val="00DF4A18"/>
    <w:rsid w:val="00DF4C1F"/>
    <w:rsid w:val="00DF6135"/>
    <w:rsid w:val="00DF6447"/>
    <w:rsid w:val="00DF6AC1"/>
    <w:rsid w:val="00DF6B85"/>
    <w:rsid w:val="00DF6F2E"/>
    <w:rsid w:val="00DF718B"/>
    <w:rsid w:val="00DF7831"/>
    <w:rsid w:val="00E015BB"/>
    <w:rsid w:val="00E01FFD"/>
    <w:rsid w:val="00E020C1"/>
    <w:rsid w:val="00E02572"/>
    <w:rsid w:val="00E02C6F"/>
    <w:rsid w:val="00E02F3C"/>
    <w:rsid w:val="00E03293"/>
    <w:rsid w:val="00E039AA"/>
    <w:rsid w:val="00E03FF0"/>
    <w:rsid w:val="00E049DF"/>
    <w:rsid w:val="00E04FB8"/>
    <w:rsid w:val="00E054CE"/>
    <w:rsid w:val="00E05824"/>
    <w:rsid w:val="00E05DE2"/>
    <w:rsid w:val="00E0632A"/>
    <w:rsid w:val="00E0784D"/>
    <w:rsid w:val="00E105F4"/>
    <w:rsid w:val="00E10AD8"/>
    <w:rsid w:val="00E10E82"/>
    <w:rsid w:val="00E112BC"/>
    <w:rsid w:val="00E11649"/>
    <w:rsid w:val="00E1445D"/>
    <w:rsid w:val="00E1474E"/>
    <w:rsid w:val="00E154F1"/>
    <w:rsid w:val="00E157C8"/>
    <w:rsid w:val="00E163ED"/>
    <w:rsid w:val="00E16D1A"/>
    <w:rsid w:val="00E16FCC"/>
    <w:rsid w:val="00E1710E"/>
    <w:rsid w:val="00E209CB"/>
    <w:rsid w:val="00E220E6"/>
    <w:rsid w:val="00E2285A"/>
    <w:rsid w:val="00E22AFA"/>
    <w:rsid w:val="00E23301"/>
    <w:rsid w:val="00E23B1E"/>
    <w:rsid w:val="00E23BC9"/>
    <w:rsid w:val="00E24383"/>
    <w:rsid w:val="00E25A28"/>
    <w:rsid w:val="00E25B94"/>
    <w:rsid w:val="00E25D38"/>
    <w:rsid w:val="00E26D67"/>
    <w:rsid w:val="00E26F61"/>
    <w:rsid w:val="00E27B2A"/>
    <w:rsid w:val="00E27EB7"/>
    <w:rsid w:val="00E30409"/>
    <w:rsid w:val="00E3095A"/>
    <w:rsid w:val="00E30A04"/>
    <w:rsid w:val="00E30FBF"/>
    <w:rsid w:val="00E31641"/>
    <w:rsid w:val="00E319A1"/>
    <w:rsid w:val="00E33BDB"/>
    <w:rsid w:val="00E348AC"/>
    <w:rsid w:val="00E351F8"/>
    <w:rsid w:val="00E35CEC"/>
    <w:rsid w:val="00E36883"/>
    <w:rsid w:val="00E37CFA"/>
    <w:rsid w:val="00E37EAE"/>
    <w:rsid w:val="00E37F68"/>
    <w:rsid w:val="00E41133"/>
    <w:rsid w:val="00E418B2"/>
    <w:rsid w:val="00E4241B"/>
    <w:rsid w:val="00E42432"/>
    <w:rsid w:val="00E43067"/>
    <w:rsid w:val="00E4391F"/>
    <w:rsid w:val="00E447F6"/>
    <w:rsid w:val="00E453D9"/>
    <w:rsid w:val="00E459CF"/>
    <w:rsid w:val="00E471EA"/>
    <w:rsid w:val="00E47395"/>
    <w:rsid w:val="00E509B7"/>
    <w:rsid w:val="00E50A6D"/>
    <w:rsid w:val="00E532F2"/>
    <w:rsid w:val="00E534AF"/>
    <w:rsid w:val="00E53A99"/>
    <w:rsid w:val="00E53D13"/>
    <w:rsid w:val="00E53E7E"/>
    <w:rsid w:val="00E53FC3"/>
    <w:rsid w:val="00E54E48"/>
    <w:rsid w:val="00E61336"/>
    <w:rsid w:val="00E61FEF"/>
    <w:rsid w:val="00E623DE"/>
    <w:rsid w:val="00E62746"/>
    <w:rsid w:val="00E62DF2"/>
    <w:rsid w:val="00E637DB"/>
    <w:rsid w:val="00E64416"/>
    <w:rsid w:val="00E64ED5"/>
    <w:rsid w:val="00E64EF0"/>
    <w:rsid w:val="00E6559D"/>
    <w:rsid w:val="00E67EA1"/>
    <w:rsid w:val="00E70435"/>
    <w:rsid w:val="00E70C37"/>
    <w:rsid w:val="00E7154B"/>
    <w:rsid w:val="00E72104"/>
    <w:rsid w:val="00E74599"/>
    <w:rsid w:val="00E745D3"/>
    <w:rsid w:val="00E7479D"/>
    <w:rsid w:val="00E762AF"/>
    <w:rsid w:val="00E76E60"/>
    <w:rsid w:val="00E807D7"/>
    <w:rsid w:val="00E80985"/>
    <w:rsid w:val="00E80E5D"/>
    <w:rsid w:val="00E82FC3"/>
    <w:rsid w:val="00E8413E"/>
    <w:rsid w:val="00E84892"/>
    <w:rsid w:val="00E84DC9"/>
    <w:rsid w:val="00E8506C"/>
    <w:rsid w:val="00E86EA9"/>
    <w:rsid w:val="00E9024A"/>
    <w:rsid w:val="00E90EC1"/>
    <w:rsid w:val="00E91203"/>
    <w:rsid w:val="00E918B6"/>
    <w:rsid w:val="00E91E5C"/>
    <w:rsid w:val="00E929C4"/>
    <w:rsid w:val="00E92CBA"/>
    <w:rsid w:val="00E932FE"/>
    <w:rsid w:val="00E94FEC"/>
    <w:rsid w:val="00E9585B"/>
    <w:rsid w:val="00E9620B"/>
    <w:rsid w:val="00E9730C"/>
    <w:rsid w:val="00E97810"/>
    <w:rsid w:val="00E97B93"/>
    <w:rsid w:val="00E97D57"/>
    <w:rsid w:val="00EA1DD6"/>
    <w:rsid w:val="00EA21D2"/>
    <w:rsid w:val="00EA22A8"/>
    <w:rsid w:val="00EA2A00"/>
    <w:rsid w:val="00EA3085"/>
    <w:rsid w:val="00EA32C2"/>
    <w:rsid w:val="00EA3F9B"/>
    <w:rsid w:val="00EA4E3C"/>
    <w:rsid w:val="00EA5591"/>
    <w:rsid w:val="00EA696B"/>
    <w:rsid w:val="00EA699D"/>
    <w:rsid w:val="00EA750E"/>
    <w:rsid w:val="00EA7B4C"/>
    <w:rsid w:val="00EB1999"/>
    <w:rsid w:val="00EB381A"/>
    <w:rsid w:val="00EB4143"/>
    <w:rsid w:val="00EB473D"/>
    <w:rsid w:val="00EB553A"/>
    <w:rsid w:val="00EB5E03"/>
    <w:rsid w:val="00EB67B6"/>
    <w:rsid w:val="00EB735C"/>
    <w:rsid w:val="00EC1063"/>
    <w:rsid w:val="00EC1210"/>
    <w:rsid w:val="00EC252F"/>
    <w:rsid w:val="00EC3347"/>
    <w:rsid w:val="00EC37E1"/>
    <w:rsid w:val="00EC4D64"/>
    <w:rsid w:val="00EC5539"/>
    <w:rsid w:val="00EC5697"/>
    <w:rsid w:val="00EC5E9A"/>
    <w:rsid w:val="00EC70B3"/>
    <w:rsid w:val="00EC7A8D"/>
    <w:rsid w:val="00ED0083"/>
    <w:rsid w:val="00ED0B77"/>
    <w:rsid w:val="00ED1277"/>
    <w:rsid w:val="00ED165D"/>
    <w:rsid w:val="00ED3174"/>
    <w:rsid w:val="00ED3F96"/>
    <w:rsid w:val="00ED4896"/>
    <w:rsid w:val="00ED50C6"/>
    <w:rsid w:val="00ED5F07"/>
    <w:rsid w:val="00ED6D93"/>
    <w:rsid w:val="00ED711C"/>
    <w:rsid w:val="00ED7465"/>
    <w:rsid w:val="00EE01CB"/>
    <w:rsid w:val="00EE0358"/>
    <w:rsid w:val="00EE0F97"/>
    <w:rsid w:val="00EE1B4C"/>
    <w:rsid w:val="00EE1F5A"/>
    <w:rsid w:val="00EE25F4"/>
    <w:rsid w:val="00EE3082"/>
    <w:rsid w:val="00EE42E1"/>
    <w:rsid w:val="00EE4947"/>
    <w:rsid w:val="00EE5159"/>
    <w:rsid w:val="00EE5E69"/>
    <w:rsid w:val="00EE6D7C"/>
    <w:rsid w:val="00EE709F"/>
    <w:rsid w:val="00EE7364"/>
    <w:rsid w:val="00EE742B"/>
    <w:rsid w:val="00EE7933"/>
    <w:rsid w:val="00EE79D2"/>
    <w:rsid w:val="00EF041E"/>
    <w:rsid w:val="00EF12AA"/>
    <w:rsid w:val="00EF2261"/>
    <w:rsid w:val="00EF2292"/>
    <w:rsid w:val="00EF372B"/>
    <w:rsid w:val="00EF4C43"/>
    <w:rsid w:val="00EF4D8F"/>
    <w:rsid w:val="00EF59CF"/>
    <w:rsid w:val="00EF650C"/>
    <w:rsid w:val="00EF6617"/>
    <w:rsid w:val="00EF6DC9"/>
    <w:rsid w:val="00EF705D"/>
    <w:rsid w:val="00EF7152"/>
    <w:rsid w:val="00EF7636"/>
    <w:rsid w:val="00F011B7"/>
    <w:rsid w:val="00F01DA3"/>
    <w:rsid w:val="00F026D6"/>
    <w:rsid w:val="00F03D18"/>
    <w:rsid w:val="00F03F5F"/>
    <w:rsid w:val="00F04A8E"/>
    <w:rsid w:val="00F04BE3"/>
    <w:rsid w:val="00F04F9F"/>
    <w:rsid w:val="00F050BA"/>
    <w:rsid w:val="00F051DC"/>
    <w:rsid w:val="00F05EFD"/>
    <w:rsid w:val="00F05FAA"/>
    <w:rsid w:val="00F06A1E"/>
    <w:rsid w:val="00F07354"/>
    <w:rsid w:val="00F07AD2"/>
    <w:rsid w:val="00F07C62"/>
    <w:rsid w:val="00F07FFC"/>
    <w:rsid w:val="00F109D9"/>
    <w:rsid w:val="00F115F0"/>
    <w:rsid w:val="00F1177D"/>
    <w:rsid w:val="00F118BA"/>
    <w:rsid w:val="00F12A7B"/>
    <w:rsid w:val="00F1485C"/>
    <w:rsid w:val="00F148BF"/>
    <w:rsid w:val="00F15D8D"/>
    <w:rsid w:val="00F1734C"/>
    <w:rsid w:val="00F205AC"/>
    <w:rsid w:val="00F20B93"/>
    <w:rsid w:val="00F215A3"/>
    <w:rsid w:val="00F216A2"/>
    <w:rsid w:val="00F21ECE"/>
    <w:rsid w:val="00F224F2"/>
    <w:rsid w:val="00F229BA"/>
    <w:rsid w:val="00F23DB0"/>
    <w:rsid w:val="00F2667C"/>
    <w:rsid w:val="00F26A4C"/>
    <w:rsid w:val="00F26AE2"/>
    <w:rsid w:val="00F27CB7"/>
    <w:rsid w:val="00F27FDE"/>
    <w:rsid w:val="00F3092D"/>
    <w:rsid w:val="00F33762"/>
    <w:rsid w:val="00F34335"/>
    <w:rsid w:val="00F3465C"/>
    <w:rsid w:val="00F356A6"/>
    <w:rsid w:val="00F35A8C"/>
    <w:rsid w:val="00F377E7"/>
    <w:rsid w:val="00F421C0"/>
    <w:rsid w:val="00F42827"/>
    <w:rsid w:val="00F43671"/>
    <w:rsid w:val="00F4431E"/>
    <w:rsid w:val="00F44B35"/>
    <w:rsid w:val="00F44C37"/>
    <w:rsid w:val="00F457FF"/>
    <w:rsid w:val="00F45A24"/>
    <w:rsid w:val="00F45E21"/>
    <w:rsid w:val="00F45E69"/>
    <w:rsid w:val="00F466E3"/>
    <w:rsid w:val="00F5053F"/>
    <w:rsid w:val="00F50554"/>
    <w:rsid w:val="00F50FE5"/>
    <w:rsid w:val="00F51258"/>
    <w:rsid w:val="00F51787"/>
    <w:rsid w:val="00F52D47"/>
    <w:rsid w:val="00F535AC"/>
    <w:rsid w:val="00F53C21"/>
    <w:rsid w:val="00F55A1F"/>
    <w:rsid w:val="00F57D54"/>
    <w:rsid w:val="00F612BA"/>
    <w:rsid w:val="00F6179D"/>
    <w:rsid w:val="00F62ACC"/>
    <w:rsid w:val="00F636AF"/>
    <w:rsid w:val="00F642D2"/>
    <w:rsid w:val="00F64758"/>
    <w:rsid w:val="00F64A1F"/>
    <w:rsid w:val="00F650F4"/>
    <w:rsid w:val="00F65698"/>
    <w:rsid w:val="00F6606C"/>
    <w:rsid w:val="00F675DD"/>
    <w:rsid w:val="00F67F30"/>
    <w:rsid w:val="00F713E8"/>
    <w:rsid w:val="00F71489"/>
    <w:rsid w:val="00F7173A"/>
    <w:rsid w:val="00F71899"/>
    <w:rsid w:val="00F71EBD"/>
    <w:rsid w:val="00F72ECB"/>
    <w:rsid w:val="00F74EF3"/>
    <w:rsid w:val="00F74F10"/>
    <w:rsid w:val="00F75B4F"/>
    <w:rsid w:val="00F77E47"/>
    <w:rsid w:val="00F802EF"/>
    <w:rsid w:val="00F80500"/>
    <w:rsid w:val="00F80822"/>
    <w:rsid w:val="00F80FA1"/>
    <w:rsid w:val="00F811EC"/>
    <w:rsid w:val="00F81336"/>
    <w:rsid w:val="00F815FD"/>
    <w:rsid w:val="00F8268A"/>
    <w:rsid w:val="00F82EE1"/>
    <w:rsid w:val="00F837DD"/>
    <w:rsid w:val="00F84139"/>
    <w:rsid w:val="00F85533"/>
    <w:rsid w:val="00F85925"/>
    <w:rsid w:val="00F85A17"/>
    <w:rsid w:val="00F8626A"/>
    <w:rsid w:val="00F86B86"/>
    <w:rsid w:val="00F87EAC"/>
    <w:rsid w:val="00F91671"/>
    <w:rsid w:val="00F92824"/>
    <w:rsid w:val="00F92A05"/>
    <w:rsid w:val="00F92D7E"/>
    <w:rsid w:val="00F93AF8"/>
    <w:rsid w:val="00F93C45"/>
    <w:rsid w:val="00F93CCD"/>
    <w:rsid w:val="00F940BA"/>
    <w:rsid w:val="00F94974"/>
    <w:rsid w:val="00F94DB6"/>
    <w:rsid w:val="00F9548A"/>
    <w:rsid w:val="00F954AF"/>
    <w:rsid w:val="00F958B8"/>
    <w:rsid w:val="00F9612D"/>
    <w:rsid w:val="00F96725"/>
    <w:rsid w:val="00F96CE3"/>
    <w:rsid w:val="00FA004E"/>
    <w:rsid w:val="00FA076C"/>
    <w:rsid w:val="00FA13F0"/>
    <w:rsid w:val="00FA1724"/>
    <w:rsid w:val="00FA2801"/>
    <w:rsid w:val="00FA2CE0"/>
    <w:rsid w:val="00FA3DF8"/>
    <w:rsid w:val="00FA48A5"/>
    <w:rsid w:val="00FA4943"/>
    <w:rsid w:val="00FA49BF"/>
    <w:rsid w:val="00FA4B0B"/>
    <w:rsid w:val="00FA553A"/>
    <w:rsid w:val="00FA5C2E"/>
    <w:rsid w:val="00FA6045"/>
    <w:rsid w:val="00FB0E7C"/>
    <w:rsid w:val="00FB14C2"/>
    <w:rsid w:val="00FB20F9"/>
    <w:rsid w:val="00FB2C84"/>
    <w:rsid w:val="00FB3312"/>
    <w:rsid w:val="00FB346C"/>
    <w:rsid w:val="00FB5B5D"/>
    <w:rsid w:val="00FB6081"/>
    <w:rsid w:val="00FC0D8C"/>
    <w:rsid w:val="00FC1503"/>
    <w:rsid w:val="00FC17DD"/>
    <w:rsid w:val="00FC1CEA"/>
    <w:rsid w:val="00FC22B9"/>
    <w:rsid w:val="00FC248B"/>
    <w:rsid w:val="00FC3321"/>
    <w:rsid w:val="00FC44FB"/>
    <w:rsid w:val="00FC58C1"/>
    <w:rsid w:val="00FC606F"/>
    <w:rsid w:val="00FC65D2"/>
    <w:rsid w:val="00FC7070"/>
    <w:rsid w:val="00FC7606"/>
    <w:rsid w:val="00FD0C36"/>
    <w:rsid w:val="00FD1880"/>
    <w:rsid w:val="00FD2314"/>
    <w:rsid w:val="00FD2D57"/>
    <w:rsid w:val="00FD39B6"/>
    <w:rsid w:val="00FD3A25"/>
    <w:rsid w:val="00FD40A5"/>
    <w:rsid w:val="00FD4202"/>
    <w:rsid w:val="00FD4658"/>
    <w:rsid w:val="00FD58C5"/>
    <w:rsid w:val="00FD5953"/>
    <w:rsid w:val="00FD7931"/>
    <w:rsid w:val="00FE0D6D"/>
    <w:rsid w:val="00FE1051"/>
    <w:rsid w:val="00FE1BCE"/>
    <w:rsid w:val="00FE3A69"/>
    <w:rsid w:val="00FE3D63"/>
    <w:rsid w:val="00FE5B07"/>
    <w:rsid w:val="00FE5B17"/>
    <w:rsid w:val="00FE6BA7"/>
    <w:rsid w:val="00FE6EDA"/>
    <w:rsid w:val="00FE71EA"/>
    <w:rsid w:val="00FF13AB"/>
    <w:rsid w:val="00FF1E83"/>
    <w:rsid w:val="00FF2540"/>
    <w:rsid w:val="00FF2EB6"/>
    <w:rsid w:val="00FF4A9A"/>
    <w:rsid w:val="00FF5195"/>
    <w:rsid w:val="00FF5B26"/>
    <w:rsid w:val="00FF5CA5"/>
    <w:rsid w:val="00FF689A"/>
    <w:rsid w:val="00FF75B2"/>
    <w:rsid w:val="00FF7A44"/>
    <w:rsid w:val="010F7211"/>
    <w:rsid w:val="01303AC5"/>
    <w:rsid w:val="01396E1E"/>
    <w:rsid w:val="015A3746"/>
    <w:rsid w:val="01F40F97"/>
    <w:rsid w:val="023D0A26"/>
    <w:rsid w:val="026C45AA"/>
    <w:rsid w:val="02723AB8"/>
    <w:rsid w:val="0290306F"/>
    <w:rsid w:val="02E74E49"/>
    <w:rsid w:val="03060EF5"/>
    <w:rsid w:val="045B6255"/>
    <w:rsid w:val="048A77DC"/>
    <w:rsid w:val="048C58BA"/>
    <w:rsid w:val="049A1A1A"/>
    <w:rsid w:val="053F30CD"/>
    <w:rsid w:val="054F70A6"/>
    <w:rsid w:val="06224324"/>
    <w:rsid w:val="069F7976"/>
    <w:rsid w:val="0754511F"/>
    <w:rsid w:val="076757F6"/>
    <w:rsid w:val="07CF03BC"/>
    <w:rsid w:val="0ADE62A2"/>
    <w:rsid w:val="0AEC75B0"/>
    <w:rsid w:val="0B8C227D"/>
    <w:rsid w:val="0B9B4146"/>
    <w:rsid w:val="0C2B7B66"/>
    <w:rsid w:val="0C4E7861"/>
    <w:rsid w:val="0C7418A6"/>
    <w:rsid w:val="0CC50D99"/>
    <w:rsid w:val="0D1219EE"/>
    <w:rsid w:val="0D2A5C7F"/>
    <w:rsid w:val="0D845063"/>
    <w:rsid w:val="0D9215CB"/>
    <w:rsid w:val="0DDD12F5"/>
    <w:rsid w:val="0E173441"/>
    <w:rsid w:val="0E1B5D83"/>
    <w:rsid w:val="0E2968B2"/>
    <w:rsid w:val="0E4D10FE"/>
    <w:rsid w:val="0E6B26B6"/>
    <w:rsid w:val="0EAD3E11"/>
    <w:rsid w:val="0EF02863"/>
    <w:rsid w:val="0EF22E88"/>
    <w:rsid w:val="0F304EC9"/>
    <w:rsid w:val="0FF3472D"/>
    <w:rsid w:val="103E1371"/>
    <w:rsid w:val="10616C85"/>
    <w:rsid w:val="110F0353"/>
    <w:rsid w:val="11111393"/>
    <w:rsid w:val="11183C38"/>
    <w:rsid w:val="1123578B"/>
    <w:rsid w:val="115D5DB5"/>
    <w:rsid w:val="11D1035D"/>
    <w:rsid w:val="11F74937"/>
    <w:rsid w:val="12463C5F"/>
    <w:rsid w:val="12E4398E"/>
    <w:rsid w:val="12F11482"/>
    <w:rsid w:val="13181B4A"/>
    <w:rsid w:val="13BE7FF4"/>
    <w:rsid w:val="143645C7"/>
    <w:rsid w:val="144F76D9"/>
    <w:rsid w:val="14517563"/>
    <w:rsid w:val="15BB5243"/>
    <w:rsid w:val="15C46659"/>
    <w:rsid w:val="16250370"/>
    <w:rsid w:val="18100683"/>
    <w:rsid w:val="18563817"/>
    <w:rsid w:val="187872F6"/>
    <w:rsid w:val="18B84E23"/>
    <w:rsid w:val="190D38A8"/>
    <w:rsid w:val="1A5A6A7B"/>
    <w:rsid w:val="1AC00227"/>
    <w:rsid w:val="1ADF2898"/>
    <w:rsid w:val="1B1B00B0"/>
    <w:rsid w:val="1B294A0C"/>
    <w:rsid w:val="1B914AB3"/>
    <w:rsid w:val="1BCA308F"/>
    <w:rsid w:val="1BD00522"/>
    <w:rsid w:val="1C8D5000"/>
    <w:rsid w:val="1CF7429E"/>
    <w:rsid w:val="1CFC5E9D"/>
    <w:rsid w:val="1D3A4B0E"/>
    <w:rsid w:val="1D8F4298"/>
    <w:rsid w:val="1E553B1B"/>
    <w:rsid w:val="1EF17CD8"/>
    <w:rsid w:val="1F0813F5"/>
    <w:rsid w:val="1FC23D03"/>
    <w:rsid w:val="1FE3455A"/>
    <w:rsid w:val="211C4EF1"/>
    <w:rsid w:val="214761F1"/>
    <w:rsid w:val="222D6C14"/>
    <w:rsid w:val="225E33A3"/>
    <w:rsid w:val="226913AF"/>
    <w:rsid w:val="22842AED"/>
    <w:rsid w:val="22CB46F3"/>
    <w:rsid w:val="22E26302"/>
    <w:rsid w:val="23417960"/>
    <w:rsid w:val="24343749"/>
    <w:rsid w:val="247B060F"/>
    <w:rsid w:val="267F1785"/>
    <w:rsid w:val="272C5650"/>
    <w:rsid w:val="27B56B9E"/>
    <w:rsid w:val="28951445"/>
    <w:rsid w:val="28DB4334"/>
    <w:rsid w:val="29132DD0"/>
    <w:rsid w:val="29653655"/>
    <w:rsid w:val="296B2486"/>
    <w:rsid w:val="29BA13BF"/>
    <w:rsid w:val="29DE6B72"/>
    <w:rsid w:val="2A321881"/>
    <w:rsid w:val="2A663976"/>
    <w:rsid w:val="2A67345D"/>
    <w:rsid w:val="2A731EA4"/>
    <w:rsid w:val="2B0C4D49"/>
    <w:rsid w:val="2C597E20"/>
    <w:rsid w:val="2CB11955"/>
    <w:rsid w:val="2D3379EF"/>
    <w:rsid w:val="2DC26D36"/>
    <w:rsid w:val="2DC330A0"/>
    <w:rsid w:val="2EA51249"/>
    <w:rsid w:val="2EBC7D5A"/>
    <w:rsid w:val="2F1E2BCF"/>
    <w:rsid w:val="2F28164B"/>
    <w:rsid w:val="2F310336"/>
    <w:rsid w:val="2F3B2973"/>
    <w:rsid w:val="2F8C4878"/>
    <w:rsid w:val="2F9A436A"/>
    <w:rsid w:val="2F9D11A6"/>
    <w:rsid w:val="301E163A"/>
    <w:rsid w:val="302D10AE"/>
    <w:rsid w:val="30FF1002"/>
    <w:rsid w:val="31553722"/>
    <w:rsid w:val="317F1D9A"/>
    <w:rsid w:val="31AE1E59"/>
    <w:rsid w:val="322D16D8"/>
    <w:rsid w:val="329149CE"/>
    <w:rsid w:val="332D28D3"/>
    <w:rsid w:val="33B466E1"/>
    <w:rsid w:val="34317C19"/>
    <w:rsid w:val="34404A8B"/>
    <w:rsid w:val="34414BCD"/>
    <w:rsid w:val="347859CE"/>
    <w:rsid w:val="34EC3828"/>
    <w:rsid w:val="34FF7A14"/>
    <w:rsid w:val="353B0CCF"/>
    <w:rsid w:val="35612188"/>
    <w:rsid w:val="360D0A10"/>
    <w:rsid w:val="36A66E75"/>
    <w:rsid w:val="376033F0"/>
    <w:rsid w:val="37DB6BEB"/>
    <w:rsid w:val="383D287D"/>
    <w:rsid w:val="38B74A16"/>
    <w:rsid w:val="38CA37E7"/>
    <w:rsid w:val="39781038"/>
    <w:rsid w:val="39ED3271"/>
    <w:rsid w:val="39F62651"/>
    <w:rsid w:val="3A9F565D"/>
    <w:rsid w:val="3B2C19D0"/>
    <w:rsid w:val="3B4342DC"/>
    <w:rsid w:val="3C514520"/>
    <w:rsid w:val="3C5B1ED2"/>
    <w:rsid w:val="3C5C0DD2"/>
    <w:rsid w:val="3CD14ED5"/>
    <w:rsid w:val="3CE42A3E"/>
    <w:rsid w:val="3D213EA3"/>
    <w:rsid w:val="3DE767AD"/>
    <w:rsid w:val="3E06382B"/>
    <w:rsid w:val="3E2A2338"/>
    <w:rsid w:val="3E5576BE"/>
    <w:rsid w:val="3EA25E9C"/>
    <w:rsid w:val="3F870E1D"/>
    <w:rsid w:val="3F9765A1"/>
    <w:rsid w:val="3FD85C5C"/>
    <w:rsid w:val="3FE91D80"/>
    <w:rsid w:val="40EC6E69"/>
    <w:rsid w:val="41BB600D"/>
    <w:rsid w:val="41CE722B"/>
    <w:rsid w:val="421E684C"/>
    <w:rsid w:val="429553BF"/>
    <w:rsid w:val="42DB3243"/>
    <w:rsid w:val="43B1287C"/>
    <w:rsid w:val="43DB68CC"/>
    <w:rsid w:val="44565141"/>
    <w:rsid w:val="448B56A1"/>
    <w:rsid w:val="44C24D1B"/>
    <w:rsid w:val="454E684A"/>
    <w:rsid w:val="45CD4CD3"/>
    <w:rsid w:val="461A4919"/>
    <w:rsid w:val="46334527"/>
    <w:rsid w:val="463646CC"/>
    <w:rsid w:val="46DD3808"/>
    <w:rsid w:val="4709147B"/>
    <w:rsid w:val="47690A78"/>
    <w:rsid w:val="480B5EAA"/>
    <w:rsid w:val="485915D9"/>
    <w:rsid w:val="48DC5A6F"/>
    <w:rsid w:val="4930632D"/>
    <w:rsid w:val="49635FA8"/>
    <w:rsid w:val="49883905"/>
    <w:rsid w:val="49E361D6"/>
    <w:rsid w:val="4A0D64B8"/>
    <w:rsid w:val="4ABD0770"/>
    <w:rsid w:val="4B27171C"/>
    <w:rsid w:val="4B934163"/>
    <w:rsid w:val="4C0A7DF3"/>
    <w:rsid w:val="4C7C2BB5"/>
    <w:rsid w:val="4C983ADC"/>
    <w:rsid w:val="4D4D7E2F"/>
    <w:rsid w:val="4D6C26ED"/>
    <w:rsid w:val="4DCE426E"/>
    <w:rsid w:val="4DF8265D"/>
    <w:rsid w:val="4E054AD6"/>
    <w:rsid w:val="4E496324"/>
    <w:rsid w:val="4E791333"/>
    <w:rsid w:val="4E7C7A4F"/>
    <w:rsid w:val="4E8E16D1"/>
    <w:rsid w:val="4EE905C1"/>
    <w:rsid w:val="50063FC6"/>
    <w:rsid w:val="501E2913"/>
    <w:rsid w:val="50986E02"/>
    <w:rsid w:val="50FE0F10"/>
    <w:rsid w:val="5193680E"/>
    <w:rsid w:val="51B31E62"/>
    <w:rsid w:val="51E44568"/>
    <w:rsid w:val="51E86BC8"/>
    <w:rsid w:val="52237906"/>
    <w:rsid w:val="52302398"/>
    <w:rsid w:val="528C3A7D"/>
    <w:rsid w:val="52ED74EB"/>
    <w:rsid w:val="534C7F4D"/>
    <w:rsid w:val="53872369"/>
    <w:rsid w:val="53D3705A"/>
    <w:rsid w:val="53F5679C"/>
    <w:rsid w:val="54513AF0"/>
    <w:rsid w:val="54CF4F30"/>
    <w:rsid w:val="5558753B"/>
    <w:rsid w:val="55FF666E"/>
    <w:rsid w:val="565216B8"/>
    <w:rsid w:val="56812BA5"/>
    <w:rsid w:val="57081B3C"/>
    <w:rsid w:val="5783040C"/>
    <w:rsid w:val="57FB4994"/>
    <w:rsid w:val="58100931"/>
    <w:rsid w:val="58473738"/>
    <w:rsid w:val="58666620"/>
    <w:rsid w:val="586C0657"/>
    <w:rsid w:val="58817B35"/>
    <w:rsid w:val="58DE7204"/>
    <w:rsid w:val="59262FD9"/>
    <w:rsid w:val="5A17616E"/>
    <w:rsid w:val="5A6D2699"/>
    <w:rsid w:val="5A7D66F4"/>
    <w:rsid w:val="5AC672DB"/>
    <w:rsid w:val="5AED57BB"/>
    <w:rsid w:val="5B3A7598"/>
    <w:rsid w:val="5B6E760C"/>
    <w:rsid w:val="5BE02DF6"/>
    <w:rsid w:val="5C082E06"/>
    <w:rsid w:val="5C34451E"/>
    <w:rsid w:val="5CDE4EAE"/>
    <w:rsid w:val="5D3A2DD3"/>
    <w:rsid w:val="5D8D1218"/>
    <w:rsid w:val="5DC9546E"/>
    <w:rsid w:val="5E3612F2"/>
    <w:rsid w:val="5E3C5113"/>
    <w:rsid w:val="5E5A2482"/>
    <w:rsid w:val="5E8A27E8"/>
    <w:rsid w:val="5F4657F2"/>
    <w:rsid w:val="60815CBE"/>
    <w:rsid w:val="60B565E6"/>
    <w:rsid w:val="60E20C1B"/>
    <w:rsid w:val="61484893"/>
    <w:rsid w:val="616D7908"/>
    <w:rsid w:val="61BD5017"/>
    <w:rsid w:val="62B87AE5"/>
    <w:rsid w:val="62D97943"/>
    <w:rsid w:val="63D72AB7"/>
    <w:rsid w:val="64CC3C87"/>
    <w:rsid w:val="64EF7872"/>
    <w:rsid w:val="64F15BA9"/>
    <w:rsid w:val="65E72405"/>
    <w:rsid w:val="670C6DC4"/>
    <w:rsid w:val="674555D6"/>
    <w:rsid w:val="677B58DE"/>
    <w:rsid w:val="67BE3582"/>
    <w:rsid w:val="695B6F05"/>
    <w:rsid w:val="6A146F17"/>
    <w:rsid w:val="6A244C92"/>
    <w:rsid w:val="6C254101"/>
    <w:rsid w:val="6C4E7A00"/>
    <w:rsid w:val="6C7C4027"/>
    <w:rsid w:val="6C907FD5"/>
    <w:rsid w:val="6CC47C1C"/>
    <w:rsid w:val="6D3C3438"/>
    <w:rsid w:val="6DC879AD"/>
    <w:rsid w:val="6E0B4599"/>
    <w:rsid w:val="6F547DC8"/>
    <w:rsid w:val="6FB05A0B"/>
    <w:rsid w:val="705C541A"/>
    <w:rsid w:val="70AC166A"/>
    <w:rsid w:val="70DA05FF"/>
    <w:rsid w:val="713A2D30"/>
    <w:rsid w:val="71BC124C"/>
    <w:rsid w:val="71BF5220"/>
    <w:rsid w:val="725F6B92"/>
    <w:rsid w:val="727F24C1"/>
    <w:rsid w:val="72974487"/>
    <w:rsid w:val="729E50EF"/>
    <w:rsid w:val="72FA3A07"/>
    <w:rsid w:val="72FD04D2"/>
    <w:rsid w:val="73160A98"/>
    <w:rsid w:val="73252FF8"/>
    <w:rsid w:val="747C20F2"/>
    <w:rsid w:val="747C6C6E"/>
    <w:rsid w:val="75226D49"/>
    <w:rsid w:val="75757044"/>
    <w:rsid w:val="759C44B1"/>
    <w:rsid w:val="76000A10"/>
    <w:rsid w:val="769D50C9"/>
    <w:rsid w:val="76B00B7A"/>
    <w:rsid w:val="76CF2FA5"/>
    <w:rsid w:val="76D52B43"/>
    <w:rsid w:val="76FC4676"/>
    <w:rsid w:val="76FD1894"/>
    <w:rsid w:val="771275D9"/>
    <w:rsid w:val="77212342"/>
    <w:rsid w:val="775A093C"/>
    <w:rsid w:val="78132D87"/>
    <w:rsid w:val="78D0752B"/>
    <w:rsid w:val="79167A3E"/>
    <w:rsid w:val="79862638"/>
    <w:rsid w:val="7A4E7237"/>
    <w:rsid w:val="7A9F73E7"/>
    <w:rsid w:val="7C106E98"/>
    <w:rsid w:val="7C8F65C5"/>
    <w:rsid w:val="7CED256B"/>
    <w:rsid w:val="7D86682F"/>
    <w:rsid w:val="7DBA6306"/>
    <w:rsid w:val="7DF1471A"/>
    <w:rsid w:val="7F4C0ABC"/>
    <w:rsid w:val="7FB94429"/>
    <w:rsid w:val="7FFA22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5"/>
    <w:qFormat/>
    <w:uiPriority w:val="99"/>
    <w:pPr>
      <w:keepNext/>
      <w:keepLines/>
      <w:spacing w:before="120" w:after="120"/>
      <w:jc w:val="center"/>
      <w:outlineLvl w:val="0"/>
    </w:pPr>
    <w:rPr>
      <w:b/>
      <w:bCs/>
      <w:kern w:val="44"/>
      <w:sz w:val="28"/>
      <w:szCs w:val="28"/>
    </w:rPr>
  </w:style>
  <w:style w:type="paragraph" w:styleId="3">
    <w:name w:val="heading 2"/>
    <w:basedOn w:val="1"/>
    <w:next w:val="4"/>
    <w:link w:val="66"/>
    <w:autoRedefine/>
    <w:qFormat/>
    <w:uiPriority w:val="99"/>
    <w:pPr>
      <w:keepNext/>
      <w:keepLines/>
      <w:adjustRightInd w:val="0"/>
      <w:spacing w:before="240" w:line="360" w:lineRule="auto"/>
      <w:jc w:val="center"/>
      <w:textAlignment w:val="baseline"/>
      <w:outlineLvl w:val="1"/>
    </w:pPr>
    <w:rPr>
      <w:rFonts w:ascii="Arial" w:hAnsi="Arial" w:eastAsia="黑体" w:cs="Arial"/>
      <w:b/>
      <w:bCs/>
      <w:kern w:val="0"/>
      <w:sz w:val="30"/>
      <w:szCs w:val="30"/>
    </w:rPr>
  </w:style>
  <w:style w:type="paragraph" w:styleId="5">
    <w:name w:val="heading 3"/>
    <w:basedOn w:val="1"/>
    <w:next w:val="4"/>
    <w:link w:val="67"/>
    <w:qFormat/>
    <w:uiPriority w:val="99"/>
    <w:pPr>
      <w:keepNext/>
      <w:keepLines/>
      <w:adjustRightInd w:val="0"/>
      <w:spacing w:before="240" w:after="120" w:line="300" w:lineRule="auto"/>
      <w:jc w:val="left"/>
      <w:textAlignment w:val="baseline"/>
      <w:outlineLvl w:val="2"/>
    </w:pPr>
    <w:rPr>
      <w:b/>
      <w:bCs/>
      <w:kern w:val="0"/>
    </w:rPr>
  </w:style>
  <w:style w:type="paragraph" w:styleId="6">
    <w:name w:val="heading 4"/>
    <w:basedOn w:val="1"/>
    <w:next w:val="4"/>
    <w:link w:val="68"/>
    <w:qFormat/>
    <w:uiPriority w:val="99"/>
    <w:pPr>
      <w:keepNext/>
      <w:keepLines/>
      <w:spacing w:line="360" w:lineRule="auto"/>
      <w:jc w:val="left"/>
      <w:outlineLvl w:val="3"/>
    </w:pPr>
    <w:rPr>
      <w:rFonts w:ascii="Arial" w:hAnsi="Arial" w:eastAsia="黑体" w:cs="Arial"/>
      <w:b/>
      <w:bCs/>
      <w:sz w:val="28"/>
      <w:szCs w:val="28"/>
    </w:rPr>
  </w:style>
  <w:style w:type="paragraph" w:styleId="7">
    <w:name w:val="heading 5"/>
    <w:basedOn w:val="1"/>
    <w:next w:val="1"/>
    <w:link w:val="69"/>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70"/>
    <w:qFormat/>
    <w:uiPriority w:val="99"/>
    <w:pPr>
      <w:keepNext/>
      <w:keepLines/>
      <w:spacing w:before="240" w:after="64" w:line="320" w:lineRule="auto"/>
      <w:outlineLvl w:val="5"/>
    </w:pPr>
    <w:rPr>
      <w:rFonts w:ascii="Arial" w:hAnsi="Arial" w:eastAsia="黑体" w:cs="Arial"/>
      <w:b/>
      <w:bCs/>
      <w:sz w:val="24"/>
      <w:szCs w:val="24"/>
    </w:rPr>
  </w:style>
  <w:style w:type="paragraph" w:styleId="9">
    <w:name w:val="heading 7"/>
    <w:basedOn w:val="1"/>
    <w:next w:val="1"/>
    <w:link w:val="71"/>
    <w:qFormat/>
    <w:uiPriority w:val="99"/>
    <w:pPr>
      <w:keepNext/>
      <w:keepLines/>
      <w:spacing w:before="240" w:after="64" w:line="320" w:lineRule="auto"/>
      <w:outlineLvl w:val="6"/>
    </w:pPr>
    <w:rPr>
      <w:b/>
      <w:bCs/>
      <w:sz w:val="24"/>
      <w:szCs w:val="24"/>
    </w:rPr>
  </w:style>
  <w:style w:type="paragraph" w:styleId="10">
    <w:name w:val="heading 8"/>
    <w:basedOn w:val="1"/>
    <w:next w:val="1"/>
    <w:link w:val="72"/>
    <w:autoRedefine/>
    <w:qFormat/>
    <w:uiPriority w:val="99"/>
    <w:pPr>
      <w:keepNext/>
      <w:keepLines/>
      <w:spacing w:before="240" w:after="64" w:line="320" w:lineRule="auto"/>
      <w:outlineLvl w:val="7"/>
    </w:pPr>
    <w:rPr>
      <w:rFonts w:ascii="Arial" w:hAnsi="Arial" w:eastAsia="黑体" w:cs="Arial"/>
      <w:sz w:val="24"/>
      <w:szCs w:val="24"/>
    </w:rPr>
  </w:style>
  <w:style w:type="paragraph" w:styleId="11">
    <w:name w:val="heading 9"/>
    <w:basedOn w:val="1"/>
    <w:next w:val="1"/>
    <w:link w:val="73"/>
    <w:qFormat/>
    <w:uiPriority w:val="99"/>
    <w:pPr>
      <w:keepNext/>
      <w:keepLines/>
      <w:spacing w:before="240" w:after="64" w:line="320" w:lineRule="auto"/>
      <w:outlineLvl w:val="8"/>
    </w:pPr>
    <w:rPr>
      <w:rFonts w:ascii="Arial" w:hAnsi="Arial" w:eastAsia="黑体" w:cs="Arial"/>
    </w:rPr>
  </w:style>
  <w:style w:type="character" w:default="1" w:styleId="48">
    <w:name w:val="Default Paragraph Font"/>
    <w:semiHidden/>
    <w:qFormat/>
    <w:uiPriority w:val="99"/>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2"/>
    <w:qFormat/>
    <w:uiPriority w:val="99"/>
    <w:pPr>
      <w:ind w:firstLine="420"/>
    </w:pPr>
  </w:style>
  <w:style w:type="paragraph" w:styleId="12">
    <w:name w:val="toc 7"/>
    <w:basedOn w:val="1"/>
    <w:next w:val="1"/>
    <w:semiHidden/>
    <w:qFormat/>
    <w:uiPriority w:val="99"/>
    <w:pPr>
      <w:ind w:left="1260"/>
      <w:jc w:val="left"/>
    </w:pPr>
    <w:rPr>
      <w:rFonts w:ascii="Calibri" w:hAnsi="Calibri" w:cs="Calibri"/>
      <w:sz w:val="18"/>
      <w:szCs w:val="18"/>
    </w:rPr>
  </w:style>
  <w:style w:type="paragraph" w:styleId="13">
    <w:name w:val="table of authorities"/>
    <w:basedOn w:val="1"/>
    <w:next w:val="1"/>
    <w:semiHidden/>
    <w:qFormat/>
    <w:uiPriority w:val="99"/>
    <w:pPr>
      <w:ind w:left="420" w:leftChars="200"/>
    </w:pPr>
  </w:style>
  <w:style w:type="paragraph" w:styleId="14">
    <w:name w:val="Document Map"/>
    <w:basedOn w:val="1"/>
    <w:link w:val="74"/>
    <w:autoRedefine/>
    <w:semiHidden/>
    <w:qFormat/>
    <w:uiPriority w:val="99"/>
    <w:rPr>
      <w:rFonts w:ascii="宋体" w:cs="宋体"/>
      <w:sz w:val="18"/>
      <w:szCs w:val="18"/>
    </w:rPr>
  </w:style>
  <w:style w:type="paragraph" w:styleId="15">
    <w:name w:val="annotation text"/>
    <w:basedOn w:val="1"/>
    <w:link w:val="75"/>
    <w:autoRedefine/>
    <w:semiHidden/>
    <w:qFormat/>
    <w:uiPriority w:val="99"/>
    <w:pPr>
      <w:adjustRightInd w:val="0"/>
      <w:spacing w:line="360" w:lineRule="atLeast"/>
      <w:jc w:val="left"/>
      <w:textAlignment w:val="baseline"/>
    </w:pPr>
    <w:rPr>
      <w:kern w:val="0"/>
      <w:sz w:val="24"/>
      <w:szCs w:val="24"/>
    </w:rPr>
  </w:style>
  <w:style w:type="paragraph" w:styleId="16">
    <w:name w:val="Body Text"/>
    <w:basedOn w:val="1"/>
    <w:next w:val="17"/>
    <w:link w:val="76"/>
    <w:autoRedefine/>
    <w:qFormat/>
    <w:uiPriority w:val="99"/>
    <w:rPr>
      <w:sz w:val="28"/>
      <w:szCs w:val="28"/>
    </w:rPr>
  </w:style>
  <w:style w:type="paragraph" w:styleId="17">
    <w:name w:val="toc 9"/>
    <w:basedOn w:val="1"/>
    <w:next w:val="1"/>
    <w:autoRedefine/>
    <w:semiHidden/>
    <w:qFormat/>
    <w:uiPriority w:val="99"/>
    <w:pPr>
      <w:ind w:left="1680"/>
      <w:jc w:val="left"/>
    </w:pPr>
    <w:rPr>
      <w:rFonts w:ascii="Calibri" w:hAnsi="Calibri" w:cs="Calibri"/>
      <w:sz w:val="18"/>
      <w:szCs w:val="18"/>
    </w:rPr>
  </w:style>
  <w:style w:type="paragraph" w:styleId="18">
    <w:name w:val="Body Text Indent"/>
    <w:basedOn w:val="1"/>
    <w:link w:val="77"/>
    <w:autoRedefine/>
    <w:qFormat/>
    <w:uiPriority w:val="99"/>
    <w:pPr>
      <w:spacing w:after="120"/>
      <w:ind w:left="420" w:leftChars="200"/>
    </w:pPr>
  </w:style>
  <w:style w:type="paragraph" w:styleId="19">
    <w:name w:val="List Continue"/>
    <w:basedOn w:val="1"/>
    <w:autoRedefine/>
    <w:qFormat/>
    <w:uiPriority w:val="99"/>
    <w:pPr>
      <w:autoSpaceDE w:val="0"/>
      <w:autoSpaceDN w:val="0"/>
      <w:adjustRightInd w:val="0"/>
      <w:spacing w:after="120" w:line="360" w:lineRule="auto"/>
      <w:ind w:left="420" w:leftChars="200"/>
      <w:jc w:val="left"/>
    </w:pPr>
    <w:rPr>
      <w:rFonts w:ascii="宋体" w:cs="宋体"/>
      <w:kern w:val="0"/>
      <w:sz w:val="24"/>
      <w:szCs w:val="24"/>
    </w:rPr>
  </w:style>
  <w:style w:type="paragraph" w:styleId="20">
    <w:name w:val="Block Text"/>
    <w:basedOn w:val="1"/>
    <w:autoRedefine/>
    <w:qFormat/>
    <w:uiPriority w:val="99"/>
    <w:pPr>
      <w:ind w:left="1440" w:leftChars="700" w:right="700" w:rightChars="700"/>
    </w:pPr>
    <w:rPr>
      <w:rFonts w:ascii="Calibri" w:hAnsi="Calibri" w:cs="Calibri"/>
    </w:rPr>
  </w:style>
  <w:style w:type="paragraph" w:styleId="21">
    <w:name w:val="toc 5"/>
    <w:basedOn w:val="1"/>
    <w:next w:val="1"/>
    <w:autoRedefine/>
    <w:semiHidden/>
    <w:qFormat/>
    <w:uiPriority w:val="99"/>
    <w:pPr>
      <w:ind w:left="840"/>
      <w:jc w:val="left"/>
    </w:pPr>
    <w:rPr>
      <w:rFonts w:ascii="Calibri" w:hAnsi="Calibri" w:cs="Calibri"/>
      <w:sz w:val="18"/>
      <w:szCs w:val="18"/>
    </w:rPr>
  </w:style>
  <w:style w:type="paragraph" w:styleId="22">
    <w:name w:val="toc 3"/>
    <w:basedOn w:val="1"/>
    <w:next w:val="1"/>
    <w:semiHidden/>
    <w:qFormat/>
    <w:uiPriority w:val="99"/>
    <w:pPr>
      <w:ind w:left="420"/>
      <w:jc w:val="left"/>
    </w:pPr>
    <w:rPr>
      <w:rFonts w:ascii="Calibri" w:hAnsi="Calibri" w:cs="Calibri"/>
      <w:i/>
      <w:iCs/>
      <w:sz w:val="20"/>
      <w:szCs w:val="20"/>
    </w:rPr>
  </w:style>
  <w:style w:type="paragraph" w:styleId="23">
    <w:name w:val="Plain Text"/>
    <w:basedOn w:val="1"/>
    <w:link w:val="78"/>
    <w:autoRedefine/>
    <w:qFormat/>
    <w:uiPriority w:val="99"/>
    <w:rPr>
      <w:rFonts w:ascii="宋体" w:hAnsi="Courier New" w:cs="宋体"/>
    </w:rPr>
  </w:style>
  <w:style w:type="paragraph" w:styleId="24">
    <w:name w:val="toc 8"/>
    <w:basedOn w:val="1"/>
    <w:next w:val="1"/>
    <w:autoRedefine/>
    <w:semiHidden/>
    <w:qFormat/>
    <w:uiPriority w:val="99"/>
    <w:pPr>
      <w:ind w:left="1470"/>
      <w:jc w:val="left"/>
    </w:pPr>
    <w:rPr>
      <w:rFonts w:ascii="Calibri" w:hAnsi="Calibri" w:cs="Calibri"/>
      <w:sz w:val="18"/>
      <w:szCs w:val="18"/>
    </w:rPr>
  </w:style>
  <w:style w:type="paragraph" w:styleId="25">
    <w:name w:val="Date"/>
    <w:basedOn w:val="1"/>
    <w:next w:val="1"/>
    <w:link w:val="79"/>
    <w:autoRedefine/>
    <w:qFormat/>
    <w:uiPriority w:val="99"/>
  </w:style>
  <w:style w:type="paragraph" w:styleId="26">
    <w:name w:val="Body Text Indent 2"/>
    <w:basedOn w:val="1"/>
    <w:link w:val="80"/>
    <w:autoRedefine/>
    <w:qFormat/>
    <w:uiPriority w:val="99"/>
    <w:pPr>
      <w:spacing w:line="460" w:lineRule="exact"/>
      <w:ind w:firstLine="570"/>
    </w:pPr>
    <w:rPr>
      <w:sz w:val="28"/>
      <w:szCs w:val="28"/>
    </w:rPr>
  </w:style>
  <w:style w:type="paragraph" w:styleId="27">
    <w:name w:val="Balloon Text"/>
    <w:basedOn w:val="1"/>
    <w:link w:val="81"/>
    <w:autoRedefine/>
    <w:semiHidden/>
    <w:qFormat/>
    <w:uiPriority w:val="99"/>
    <w:rPr>
      <w:sz w:val="18"/>
      <w:szCs w:val="18"/>
    </w:rPr>
  </w:style>
  <w:style w:type="paragraph" w:styleId="28">
    <w:name w:val="footer"/>
    <w:basedOn w:val="1"/>
    <w:link w:val="82"/>
    <w:autoRedefine/>
    <w:qFormat/>
    <w:uiPriority w:val="99"/>
    <w:pPr>
      <w:tabs>
        <w:tab w:val="center" w:pos="4153"/>
        <w:tab w:val="right" w:pos="8306"/>
      </w:tabs>
      <w:snapToGrid w:val="0"/>
      <w:jc w:val="left"/>
    </w:pPr>
    <w:rPr>
      <w:sz w:val="18"/>
      <w:szCs w:val="18"/>
    </w:rPr>
  </w:style>
  <w:style w:type="paragraph" w:styleId="29">
    <w:name w:val="envelope return"/>
    <w:basedOn w:val="1"/>
    <w:autoRedefine/>
    <w:qFormat/>
    <w:uiPriority w:val="99"/>
    <w:pPr>
      <w:snapToGrid w:val="0"/>
    </w:pPr>
    <w:rPr>
      <w:rFonts w:ascii="Arial" w:hAnsi="Arial" w:cs="Arial"/>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qFormat/>
    <w:uiPriority w:val="99"/>
    <w:pPr>
      <w:spacing w:before="120" w:after="120"/>
      <w:jc w:val="left"/>
    </w:pPr>
    <w:rPr>
      <w:rFonts w:ascii="Calibri" w:hAnsi="Calibri" w:cs="Calibri"/>
      <w:b/>
      <w:bCs/>
      <w:caps/>
      <w:sz w:val="20"/>
      <w:szCs w:val="20"/>
    </w:rPr>
  </w:style>
  <w:style w:type="paragraph" w:styleId="32">
    <w:name w:val="toc 4"/>
    <w:basedOn w:val="1"/>
    <w:next w:val="1"/>
    <w:autoRedefine/>
    <w:semiHidden/>
    <w:qFormat/>
    <w:uiPriority w:val="99"/>
    <w:pPr>
      <w:ind w:left="630"/>
      <w:jc w:val="left"/>
    </w:pPr>
    <w:rPr>
      <w:rFonts w:ascii="Calibri" w:hAnsi="Calibri" w:cs="Calibri"/>
      <w:sz w:val="18"/>
      <w:szCs w:val="18"/>
    </w:rPr>
  </w:style>
  <w:style w:type="paragraph" w:styleId="33">
    <w:name w:val="Subtitle"/>
    <w:basedOn w:val="1"/>
    <w:next w:val="1"/>
    <w:link w:val="84"/>
    <w:autoRedefine/>
    <w:qFormat/>
    <w:uiPriority w:val="99"/>
    <w:pPr>
      <w:spacing w:before="120" w:after="120"/>
      <w:jc w:val="center"/>
      <w:outlineLvl w:val="1"/>
    </w:pPr>
    <w:rPr>
      <w:rFonts w:ascii="Cambria" w:hAnsi="Cambria" w:cs="Cambria"/>
      <w:b/>
      <w:bCs/>
      <w:kern w:val="28"/>
      <w:sz w:val="24"/>
      <w:szCs w:val="24"/>
    </w:rPr>
  </w:style>
  <w:style w:type="paragraph" w:styleId="34">
    <w:name w:val="toc 6"/>
    <w:basedOn w:val="1"/>
    <w:next w:val="1"/>
    <w:autoRedefine/>
    <w:semiHidden/>
    <w:qFormat/>
    <w:uiPriority w:val="99"/>
    <w:pPr>
      <w:ind w:left="1050"/>
      <w:jc w:val="left"/>
    </w:pPr>
    <w:rPr>
      <w:rFonts w:ascii="Calibri" w:hAnsi="Calibri" w:cs="Calibri"/>
      <w:sz w:val="18"/>
      <w:szCs w:val="18"/>
    </w:rPr>
  </w:style>
  <w:style w:type="paragraph" w:styleId="35">
    <w:name w:val="Body Text Indent 3"/>
    <w:basedOn w:val="1"/>
    <w:link w:val="85"/>
    <w:autoRedefine/>
    <w:qFormat/>
    <w:uiPriority w:val="99"/>
    <w:pPr>
      <w:spacing w:after="120"/>
      <w:ind w:left="420" w:leftChars="200"/>
    </w:pPr>
    <w:rPr>
      <w:sz w:val="16"/>
      <w:szCs w:val="16"/>
    </w:rPr>
  </w:style>
  <w:style w:type="paragraph" w:styleId="36">
    <w:name w:val="toc 2"/>
    <w:basedOn w:val="1"/>
    <w:next w:val="1"/>
    <w:autoRedefine/>
    <w:semiHidden/>
    <w:qFormat/>
    <w:uiPriority w:val="99"/>
    <w:pPr>
      <w:ind w:left="210"/>
      <w:jc w:val="left"/>
    </w:pPr>
    <w:rPr>
      <w:rFonts w:ascii="Calibri" w:hAnsi="Calibri" w:cs="Calibri"/>
      <w:smallCaps/>
      <w:sz w:val="20"/>
      <w:szCs w:val="20"/>
    </w:rPr>
  </w:style>
  <w:style w:type="paragraph" w:styleId="37">
    <w:name w:val="Body Text 2"/>
    <w:basedOn w:val="1"/>
    <w:link w:val="86"/>
    <w:autoRedefine/>
    <w:qFormat/>
    <w:uiPriority w:val="99"/>
    <w:pPr>
      <w:jc w:val="center"/>
    </w:pPr>
    <w:rPr>
      <w:rFonts w:ascii="宋体" w:hAnsi="Arial" w:cs="宋体"/>
      <w:color w:val="000000"/>
    </w:rPr>
  </w:style>
  <w:style w:type="paragraph" w:styleId="38">
    <w:name w:val="HTML Preformatted"/>
    <w:basedOn w:val="1"/>
    <w:link w:val="87"/>
    <w:autoRedefine/>
    <w:qFormat/>
    <w:uiPriority w:val="99"/>
    <w:rPr>
      <w:rFonts w:ascii="Courier New" w:hAnsi="Courier New" w:cs="Courier New"/>
      <w:sz w:val="20"/>
      <w:szCs w:val="20"/>
    </w:rPr>
  </w:style>
  <w:style w:type="paragraph" w:styleId="39">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autoRedefine/>
    <w:semiHidden/>
    <w:qFormat/>
    <w:uiPriority w:val="99"/>
    <w:pPr>
      <w:spacing w:line="360" w:lineRule="auto"/>
    </w:pPr>
  </w:style>
  <w:style w:type="paragraph" w:styleId="41">
    <w:name w:val="index 2"/>
    <w:basedOn w:val="1"/>
    <w:next w:val="1"/>
    <w:autoRedefine/>
    <w:semiHidden/>
    <w:qFormat/>
    <w:uiPriority w:val="99"/>
    <w:pPr>
      <w:spacing w:line="360" w:lineRule="auto"/>
      <w:ind w:left="200" w:leftChars="200"/>
    </w:pPr>
  </w:style>
  <w:style w:type="paragraph" w:styleId="42">
    <w:name w:val="Title"/>
    <w:basedOn w:val="1"/>
    <w:next w:val="1"/>
    <w:link w:val="88"/>
    <w:autoRedefine/>
    <w:qFormat/>
    <w:uiPriority w:val="99"/>
    <w:pPr>
      <w:spacing w:before="240" w:after="60"/>
      <w:jc w:val="center"/>
      <w:outlineLvl w:val="0"/>
    </w:pPr>
    <w:rPr>
      <w:rFonts w:ascii="Cambria" w:hAnsi="Cambria" w:cs="Cambria"/>
      <w:b/>
      <w:bCs/>
      <w:sz w:val="36"/>
      <w:szCs w:val="36"/>
    </w:rPr>
  </w:style>
  <w:style w:type="paragraph" w:styleId="43">
    <w:name w:val="annotation subject"/>
    <w:basedOn w:val="15"/>
    <w:next w:val="15"/>
    <w:link w:val="89"/>
    <w:autoRedefine/>
    <w:semiHidden/>
    <w:qFormat/>
    <w:uiPriority w:val="99"/>
    <w:pPr>
      <w:adjustRightInd/>
      <w:spacing w:line="240" w:lineRule="auto"/>
      <w:textAlignment w:val="auto"/>
    </w:pPr>
    <w:rPr>
      <w:b/>
      <w:bCs/>
      <w:kern w:val="2"/>
      <w:sz w:val="21"/>
      <w:szCs w:val="21"/>
    </w:rPr>
  </w:style>
  <w:style w:type="paragraph" w:styleId="44">
    <w:name w:val="Body Text First Indent"/>
    <w:basedOn w:val="16"/>
    <w:link w:val="90"/>
    <w:autoRedefine/>
    <w:qFormat/>
    <w:uiPriority w:val="99"/>
    <w:pPr>
      <w:ind w:firstLine="200" w:firstLineChars="200"/>
    </w:pPr>
    <w:rPr>
      <w:rFonts w:eastAsia="仿宋_GB2312"/>
    </w:rPr>
  </w:style>
  <w:style w:type="paragraph" w:styleId="45">
    <w:name w:val="Body Text First Indent 2"/>
    <w:basedOn w:val="18"/>
    <w:link w:val="91"/>
    <w:qFormat/>
    <w:uiPriority w:val="99"/>
    <w:pPr>
      <w:ind w:firstLine="420" w:firstLineChars="200"/>
    </w:pPr>
  </w:style>
  <w:style w:type="table" w:styleId="47">
    <w:name w:val="Table Grid"/>
    <w:basedOn w:val="4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99"/>
    <w:rPr>
      <w:b/>
      <w:bCs/>
    </w:rPr>
  </w:style>
  <w:style w:type="character" w:styleId="50">
    <w:name w:val="page number"/>
    <w:basedOn w:val="48"/>
    <w:autoRedefine/>
    <w:qFormat/>
    <w:uiPriority w:val="99"/>
  </w:style>
  <w:style w:type="character" w:styleId="51">
    <w:name w:val="FollowedHyperlink"/>
    <w:basedOn w:val="48"/>
    <w:autoRedefine/>
    <w:qFormat/>
    <w:uiPriority w:val="99"/>
    <w:rPr>
      <w:color w:val="333333"/>
      <w:u w:val="none"/>
    </w:rPr>
  </w:style>
  <w:style w:type="character" w:styleId="52">
    <w:name w:val="Emphasis"/>
    <w:basedOn w:val="48"/>
    <w:autoRedefine/>
    <w:qFormat/>
    <w:uiPriority w:val="99"/>
    <w:rPr>
      <w:color w:val="auto"/>
      <w:sz w:val="18"/>
      <w:szCs w:val="18"/>
    </w:rPr>
  </w:style>
  <w:style w:type="character" w:styleId="53">
    <w:name w:val="HTML Definition"/>
    <w:basedOn w:val="48"/>
    <w:qFormat/>
    <w:uiPriority w:val="99"/>
  </w:style>
  <w:style w:type="character" w:styleId="54">
    <w:name w:val="HTML Typewriter"/>
    <w:basedOn w:val="48"/>
    <w:autoRedefine/>
    <w:qFormat/>
    <w:uiPriority w:val="99"/>
    <w:rPr>
      <w:rFonts w:ascii="monospace" w:hAnsi="monospace" w:eastAsia="Times New Roman" w:cs="monospace"/>
      <w:sz w:val="20"/>
      <w:szCs w:val="20"/>
      <w:bdr w:val="single" w:color="auto" w:sz="6" w:space="0"/>
      <w:shd w:val="clear" w:color="auto" w:fill="auto"/>
    </w:rPr>
  </w:style>
  <w:style w:type="character" w:styleId="55">
    <w:name w:val="HTML Acronym"/>
    <w:basedOn w:val="48"/>
    <w:autoRedefine/>
    <w:qFormat/>
    <w:uiPriority w:val="99"/>
  </w:style>
  <w:style w:type="character" w:styleId="56">
    <w:name w:val="HTML Variable"/>
    <w:basedOn w:val="48"/>
    <w:autoRedefine/>
    <w:qFormat/>
    <w:uiPriority w:val="99"/>
  </w:style>
  <w:style w:type="character" w:styleId="57">
    <w:name w:val="Hyperlink"/>
    <w:basedOn w:val="48"/>
    <w:autoRedefine/>
    <w:qFormat/>
    <w:uiPriority w:val="99"/>
    <w:rPr>
      <w:color w:val="333333"/>
      <w:u w:val="none"/>
    </w:rPr>
  </w:style>
  <w:style w:type="character" w:styleId="58">
    <w:name w:val="HTML Code"/>
    <w:basedOn w:val="48"/>
    <w:autoRedefine/>
    <w:qFormat/>
    <w:uiPriority w:val="99"/>
    <w:rPr>
      <w:rFonts w:ascii="Courier New" w:hAnsi="Courier New" w:cs="Courier New"/>
      <w:sz w:val="20"/>
      <w:szCs w:val="20"/>
    </w:rPr>
  </w:style>
  <w:style w:type="character" w:styleId="59">
    <w:name w:val="annotation reference"/>
    <w:basedOn w:val="48"/>
    <w:autoRedefine/>
    <w:semiHidden/>
    <w:qFormat/>
    <w:uiPriority w:val="99"/>
    <w:rPr>
      <w:sz w:val="21"/>
      <w:szCs w:val="21"/>
    </w:rPr>
  </w:style>
  <w:style w:type="character" w:styleId="60">
    <w:name w:val="HTML Cite"/>
    <w:basedOn w:val="48"/>
    <w:qFormat/>
    <w:uiPriority w:val="99"/>
  </w:style>
  <w:style w:type="character" w:styleId="61">
    <w:name w:val="footnote reference"/>
    <w:basedOn w:val="48"/>
    <w:autoRedefine/>
    <w:semiHidden/>
    <w:qFormat/>
    <w:uiPriority w:val="99"/>
    <w:rPr>
      <w:vertAlign w:val="superscript"/>
    </w:rPr>
  </w:style>
  <w:style w:type="character" w:styleId="62">
    <w:name w:val="HTML Keyboard"/>
    <w:basedOn w:val="48"/>
    <w:autoRedefine/>
    <w:qFormat/>
    <w:uiPriority w:val="99"/>
    <w:rPr>
      <w:rFonts w:ascii="monospace" w:hAnsi="monospace" w:eastAsia="Times New Roman" w:cs="monospace"/>
      <w:sz w:val="20"/>
      <w:szCs w:val="20"/>
    </w:rPr>
  </w:style>
  <w:style w:type="character" w:styleId="63">
    <w:name w:val="HTML Sample"/>
    <w:basedOn w:val="48"/>
    <w:autoRedefine/>
    <w:qFormat/>
    <w:uiPriority w:val="99"/>
    <w:rPr>
      <w:rFonts w:ascii="monospace" w:hAnsi="monospace" w:eastAsia="Times New Roman" w:cs="monospace"/>
    </w:rPr>
  </w:style>
  <w:style w:type="paragraph" w:customStyle="1" w:styleId="64">
    <w:name w:val="BodyText"/>
    <w:basedOn w:val="1"/>
    <w:autoRedefine/>
    <w:qFormat/>
    <w:uiPriority w:val="99"/>
    <w:pPr>
      <w:ind w:left="109"/>
      <w:textAlignment w:val="baseline"/>
    </w:pPr>
    <w:rPr>
      <w:rFonts w:ascii="宋体" w:hAnsi="宋体" w:cs="宋体"/>
      <w:sz w:val="32"/>
      <w:szCs w:val="32"/>
      <w:lang w:val="zh-CN"/>
    </w:rPr>
  </w:style>
  <w:style w:type="character" w:customStyle="1" w:styleId="65">
    <w:name w:val="Heading 1 Char"/>
    <w:basedOn w:val="48"/>
    <w:link w:val="2"/>
    <w:autoRedefine/>
    <w:qFormat/>
    <w:locked/>
    <w:uiPriority w:val="99"/>
    <w:rPr>
      <w:b/>
      <w:bCs/>
      <w:kern w:val="44"/>
      <w:sz w:val="44"/>
      <w:szCs w:val="44"/>
    </w:rPr>
  </w:style>
  <w:style w:type="character" w:customStyle="1" w:styleId="66">
    <w:name w:val="Heading 2 Char"/>
    <w:basedOn w:val="48"/>
    <w:link w:val="3"/>
    <w:autoRedefine/>
    <w:qFormat/>
    <w:locked/>
    <w:uiPriority w:val="99"/>
    <w:rPr>
      <w:rFonts w:ascii="Arial" w:hAnsi="Arial" w:eastAsia="黑体" w:cs="Arial"/>
      <w:b/>
      <w:bCs/>
      <w:sz w:val="24"/>
      <w:szCs w:val="24"/>
    </w:rPr>
  </w:style>
  <w:style w:type="character" w:customStyle="1" w:styleId="67">
    <w:name w:val="Heading 3 Char"/>
    <w:basedOn w:val="48"/>
    <w:link w:val="5"/>
    <w:autoRedefine/>
    <w:qFormat/>
    <w:locked/>
    <w:uiPriority w:val="99"/>
    <w:rPr>
      <w:b/>
      <w:bCs/>
      <w:sz w:val="24"/>
      <w:szCs w:val="24"/>
    </w:rPr>
  </w:style>
  <w:style w:type="character" w:customStyle="1" w:styleId="68">
    <w:name w:val="Heading 4 Char"/>
    <w:basedOn w:val="48"/>
    <w:link w:val="6"/>
    <w:autoRedefine/>
    <w:qFormat/>
    <w:locked/>
    <w:uiPriority w:val="99"/>
    <w:rPr>
      <w:rFonts w:ascii="Arial" w:hAnsi="Arial" w:eastAsia="黑体" w:cs="Arial"/>
      <w:b/>
      <w:bCs/>
      <w:kern w:val="2"/>
      <w:sz w:val="28"/>
      <w:szCs w:val="28"/>
    </w:rPr>
  </w:style>
  <w:style w:type="character" w:customStyle="1" w:styleId="69">
    <w:name w:val="Heading 5 Char"/>
    <w:basedOn w:val="48"/>
    <w:link w:val="7"/>
    <w:autoRedefine/>
    <w:qFormat/>
    <w:locked/>
    <w:uiPriority w:val="99"/>
    <w:rPr>
      <w:b/>
      <w:bCs/>
      <w:kern w:val="2"/>
      <w:sz w:val="28"/>
      <w:szCs w:val="28"/>
    </w:rPr>
  </w:style>
  <w:style w:type="character" w:customStyle="1" w:styleId="70">
    <w:name w:val="Heading 6 Char"/>
    <w:basedOn w:val="48"/>
    <w:link w:val="8"/>
    <w:autoRedefine/>
    <w:qFormat/>
    <w:locked/>
    <w:uiPriority w:val="99"/>
    <w:rPr>
      <w:rFonts w:ascii="Arial" w:hAnsi="Arial" w:eastAsia="黑体" w:cs="Arial"/>
      <w:b/>
      <w:bCs/>
      <w:kern w:val="2"/>
      <w:sz w:val="24"/>
      <w:szCs w:val="24"/>
    </w:rPr>
  </w:style>
  <w:style w:type="character" w:customStyle="1" w:styleId="71">
    <w:name w:val="Heading 7 Char"/>
    <w:basedOn w:val="48"/>
    <w:link w:val="9"/>
    <w:autoRedefine/>
    <w:qFormat/>
    <w:locked/>
    <w:uiPriority w:val="99"/>
    <w:rPr>
      <w:b/>
      <w:bCs/>
      <w:kern w:val="2"/>
      <w:sz w:val="24"/>
      <w:szCs w:val="24"/>
    </w:rPr>
  </w:style>
  <w:style w:type="character" w:customStyle="1" w:styleId="72">
    <w:name w:val="Heading 8 Char"/>
    <w:basedOn w:val="48"/>
    <w:link w:val="10"/>
    <w:qFormat/>
    <w:locked/>
    <w:uiPriority w:val="99"/>
    <w:rPr>
      <w:rFonts w:ascii="Arial" w:hAnsi="Arial" w:eastAsia="黑体" w:cs="Arial"/>
      <w:kern w:val="2"/>
      <w:sz w:val="24"/>
      <w:szCs w:val="24"/>
    </w:rPr>
  </w:style>
  <w:style w:type="character" w:customStyle="1" w:styleId="73">
    <w:name w:val="Heading 9 Char"/>
    <w:basedOn w:val="48"/>
    <w:link w:val="11"/>
    <w:autoRedefine/>
    <w:qFormat/>
    <w:locked/>
    <w:uiPriority w:val="99"/>
    <w:rPr>
      <w:rFonts w:ascii="Arial" w:hAnsi="Arial" w:eastAsia="黑体" w:cs="Arial"/>
      <w:kern w:val="2"/>
      <w:sz w:val="21"/>
      <w:szCs w:val="21"/>
    </w:rPr>
  </w:style>
  <w:style w:type="character" w:customStyle="1" w:styleId="74">
    <w:name w:val="Document Map Char"/>
    <w:basedOn w:val="48"/>
    <w:link w:val="14"/>
    <w:autoRedefine/>
    <w:qFormat/>
    <w:locked/>
    <w:uiPriority w:val="99"/>
    <w:rPr>
      <w:rFonts w:ascii="宋体" w:cs="宋体"/>
      <w:kern w:val="2"/>
      <w:sz w:val="18"/>
      <w:szCs w:val="18"/>
    </w:rPr>
  </w:style>
  <w:style w:type="character" w:customStyle="1" w:styleId="75">
    <w:name w:val="Comment Text Char"/>
    <w:basedOn w:val="48"/>
    <w:link w:val="15"/>
    <w:autoRedefine/>
    <w:semiHidden/>
    <w:qFormat/>
    <w:locked/>
    <w:uiPriority w:val="99"/>
    <w:rPr>
      <w:sz w:val="24"/>
      <w:szCs w:val="24"/>
    </w:rPr>
  </w:style>
  <w:style w:type="character" w:customStyle="1" w:styleId="76">
    <w:name w:val="Body Text Char"/>
    <w:basedOn w:val="48"/>
    <w:link w:val="16"/>
    <w:autoRedefine/>
    <w:semiHidden/>
    <w:qFormat/>
    <w:uiPriority w:val="99"/>
    <w:rPr>
      <w:szCs w:val="21"/>
    </w:rPr>
  </w:style>
  <w:style w:type="character" w:customStyle="1" w:styleId="77">
    <w:name w:val="Body Text Indent Char"/>
    <w:basedOn w:val="48"/>
    <w:link w:val="18"/>
    <w:autoRedefine/>
    <w:semiHidden/>
    <w:qFormat/>
    <w:uiPriority w:val="99"/>
    <w:rPr>
      <w:szCs w:val="21"/>
    </w:rPr>
  </w:style>
  <w:style w:type="character" w:customStyle="1" w:styleId="78">
    <w:name w:val="Plain Text Char"/>
    <w:basedOn w:val="48"/>
    <w:link w:val="23"/>
    <w:autoRedefine/>
    <w:qFormat/>
    <w:locked/>
    <w:uiPriority w:val="99"/>
    <w:rPr>
      <w:rFonts w:ascii="宋体" w:hAnsi="Courier New" w:cs="宋体"/>
      <w:kern w:val="2"/>
      <w:sz w:val="24"/>
      <w:szCs w:val="24"/>
    </w:rPr>
  </w:style>
  <w:style w:type="character" w:customStyle="1" w:styleId="79">
    <w:name w:val="Date Char"/>
    <w:basedOn w:val="48"/>
    <w:link w:val="25"/>
    <w:qFormat/>
    <w:locked/>
    <w:uiPriority w:val="99"/>
    <w:rPr>
      <w:rFonts w:eastAsia="宋体"/>
      <w:kern w:val="2"/>
      <w:sz w:val="24"/>
      <w:szCs w:val="24"/>
      <w:lang w:val="en-US" w:eastAsia="zh-CN"/>
    </w:rPr>
  </w:style>
  <w:style w:type="character" w:customStyle="1" w:styleId="80">
    <w:name w:val="Body Text Indent 2 Char"/>
    <w:basedOn w:val="48"/>
    <w:link w:val="26"/>
    <w:autoRedefine/>
    <w:qFormat/>
    <w:locked/>
    <w:uiPriority w:val="99"/>
    <w:rPr>
      <w:kern w:val="2"/>
      <w:sz w:val="28"/>
      <w:szCs w:val="28"/>
    </w:rPr>
  </w:style>
  <w:style w:type="character" w:customStyle="1" w:styleId="81">
    <w:name w:val="Balloon Text Char"/>
    <w:basedOn w:val="48"/>
    <w:link w:val="27"/>
    <w:autoRedefine/>
    <w:semiHidden/>
    <w:qFormat/>
    <w:uiPriority w:val="99"/>
    <w:rPr>
      <w:sz w:val="0"/>
      <w:szCs w:val="0"/>
    </w:rPr>
  </w:style>
  <w:style w:type="character" w:customStyle="1" w:styleId="82">
    <w:name w:val="Footer Char"/>
    <w:basedOn w:val="48"/>
    <w:link w:val="28"/>
    <w:autoRedefine/>
    <w:qFormat/>
    <w:locked/>
    <w:uiPriority w:val="99"/>
    <w:rPr>
      <w:rFonts w:eastAsia="宋体"/>
      <w:kern w:val="2"/>
      <w:sz w:val="18"/>
      <w:szCs w:val="18"/>
      <w:lang w:val="en-US" w:eastAsia="zh-CN"/>
    </w:rPr>
  </w:style>
  <w:style w:type="character" w:customStyle="1" w:styleId="83">
    <w:name w:val="Header Char"/>
    <w:basedOn w:val="48"/>
    <w:link w:val="30"/>
    <w:autoRedefine/>
    <w:qFormat/>
    <w:locked/>
    <w:uiPriority w:val="99"/>
    <w:rPr>
      <w:kern w:val="2"/>
      <w:sz w:val="18"/>
      <w:szCs w:val="18"/>
      <w:lang w:val="en-US" w:eastAsia="zh-CN"/>
    </w:rPr>
  </w:style>
  <w:style w:type="character" w:customStyle="1" w:styleId="84">
    <w:name w:val="Subtitle Char"/>
    <w:basedOn w:val="48"/>
    <w:link w:val="33"/>
    <w:autoRedefine/>
    <w:qFormat/>
    <w:locked/>
    <w:uiPriority w:val="99"/>
    <w:rPr>
      <w:rFonts w:ascii="Cambria" w:hAnsi="Cambria" w:cs="Cambria"/>
      <w:b/>
      <w:bCs/>
      <w:kern w:val="28"/>
      <w:sz w:val="32"/>
      <w:szCs w:val="32"/>
    </w:rPr>
  </w:style>
  <w:style w:type="character" w:customStyle="1" w:styleId="85">
    <w:name w:val="Body Text Indent 3 Char"/>
    <w:basedOn w:val="48"/>
    <w:link w:val="35"/>
    <w:autoRedefine/>
    <w:semiHidden/>
    <w:qFormat/>
    <w:uiPriority w:val="99"/>
    <w:rPr>
      <w:sz w:val="16"/>
      <w:szCs w:val="16"/>
    </w:rPr>
  </w:style>
  <w:style w:type="character" w:customStyle="1" w:styleId="86">
    <w:name w:val="Body Text 2 Char"/>
    <w:basedOn w:val="48"/>
    <w:link w:val="37"/>
    <w:autoRedefine/>
    <w:semiHidden/>
    <w:qFormat/>
    <w:uiPriority w:val="99"/>
    <w:rPr>
      <w:szCs w:val="21"/>
    </w:rPr>
  </w:style>
  <w:style w:type="character" w:customStyle="1" w:styleId="87">
    <w:name w:val="HTML Preformatted Char"/>
    <w:basedOn w:val="48"/>
    <w:link w:val="38"/>
    <w:autoRedefine/>
    <w:qFormat/>
    <w:locked/>
    <w:uiPriority w:val="99"/>
    <w:rPr>
      <w:rFonts w:ascii="Courier New" w:hAnsi="Courier New" w:cs="Courier New"/>
      <w:kern w:val="2"/>
    </w:rPr>
  </w:style>
  <w:style w:type="character" w:customStyle="1" w:styleId="88">
    <w:name w:val="Title Char"/>
    <w:basedOn w:val="48"/>
    <w:link w:val="42"/>
    <w:autoRedefine/>
    <w:qFormat/>
    <w:locked/>
    <w:uiPriority w:val="99"/>
    <w:rPr>
      <w:rFonts w:ascii="Cambria" w:hAnsi="Cambria" w:cs="Cambria"/>
      <w:b/>
      <w:bCs/>
      <w:kern w:val="2"/>
      <w:sz w:val="32"/>
      <w:szCs w:val="32"/>
    </w:rPr>
  </w:style>
  <w:style w:type="character" w:customStyle="1" w:styleId="89">
    <w:name w:val="Comment Subject Char"/>
    <w:basedOn w:val="75"/>
    <w:link w:val="43"/>
    <w:autoRedefine/>
    <w:qFormat/>
    <w:locked/>
    <w:uiPriority w:val="99"/>
    <w:rPr>
      <w:b/>
      <w:bCs/>
      <w:kern w:val="2"/>
    </w:rPr>
  </w:style>
  <w:style w:type="character" w:customStyle="1" w:styleId="90">
    <w:name w:val="Body Text First Indent Char"/>
    <w:basedOn w:val="76"/>
    <w:link w:val="44"/>
    <w:autoRedefine/>
    <w:semiHidden/>
    <w:qFormat/>
    <w:uiPriority w:val="99"/>
  </w:style>
  <w:style w:type="character" w:customStyle="1" w:styleId="91">
    <w:name w:val="Body Text First Indent 2 Char"/>
    <w:basedOn w:val="77"/>
    <w:link w:val="45"/>
    <w:autoRedefine/>
    <w:semiHidden/>
    <w:qFormat/>
    <w:uiPriority w:val="99"/>
  </w:style>
  <w:style w:type="character" w:customStyle="1" w:styleId="92">
    <w:name w:val="Normal Indent Char"/>
    <w:link w:val="4"/>
    <w:autoRedefine/>
    <w:qFormat/>
    <w:locked/>
    <w:uiPriority w:val="99"/>
    <w:rPr>
      <w:kern w:val="2"/>
      <w:sz w:val="24"/>
      <w:szCs w:val="24"/>
    </w:rPr>
  </w:style>
  <w:style w:type="character" w:customStyle="1" w:styleId="93">
    <w:name w:val="Char Char19"/>
    <w:autoRedefine/>
    <w:qFormat/>
    <w:uiPriority w:val="99"/>
    <w:rPr>
      <w:rFonts w:ascii="Arial" w:hAnsi="Arial" w:cs="Arial"/>
      <w:b/>
      <w:bCs/>
      <w:kern w:val="2"/>
      <w:sz w:val="28"/>
      <w:szCs w:val="28"/>
    </w:rPr>
  </w:style>
  <w:style w:type="paragraph" w:customStyle="1" w:styleId="94">
    <w:name w:val="TOC 标题1"/>
    <w:basedOn w:val="2"/>
    <w:next w:val="1"/>
    <w:autoRedefine/>
    <w:qFormat/>
    <w:uiPriority w:val="99"/>
    <w:pPr>
      <w:widowControl/>
      <w:spacing w:before="480" w:after="0" w:line="276" w:lineRule="auto"/>
      <w:outlineLvl w:val="9"/>
    </w:pPr>
    <w:rPr>
      <w:rFonts w:ascii="Cambria" w:hAnsi="Cambria" w:cs="Cambria"/>
      <w:color w:val="365F91"/>
      <w:kern w:val="0"/>
    </w:rPr>
  </w:style>
  <w:style w:type="character" w:customStyle="1" w:styleId="95">
    <w:name w:val="标题 1 Char1"/>
    <w:autoRedefine/>
    <w:qFormat/>
    <w:uiPriority w:val="99"/>
    <w:rPr>
      <w:rFonts w:ascii="宋体" w:hAnsi="宋体" w:eastAsia="宋体" w:cs="宋体"/>
      <w:b/>
      <w:bCs/>
      <w:kern w:val="44"/>
      <w:sz w:val="32"/>
      <w:szCs w:val="32"/>
    </w:rPr>
  </w:style>
  <w:style w:type="character" w:customStyle="1" w:styleId="96">
    <w:name w:val="样式 标题 1 + 加粗 Char"/>
    <w:autoRedefine/>
    <w:qFormat/>
    <w:uiPriority w:val="99"/>
    <w:rPr>
      <w:rFonts w:eastAsia="黑体"/>
      <w:b/>
      <w:bCs/>
      <w:kern w:val="44"/>
      <w:sz w:val="28"/>
      <w:szCs w:val="28"/>
      <w:lang w:val="en-US" w:eastAsia="zh-CN"/>
    </w:rPr>
  </w:style>
  <w:style w:type="character" w:customStyle="1" w:styleId="97">
    <w:name w:val="Char Char1"/>
    <w:autoRedefine/>
    <w:qFormat/>
    <w:uiPriority w:val="99"/>
    <w:rPr>
      <w:rFonts w:eastAsia="宋体"/>
      <w:b/>
      <w:bCs/>
      <w:kern w:val="44"/>
      <w:sz w:val="44"/>
      <w:szCs w:val="44"/>
      <w:lang w:val="en-US" w:eastAsia="zh-CN"/>
    </w:rPr>
  </w:style>
  <w:style w:type="character" w:customStyle="1" w:styleId="98">
    <w:name w:val="Char Char"/>
    <w:autoRedefine/>
    <w:qFormat/>
    <w:uiPriority w:val="99"/>
    <w:rPr>
      <w:rFonts w:ascii="Arial" w:hAnsi="Arial" w:eastAsia="宋体" w:cs="Arial"/>
      <w:b/>
      <w:bCs/>
      <w:kern w:val="2"/>
      <w:sz w:val="32"/>
      <w:szCs w:val="32"/>
      <w:lang w:val="en-US" w:eastAsia="zh-CN"/>
    </w:rPr>
  </w:style>
  <w:style w:type="character" w:customStyle="1" w:styleId="99">
    <w:name w:val="th_font1"/>
    <w:autoRedefine/>
    <w:qFormat/>
    <w:uiPriority w:val="99"/>
    <w:rPr>
      <w:color w:val="333333"/>
      <w:sz w:val="18"/>
      <w:szCs w:val="18"/>
      <w:u w:val="none"/>
    </w:rPr>
  </w:style>
  <w:style w:type="character" w:customStyle="1" w:styleId="100">
    <w:name w:val="纯文本 Char1"/>
    <w:autoRedefine/>
    <w:qFormat/>
    <w:uiPriority w:val="99"/>
    <w:rPr>
      <w:rFonts w:ascii="宋体" w:hAnsi="Courier New" w:cs="宋体"/>
      <w:kern w:val="2"/>
      <w:sz w:val="24"/>
      <w:szCs w:val="24"/>
    </w:rPr>
  </w:style>
  <w:style w:type="character" w:customStyle="1" w:styleId="101">
    <w:name w:val="apple-converted-space"/>
    <w:autoRedefine/>
    <w:qFormat/>
    <w:uiPriority w:val="99"/>
  </w:style>
  <w:style w:type="character" w:customStyle="1" w:styleId="102">
    <w:name w:val="标题 2 Char1"/>
    <w:autoRedefine/>
    <w:qFormat/>
    <w:uiPriority w:val="99"/>
    <w:rPr>
      <w:rFonts w:ascii="Arial" w:hAnsi="Arial" w:eastAsia="宋体" w:cs="Arial"/>
      <w:b/>
      <w:bCs/>
      <w:sz w:val="32"/>
      <w:szCs w:val="32"/>
    </w:rPr>
  </w:style>
  <w:style w:type="paragraph" w:customStyle="1" w:styleId="103">
    <w:name w:val="_Style 29"/>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04">
    <w:name w:val="【正文】"/>
    <w:basedOn w:val="1"/>
    <w:autoRedefine/>
    <w:qFormat/>
    <w:uiPriority w:val="99"/>
    <w:pPr>
      <w:spacing w:line="360" w:lineRule="auto"/>
      <w:ind w:firstLine="480" w:firstLineChars="200"/>
    </w:pPr>
    <w:rPr>
      <w:sz w:val="24"/>
      <w:szCs w:val="24"/>
    </w:rPr>
  </w:style>
  <w:style w:type="paragraph" w:customStyle="1" w:styleId="105">
    <w:name w:val="Char Char Char Char"/>
    <w:basedOn w:val="39"/>
    <w:next w:val="1"/>
    <w:autoRedefine/>
    <w:qFormat/>
    <w:uiPriority w:val="99"/>
    <w:pPr>
      <w:widowControl w:val="0"/>
      <w:shd w:val="clear" w:color="auto" w:fill="000080"/>
      <w:adjustRightInd w:val="0"/>
      <w:snapToGrid w:val="0"/>
      <w:spacing w:before="0" w:beforeAutospacing="0" w:after="0" w:afterAutospacing="0" w:line="360" w:lineRule="auto"/>
      <w:jc w:val="both"/>
    </w:pPr>
    <w:rPr>
      <w:kern w:val="2"/>
    </w:rPr>
  </w:style>
  <w:style w:type="paragraph" w:customStyle="1" w:styleId="106">
    <w:name w:val="样式 标题 1 + 首行缩进:  2 字符 段前: 1 行 段后: 1 行"/>
    <w:basedOn w:val="2"/>
    <w:autoRedefine/>
    <w:qFormat/>
    <w:uiPriority w:val="99"/>
    <w:pPr>
      <w:keepNext w:val="0"/>
      <w:keepLines w:val="0"/>
      <w:spacing w:beforeLines="100" w:afterLines="100"/>
      <w:jc w:val="both"/>
    </w:pPr>
    <w:rPr>
      <w:rFonts w:ascii="宋体" w:hAnsi="宋体" w:cs="宋体"/>
      <w:sz w:val="24"/>
      <w:szCs w:val="24"/>
    </w:rPr>
  </w:style>
  <w:style w:type="paragraph" w:customStyle="1" w:styleId="107">
    <w:name w:val="_Style 1"/>
    <w:basedOn w:val="1"/>
    <w:autoRedefine/>
    <w:qFormat/>
    <w:uiPriority w:val="99"/>
    <w:pPr>
      <w:ind w:firstLine="420" w:firstLineChars="200"/>
    </w:pPr>
  </w:style>
  <w:style w:type="paragraph" w:customStyle="1" w:styleId="108">
    <w:name w:val="p0"/>
    <w:basedOn w:val="1"/>
    <w:autoRedefine/>
    <w:qFormat/>
    <w:uiPriority w:val="99"/>
    <w:pPr>
      <w:widowControl/>
    </w:pPr>
    <w:rPr>
      <w:kern w:val="0"/>
    </w:rPr>
  </w:style>
  <w:style w:type="paragraph" w:customStyle="1" w:styleId="109">
    <w:name w:val="样式1"/>
    <w:basedOn w:val="1"/>
    <w:autoRedefine/>
    <w:qFormat/>
    <w:uiPriority w:val="99"/>
    <w:pPr>
      <w:numPr>
        <w:ilvl w:val="0"/>
        <w:numId w:val="1"/>
      </w:numPr>
      <w:tabs>
        <w:tab w:val="left" w:pos="709"/>
        <w:tab w:val="clear" w:pos="1200"/>
      </w:tabs>
      <w:adjustRightInd w:val="0"/>
      <w:textAlignment w:val="baseline"/>
    </w:pPr>
    <w:rPr>
      <w:rFonts w:ascii="宋体" w:hAnsi="宋体" w:cs="宋体"/>
      <w:kern w:val="0"/>
    </w:rPr>
  </w:style>
  <w:style w:type="paragraph" w:customStyle="1" w:styleId="110">
    <w:name w:val="样式"/>
    <w:autoRedefine/>
    <w:qFormat/>
    <w:uiPriority w:val="99"/>
    <w:pPr>
      <w:widowControl w:val="0"/>
      <w:autoSpaceDE w:val="0"/>
      <w:autoSpaceDN w:val="0"/>
      <w:adjustRightInd w:val="0"/>
      <w:spacing w:after="200" w:line="276" w:lineRule="auto"/>
      <w:jc w:val="both"/>
    </w:pPr>
    <w:rPr>
      <w:rFonts w:ascii="宋体" w:hAnsi="Times New Roman" w:eastAsia="宋体" w:cs="宋体"/>
      <w:kern w:val="0"/>
      <w:sz w:val="24"/>
      <w:szCs w:val="24"/>
      <w:lang w:val="en-US" w:eastAsia="en-US" w:bidi="ar-SA"/>
    </w:rPr>
  </w:style>
  <w:style w:type="paragraph" w:customStyle="1" w:styleId="111">
    <w:name w:val="Default"/>
    <w:autoRedefine/>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2">
    <w:name w:val="1"/>
    <w:basedOn w:val="1"/>
    <w:next w:val="16"/>
    <w:autoRedefine/>
    <w:qFormat/>
    <w:uiPriority w:val="99"/>
    <w:pPr>
      <w:autoSpaceDE w:val="0"/>
      <w:autoSpaceDN w:val="0"/>
      <w:adjustRightInd w:val="0"/>
      <w:spacing w:line="360" w:lineRule="auto"/>
      <w:jc w:val="left"/>
      <w:textAlignment w:val="baseline"/>
    </w:pPr>
    <w:rPr>
      <w:rFonts w:ascii="宋体" w:cs="宋体"/>
      <w:kern w:val="0"/>
      <w:sz w:val="28"/>
      <w:szCs w:val="28"/>
    </w:rPr>
  </w:style>
  <w:style w:type="paragraph" w:customStyle="1" w:styleId="113">
    <w:name w:val="样式 标题 2 + Times New Roman 四号 非加粗 段前: 5 磅 段后: 0 磅 行距: 固定值 20..."/>
    <w:basedOn w:val="3"/>
    <w:autoRedefine/>
    <w:qFormat/>
    <w:uiPriority w:val="99"/>
    <w:pPr>
      <w:adjustRightInd/>
      <w:spacing w:before="100" w:line="400" w:lineRule="exact"/>
      <w:textAlignment w:val="auto"/>
    </w:pPr>
    <w:rPr>
      <w:rFonts w:ascii="Times New Roman" w:hAnsi="Times New Roman" w:eastAsia="宋体" w:cs="Times New Roman"/>
      <w:sz w:val="28"/>
      <w:szCs w:val="28"/>
    </w:rPr>
  </w:style>
  <w:style w:type="paragraph" w:customStyle="1" w:styleId="114">
    <w:name w:val="标3"/>
    <w:basedOn w:val="1"/>
    <w:autoRedefine/>
    <w:qFormat/>
    <w:uiPriority w:val="99"/>
    <w:pPr>
      <w:tabs>
        <w:tab w:val="left" w:pos="1740"/>
      </w:tabs>
      <w:adjustRightInd w:val="0"/>
      <w:snapToGrid w:val="0"/>
      <w:spacing w:before="50" w:line="360" w:lineRule="auto"/>
      <w:ind w:left="1740" w:hanging="420"/>
      <w:outlineLvl w:val="2"/>
    </w:pPr>
    <w:rPr>
      <w:rFonts w:ascii="Arial Narrow" w:hAnsi="Arial Narrow" w:eastAsia="仿宋_GB2312" w:cs="Arial Narrow"/>
      <w:sz w:val="28"/>
      <w:szCs w:val="28"/>
    </w:rPr>
  </w:style>
  <w:style w:type="paragraph" w:styleId="115">
    <w:name w:val="List Paragraph"/>
    <w:basedOn w:val="1"/>
    <w:autoRedefine/>
    <w:qFormat/>
    <w:uiPriority w:val="99"/>
    <w:pPr>
      <w:ind w:firstLine="420" w:firstLineChars="200"/>
    </w:pPr>
  </w:style>
  <w:style w:type="paragraph" w:customStyle="1" w:styleId="116">
    <w:name w:val="Normal1"/>
    <w:autoRedefine/>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117">
    <w:name w:val="样式 标题 1 + 加粗"/>
    <w:basedOn w:val="2"/>
    <w:autoRedefine/>
    <w:qFormat/>
    <w:uiPriority w:val="99"/>
    <w:pPr>
      <w:spacing w:before="100" w:after="100"/>
      <w:jc w:val="both"/>
    </w:pPr>
    <w:rPr>
      <w:rFonts w:eastAsia="黑体"/>
    </w:rPr>
  </w:style>
  <w:style w:type="paragraph" w:customStyle="1" w:styleId="118">
    <w:name w:val="样式 样式 标题 2 + 段前: 0.5 行 段后: 0.5 行 + 首行缩进:  2 字符 段前: 0.5 行 段后: 0..."/>
    <w:basedOn w:val="1"/>
    <w:autoRedefine/>
    <w:qFormat/>
    <w:uiPriority w:val="99"/>
    <w:pPr>
      <w:keepNext/>
      <w:keepLines/>
      <w:spacing w:beforeLines="50" w:afterLines="50"/>
      <w:outlineLvl w:val="1"/>
    </w:pPr>
    <w:rPr>
      <w:rFonts w:hAnsi="宋体"/>
      <w:b/>
      <w:bCs/>
      <w:sz w:val="24"/>
      <w:szCs w:val="24"/>
    </w:rPr>
  </w:style>
  <w:style w:type="paragraph" w:customStyle="1" w:styleId="119">
    <w:name w:val="样式3"/>
    <w:basedOn w:val="23"/>
    <w:autoRedefine/>
    <w:qFormat/>
    <w:uiPriority w:val="99"/>
    <w:pPr>
      <w:spacing w:line="240" w:lineRule="atLeast"/>
      <w:outlineLvl w:val="0"/>
    </w:pPr>
    <w:rPr>
      <w:sz w:val="28"/>
      <w:szCs w:val="28"/>
    </w:rPr>
  </w:style>
  <w:style w:type="paragraph" w:customStyle="1" w:styleId="120">
    <w:name w:val="没有缩进（为图形使用）"/>
    <w:basedOn w:val="1"/>
    <w:autoRedefine/>
    <w:qFormat/>
    <w:uiPriority w:val="99"/>
    <w:pPr>
      <w:spacing w:before="120" w:after="120" w:line="360" w:lineRule="auto"/>
    </w:pPr>
    <w:rPr>
      <w:sz w:val="24"/>
      <w:szCs w:val="24"/>
    </w:rPr>
  </w:style>
  <w:style w:type="paragraph" w:customStyle="1" w:styleId="121">
    <w:name w:val="Char"/>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22">
    <w:name w:val="标题4"/>
    <w:basedOn w:val="1"/>
    <w:autoRedefine/>
    <w:qFormat/>
    <w:uiPriority w:val="99"/>
    <w:pPr>
      <w:spacing w:beforeLines="100" w:afterLines="100" w:line="360" w:lineRule="auto"/>
    </w:pPr>
    <w:rPr>
      <w:sz w:val="28"/>
      <w:szCs w:val="28"/>
    </w:rPr>
  </w:style>
  <w:style w:type="paragraph" w:customStyle="1" w:styleId="123">
    <w:name w:val="注"/>
    <w:basedOn w:val="1"/>
    <w:autoRedefine/>
    <w:qFormat/>
    <w:uiPriority w:val="99"/>
    <w:pPr>
      <w:adjustRightInd w:val="0"/>
      <w:spacing w:line="420" w:lineRule="atLeast"/>
      <w:ind w:firstLine="340"/>
      <w:textAlignment w:val="baseline"/>
    </w:pPr>
    <w:rPr>
      <w:kern w:val="0"/>
      <w:sz w:val="18"/>
      <w:szCs w:val="18"/>
    </w:rPr>
  </w:style>
  <w:style w:type="paragraph" w:customStyle="1" w:styleId="124">
    <w:name w:val="列出段落1"/>
    <w:basedOn w:val="1"/>
    <w:autoRedefine/>
    <w:qFormat/>
    <w:uiPriority w:val="99"/>
    <w:pPr>
      <w:spacing w:line="360" w:lineRule="auto"/>
      <w:ind w:firstLine="420" w:firstLineChars="200"/>
    </w:pPr>
    <w:rPr>
      <w:rFonts w:ascii="Calibri" w:hAnsi="Calibri" w:cs="Calibri"/>
    </w:rPr>
  </w:style>
  <w:style w:type="paragraph" w:customStyle="1" w:styleId="125">
    <w:name w:val="Char Char2"/>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样式 标题 2 + 宋体 五号 非加粗 黑色"/>
    <w:basedOn w:val="3"/>
    <w:autoRedefine/>
    <w:qFormat/>
    <w:uiPriority w:val="99"/>
    <w:pPr>
      <w:spacing w:before="260" w:after="260" w:line="416" w:lineRule="atLeast"/>
      <w:jc w:val="left"/>
    </w:pPr>
    <w:rPr>
      <w:rFonts w:ascii="宋体" w:hAnsi="宋体" w:eastAsia="宋体" w:cs="宋体"/>
      <w:b w:val="0"/>
      <w:bCs w:val="0"/>
      <w:color w:val="000000"/>
      <w:sz w:val="21"/>
      <w:szCs w:val="21"/>
    </w:rPr>
  </w:style>
  <w:style w:type="paragraph" w:customStyle="1" w:styleId="127">
    <w:name w:val="msonormalcxspmiddle"/>
    <w:basedOn w:val="1"/>
    <w:autoRedefine/>
    <w:qFormat/>
    <w:uiPriority w:val="99"/>
    <w:pPr>
      <w:widowControl/>
      <w:spacing w:before="100" w:beforeAutospacing="1" w:after="100" w:afterAutospacing="1"/>
      <w:jc w:val="left"/>
    </w:pPr>
    <w:rPr>
      <w:rFonts w:ascii="宋体" w:cs="宋体"/>
      <w:kern w:val="0"/>
    </w:rPr>
  </w:style>
  <w:style w:type="paragraph" w:customStyle="1" w:styleId="128">
    <w:name w:val="表中"/>
    <w:basedOn w:val="1"/>
    <w:autoRedefine/>
    <w:qFormat/>
    <w:uiPriority w:val="99"/>
    <w:pPr>
      <w:adjustRightInd w:val="0"/>
      <w:snapToGrid w:val="0"/>
      <w:spacing w:line="420" w:lineRule="atLeast"/>
      <w:jc w:val="center"/>
      <w:textAlignment w:val="baseline"/>
    </w:pPr>
    <w:rPr>
      <w:kern w:val="0"/>
    </w:rPr>
  </w:style>
  <w:style w:type="paragraph" w:customStyle="1" w:styleId="129">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table" w:customStyle="1" w:styleId="130">
    <w:name w:val="Table Normal1"/>
    <w:autoRedefine/>
    <w:semiHidden/>
    <w:qFormat/>
    <w:uiPriority w:val="99"/>
    <w:rPr>
      <w:rFonts w:ascii="Calibri" w:hAnsi="Calibri" w:cs="Calibri"/>
      <w:szCs w:val="21"/>
    </w:rPr>
    <w:tblPr>
      <w:tblCellMar>
        <w:top w:w="0" w:type="dxa"/>
        <w:left w:w="108" w:type="dxa"/>
        <w:bottom w:w="0" w:type="dxa"/>
        <w:right w:w="108" w:type="dxa"/>
      </w:tblCellMar>
    </w:tblPr>
  </w:style>
  <w:style w:type="paragraph" w:customStyle="1" w:styleId="131">
    <w:name w:val="图"/>
    <w:basedOn w:val="1"/>
    <w:autoRedefine/>
    <w:qFormat/>
    <w:uiPriority w:val="99"/>
    <w:pPr>
      <w:keepNext/>
      <w:adjustRightInd w:val="0"/>
      <w:spacing w:before="60" w:after="60" w:line="300" w:lineRule="auto"/>
      <w:jc w:val="center"/>
      <w:textAlignment w:val="center"/>
    </w:pPr>
    <w:rPr>
      <w:spacing w:val="20"/>
      <w:kern w:val="0"/>
    </w:rPr>
  </w:style>
  <w:style w:type="paragraph" w:customStyle="1" w:styleId="132">
    <w:name w:val="WPSOffice手动目录 1"/>
    <w:autoRedefine/>
    <w:qFormat/>
    <w:uiPriority w:val="99"/>
    <w:rPr>
      <w:rFonts w:ascii="Times New Roman" w:hAnsi="Times New Roman" w:eastAsia="宋体" w:cs="Times New Roman"/>
      <w:kern w:val="0"/>
      <w:sz w:val="20"/>
      <w:szCs w:val="20"/>
      <w:lang w:val="en-US" w:eastAsia="zh-CN" w:bidi="ar-SA"/>
    </w:rPr>
  </w:style>
  <w:style w:type="paragraph" w:customStyle="1" w:styleId="133">
    <w:name w:val="WPSOffice手动目录 3"/>
    <w:autoRedefine/>
    <w:qFormat/>
    <w:uiPriority w:val="99"/>
    <w:pPr>
      <w:ind w:left="400" w:leftChars="400"/>
    </w:pPr>
    <w:rPr>
      <w:rFonts w:ascii="Times New Roman" w:hAnsi="Times New Roman" w:eastAsia="宋体" w:cs="Times New Roman"/>
      <w:kern w:val="0"/>
      <w:sz w:val="20"/>
      <w:szCs w:val="20"/>
      <w:lang w:val="en-US" w:eastAsia="zh-CN" w:bidi="ar-SA"/>
    </w:rPr>
  </w:style>
  <w:style w:type="paragraph" w:customStyle="1" w:styleId="134">
    <w:name w:val="WPSOffice手动目录 2"/>
    <w:autoRedefine/>
    <w:qFormat/>
    <w:uiPriority w:val="99"/>
    <w:pPr>
      <w:ind w:left="200" w:leftChars="200"/>
    </w:pPr>
    <w:rPr>
      <w:rFonts w:ascii="Times New Roman" w:hAnsi="Times New Roman" w:eastAsia="宋体" w:cs="Times New Roman"/>
      <w:kern w:val="0"/>
      <w:sz w:val="20"/>
      <w:szCs w:val="20"/>
      <w:lang w:val="en-US" w:eastAsia="zh-CN" w:bidi="ar-SA"/>
    </w:rPr>
  </w:style>
  <w:style w:type="character" w:customStyle="1" w:styleId="135">
    <w:name w:val="font11"/>
    <w:autoRedefine/>
    <w:qFormat/>
    <w:uiPriority w:val="99"/>
    <w:rPr>
      <w:rFonts w:ascii="宋体" w:hAnsi="宋体" w:eastAsia="宋体" w:cs="宋体"/>
      <w:color w:val="000000"/>
      <w:sz w:val="20"/>
      <w:szCs w:val="20"/>
      <w:u w:val="none"/>
    </w:rPr>
  </w:style>
  <w:style w:type="character" w:customStyle="1" w:styleId="136">
    <w:name w:val="font31"/>
    <w:qFormat/>
    <w:uiPriority w:val="99"/>
    <w:rPr>
      <w:rFonts w:ascii="宋体" w:hAnsi="宋体" w:eastAsia="宋体" w:cs="宋体"/>
      <w:b/>
      <w:bCs/>
      <w:color w:val="000000"/>
      <w:sz w:val="20"/>
      <w:szCs w:val="20"/>
      <w:u w:val="none"/>
    </w:rPr>
  </w:style>
  <w:style w:type="character" w:customStyle="1" w:styleId="137">
    <w:name w:val="font01"/>
    <w:autoRedefine/>
    <w:qFormat/>
    <w:uiPriority w:val="99"/>
    <w:rPr>
      <w:rFonts w:ascii="宋体" w:hAnsi="宋体" w:eastAsia="宋体" w:cs="宋体"/>
      <w:color w:val="000000"/>
      <w:sz w:val="20"/>
      <w:szCs w:val="20"/>
      <w:u w:val="none"/>
    </w:rPr>
  </w:style>
  <w:style w:type="character" w:customStyle="1" w:styleId="138">
    <w:name w:val="font21"/>
    <w:autoRedefine/>
    <w:qFormat/>
    <w:uiPriority w:val="99"/>
    <w:rPr>
      <w:rFonts w:ascii="宋体" w:hAnsi="宋体" w:eastAsia="宋体" w:cs="宋体"/>
      <w:color w:val="000000"/>
      <w:sz w:val="20"/>
      <w:szCs w:val="20"/>
      <w:u w:val="none"/>
    </w:rPr>
  </w:style>
  <w:style w:type="paragraph" w:customStyle="1" w:styleId="139">
    <w:name w:val="Table Paragraph"/>
    <w:basedOn w:val="1"/>
    <w:autoRedefine/>
    <w:qFormat/>
    <w:uiPriority w:val="99"/>
    <w:rPr>
      <w:rFonts w:ascii="宋体" w:hAnsi="宋体" w:cs="宋体"/>
      <w:lang w:val="zh-CN"/>
    </w:rPr>
  </w:style>
  <w:style w:type="character" w:customStyle="1" w:styleId="140">
    <w:name w:val="mini-outputtext1"/>
    <w:autoRedefine/>
    <w:qFormat/>
    <w:uiPriority w:val="99"/>
  </w:style>
  <w:style w:type="character" w:customStyle="1" w:styleId="141">
    <w:name w:val="font61"/>
    <w:autoRedefine/>
    <w:qFormat/>
    <w:uiPriority w:val="99"/>
    <w:rPr>
      <w:rFonts w:ascii="微软雅黑" w:hAnsi="微软雅黑" w:eastAsia="微软雅黑" w:cs="微软雅黑"/>
      <w:color w:val="FF0000"/>
      <w:sz w:val="18"/>
      <w:szCs w:val="18"/>
      <w:u w:val="none"/>
    </w:rPr>
  </w:style>
  <w:style w:type="character" w:customStyle="1" w:styleId="142">
    <w:name w:val="font51"/>
    <w:autoRedefine/>
    <w:qFormat/>
    <w:uiPriority w:val="99"/>
    <w:rPr>
      <w:rFonts w:ascii="微软雅黑" w:hAnsi="微软雅黑" w:eastAsia="微软雅黑" w:cs="微软雅黑"/>
      <w:color w:val="000000"/>
      <w:sz w:val="18"/>
      <w:szCs w:val="18"/>
      <w:u w:val="none"/>
    </w:rPr>
  </w:style>
  <w:style w:type="character" w:customStyle="1" w:styleId="143">
    <w:name w:val="hover24"/>
    <w:autoRedefine/>
    <w:qFormat/>
    <w:uiPriority w:val="99"/>
  </w:style>
  <w:style w:type="character" w:customStyle="1" w:styleId="144">
    <w:name w:val="hover25"/>
    <w:autoRedefine/>
    <w:qFormat/>
    <w:uiPriority w:val="99"/>
    <w:rPr>
      <w:color w:val="auto"/>
    </w:rPr>
  </w:style>
  <w:style w:type="character" w:customStyle="1" w:styleId="145">
    <w:name w:val="c-icon28"/>
    <w:autoRedefine/>
    <w:qFormat/>
    <w:uiPriority w:val="99"/>
  </w:style>
  <w:style w:type="character" w:customStyle="1" w:styleId="146">
    <w:name w:val="font111"/>
    <w:autoRedefine/>
    <w:qFormat/>
    <w:uiPriority w:val="99"/>
    <w:rPr>
      <w:rFonts w:ascii="Calibri" w:hAnsi="Calibri" w:cs="Calibri"/>
      <w:color w:val="000000"/>
      <w:sz w:val="21"/>
      <w:szCs w:val="21"/>
      <w:u w:val="none"/>
    </w:rPr>
  </w:style>
  <w:style w:type="character" w:customStyle="1" w:styleId="147">
    <w:name w:val="font101"/>
    <w:autoRedefine/>
    <w:qFormat/>
    <w:uiPriority w:val="99"/>
    <w:rPr>
      <w:rFonts w:ascii="宋体" w:hAnsi="宋体" w:eastAsia="宋体" w:cs="宋体"/>
      <w:color w:val="000000"/>
      <w:sz w:val="21"/>
      <w:szCs w:val="21"/>
      <w:u w:val="none"/>
    </w:rPr>
  </w:style>
  <w:style w:type="character" w:customStyle="1" w:styleId="148">
    <w:name w:val="font81"/>
    <w:autoRedefine/>
    <w:qFormat/>
    <w:uiPriority w:val="99"/>
    <w:rPr>
      <w:rFonts w:ascii="宋体" w:hAnsi="宋体" w:eastAsia="宋体" w:cs="宋体"/>
      <w:b/>
      <w:bCs/>
      <w:color w:val="000000"/>
      <w:sz w:val="36"/>
      <w:szCs w:val="36"/>
      <w:u w:val="none"/>
    </w:rPr>
  </w:style>
  <w:style w:type="character" w:customStyle="1" w:styleId="149">
    <w:name w:val="font71"/>
    <w:autoRedefine/>
    <w:qFormat/>
    <w:uiPriority w:val="99"/>
    <w:rPr>
      <w:rFonts w:ascii="宋体" w:hAnsi="宋体" w:eastAsia="宋体" w:cs="宋体"/>
      <w:b/>
      <w:bCs/>
      <w:color w:val="000000"/>
      <w:sz w:val="28"/>
      <w:szCs w:val="28"/>
      <w:u w:val="none"/>
    </w:rPr>
  </w:style>
  <w:style w:type="character" w:customStyle="1" w:styleId="150">
    <w:name w:val="font201"/>
    <w:autoRedefine/>
    <w:qFormat/>
    <w:uiPriority w:val="99"/>
    <w:rPr>
      <w:rFonts w:ascii="Helvetica" w:hAnsi="Helvetica" w:eastAsia="Times New Roman" w:cs="Helvetica"/>
      <w:color w:val="000000"/>
      <w:sz w:val="18"/>
      <w:szCs w:val="18"/>
      <w:u w:val="none"/>
    </w:rPr>
  </w:style>
  <w:style w:type="character" w:customStyle="1" w:styleId="151">
    <w:name w:val="font212"/>
    <w:autoRedefine/>
    <w:qFormat/>
    <w:uiPriority w:val="99"/>
    <w:rPr>
      <w:rFonts w:ascii="宋体" w:hAnsi="宋体" w:eastAsia="宋体" w:cs="宋体"/>
      <w:color w:val="000000"/>
      <w:sz w:val="18"/>
      <w:szCs w:val="18"/>
      <w:u w:val="none"/>
    </w:rPr>
  </w:style>
  <w:style w:type="character" w:customStyle="1" w:styleId="152">
    <w:name w:val="font191"/>
    <w:autoRedefine/>
    <w:qFormat/>
    <w:uiPriority w:val="99"/>
    <w:rPr>
      <w:rFonts w:ascii="等线" w:hAnsi="等线" w:eastAsia="等线" w:cs="等线"/>
      <w:color w:val="000000"/>
      <w:sz w:val="21"/>
      <w:szCs w:val="21"/>
      <w:u w:val="none"/>
    </w:rPr>
  </w:style>
  <w:style w:type="character" w:customStyle="1" w:styleId="153">
    <w:name w:val="font221"/>
    <w:autoRedefine/>
    <w:qFormat/>
    <w:uiPriority w:val="99"/>
    <w:rPr>
      <w:rFonts w:ascii="宋体" w:hAnsi="宋体" w:eastAsia="宋体" w:cs="宋体"/>
      <w:color w:val="000000"/>
      <w:sz w:val="18"/>
      <w:szCs w:val="18"/>
      <w:u w:val="none"/>
    </w:rPr>
  </w:style>
  <w:style w:type="character" w:customStyle="1" w:styleId="154">
    <w:name w:val="font151"/>
    <w:autoRedefine/>
    <w:qFormat/>
    <w:uiPriority w:val="99"/>
    <w:rPr>
      <w:rFonts w:ascii="宋体" w:hAnsi="宋体" w:eastAsia="宋体" w:cs="宋体"/>
      <w:b/>
      <w:bCs/>
      <w:color w:val="000000"/>
      <w:sz w:val="36"/>
      <w:szCs w:val="36"/>
      <w:u w:val="none"/>
    </w:rPr>
  </w:style>
  <w:style w:type="character" w:customStyle="1" w:styleId="155">
    <w:name w:val="font41"/>
    <w:autoRedefine/>
    <w:qFormat/>
    <w:uiPriority w:val="99"/>
    <w:rPr>
      <w:rFonts w:ascii="宋体" w:hAnsi="宋体" w:eastAsia="宋体" w:cs="宋体"/>
      <w:color w:val="000000"/>
      <w:sz w:val="20"/>
      <w:szCs w:val="20"/>
      <w:u w:val="none"/>
    </w:rPr>
  </w:style>
  <w:style w:type="paragraph" w:customStyle="1" w:styleId="156">
    <w:name w:val="List Paragraph1"/>
    <w:basedOn w:val="1"/>
    <w:autoRedefine/>
    <w:qFormat/>
    <w:uiPriority w:val="99"/>
    <w:pPr>
      <w:ind w:firstLine="420" w:firstLineChars="200"/>
    </w:pPr>
    <w:rPr>
      <w:rFonts w:ascii="Calibri" w:hAnsi="Calibri" w:cs="Calibri"/>
    </w:rPr>
  </w:style>
  <w:style w:type="paragraph" w:customStyle="1" w:styleId="157">
    <w:name w:val="Body Text First Indent 21"/>
    <w:basedOn w:val="158"/>
    <w:autoRedefine/>
    <w:qFormat/>
    <w:uiPriority w:val="99"/>
    <w:pPr>
      <w:ind w:firstLine="420" w:firstLineChars="200"/>
    </w:pPr>
  </w:style>
  <w:style w:type="paragraph" w:customStyle="1" w:styleId="158">
    <w:name w:val="Body Text Indent1"/>
    <w:basedOn w:val="1"/>
    <w:autoRedefine/>
    <w:qFormat/>
    <w:uiPriority w:val="99"/>
    <w:pPr>
      <w:ind w:left="420" w:leftChars="200"/>
    </w:pPr>
  </w:style>
  <w:style w:type="paragraph" w:customStyle="1" w:styleId="159">
    <w:name w:val="Table Text"/>
    <w:autoRedefine/>
    <w:qFormat/>
    <w:uiPriority w:val="99"/>
    <w:pPr>
      <w:suppressAutoHyphens/>
      <w:snapToGrid w:val="0"/>
      <w:spacing w:before="80" w:after="80"/>
    </w:pPr>
    <w:rPr>
      <w:rFonts w:ascii="Arial" w:hAnsi="Arial" w:eastAsia="宋体" w:cs="Arial"/>
      <w:kern w:val="1"/>
      <w:sz w:val="18"/>
      <w:szCs w:val="18"/>
      <w:lang w:val="en-US" w:eastAsia="zh-CN" w:bidi="ar-SA"/>
    </w:rPr>
  </w:style>
  <w:style w:type="paragraph" w:customStyle="1" w:styleId="160">
    <w:name w:val="GW-正文"/>
    <w:basedOn w:val="1"/>
    <w:autoRedefine/>
    <w:qFormat/>
    <w:uiPriority w:val="99"/>
    <w:pPr>
      <w:spacing w:line="360" w:lineRule="auto"/>
      <w:ind w:firstLine="200" w:firstLineChars="200"/>
    </w:pPr>
    <w:rPr>
      <w:rFonts w:eastAsia="仿宋_GB2312"/>
      <w:sz w:val="24"/>
      <w:szCs w:val="24"/>
    </w:rPr>
  </w:style>
  <w:style w:type="paragraph" w:customStyle="1" w:styleId="161">
    <w:name w:val="正文格式"/>
    <w:basedOn w:val="16"/>
    <w:autoRedefine/>
    <w:qFormat/>
    <w:uiPriority w:val="99"/>
    <w:pPr>
      <w:spacing w:line="400" w:lineRule="atLeast"/>
      <w:ind w:firstLine="482"/>
      <w:textAlignment w:val="baseline"/>
    </w:pPr>
    <w:rPr>
      <w:sz w:val="24"/>
      <w:szCs w:val="24"/>
    </w:rPr>
  </w:style>
  <w:style w:type="character" w:customStyle="1" w:styleId="162">
    <w:name w:val="font131"/>
    <w:basedOn w:val="48"/>
    <w:autoRedefine/>
    <w:qFormat/>
    <w:uiPriority w:val="99"/>
    <w:rPr>
      <w:rFonts w:ascii="等线" w:hAnsi="等线" w:eastAsia="等线" w:cs="等线"/>
      <w:color w:val="000000"/>
      <w:sz w:val="22"/>
      <w:szCs w:val="22"/>
      <w:u w:val="none"/>
    </w:rPr>
  </w:style>
  <w:style w:type="character" w:customStyle="1" w:styleId="163">
    <w:name w:val="font171"/>
    <w:basedOn w:val="48"/>
    <w:autoRedefine/>
    <w:qFormat/>
    <w:uiPriority w:val="99"/>
    <w:rPr>
      <w:rFonts w:ascii="宋体" w:hAnsi="宋体" w:eastAsia="宋体" w:cs="宋体"/>
      <w:color w:val="000000"/>
      <w:sz w:val="24"/>
      <w:szCs w:val="24"/>
      <w:u w:val="none"/>
    </w:rPr>
  </w:style>
  <w:style w:type="character" w:customStyle="1" w:styleId="164">
    <w:name w:val="c-icon30"/>
    <w:basedOn w:val="48"/>
    <w:autoRedefine/>
    <w:qFormat/>
    <w:uiPriority w:val="99"/>
  </w:style>
  <w:style w:type="character" w:customStyle="1" w:styleId="165">
    <w:name w:val="hover23"/>
    <w:basedOn w:val="48"/>
    <w:autoRedefine/>
    <w:qFormat/>
    <w:uiPriority w:val="99"/>
  </w:style>
  <w:style w:type="character" w:customStyle="1" w:styleId="166">
    <w:name w:val="hover26"/>
    <w:basedOn w:val="48"/>
    <w:autoRedefine/>
    <w:qFormat/>
    <w:uiPriority w:val="99"/>
    <w:rPr>
      <w:color w:val="auto"/>
      <w:shd w:val="clear" w:color="auto" w:fill="auto"/>
    </w:rPr>
  </w:style>
  <w:style w:type="character" w:customStyle="1" w:styleId="167">
    <w:name w:val="first-child"/>
    <w:basedOn w:val="48"/>
    <w:qFormat/>
    <w:uiPriority w:val="0"/>
  </w:style>
  <w:style w:type="character" w:customStyle="1" w:styleId="168">
    <w:name w:val="layui-this"/>
    <w:basedOn w:val="48"/>
    <w:autoRedefine/>
    <w:qFormat/>
    <w:uiPriority w:val="0"/>
    <w:rPr>
      <w:bdr w:val="single" w:color="EEEEEE" w:sz="6" w:space="0"/>
      <w:shd w:val="clear" w:fill="FFFFFF"/>
    </w:rPr>
  </w:style>
  <w:style w:type="paragraph" w:customStyle="1" w:styleId="169">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
    <w:basedOn w:val="1"/>
    <w:autoRedefine/>
    <w:qFormat/>
    <w:uiPriority w:val="0"/>
    <w:pPr>
      <w:spacing w:beforeLines="50" w:afterLines="50"/>
      <w:ind w:firstLine="48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customShpInfo spid="_x0000_s4099"/>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80</Pages>
  <Words>41005</Words>
  <Characters>44290</Characters>
  <Lines>0</Lines>
  <Paragraphs>0</Paragraphs>
  <TotalTime>158</TotalTime>
  <ScaleCrop>false</ScaleCrop>
  <LinksUpToDate>false</LinksUpToDate>
  <CharactersWithSpaces>48342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2020-11-26T01:49:00Z</dcterms:created>
  <dc:creator>USER</dc:creator>
  <cp:lastModifiedBy>、Perfume</cp:lastModifiedBy>
  <cp:lastPrinted>2022-09-28T09:04:00Z</cp:lastPrinted>
  <dcterms:modified xsi:type="dcterms:W3CDTF">2024-07-26T09:49:52Z</dcterms:modified>
  <dc:title>政协统办一号楼</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682624382B8F4D64945625D312B847EC_13</vt:lpwstr>
  </property>
</Properties>
</file>