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5"/>
        <w:jc w:val="center"/>
        <w:rPr>
          <w:rFonts w:hAnsi="宋体" w:cs="华文新魏"/>
          <w:b/>
          <w:color w:val="000000" w:themeColor="text1"/>
          <w:sz w:val="72"/>
          <w:szCs w:val="86"/>
          <w14:textFill>
            <w14:solidFill>
              <w14:schemeClr w14:val="tx1"/>
            </w14:solidFill>
          </w14:textFill>
        </w:rPr>
      </w:pPr>
      <w:r>
        <w:rPr>
          <w:rFonts w:hint="eastAsia" w:ascii="黑体" w:hAnsi="宋体" w:eastAsia="黑体"/>
          <w:b/>
          <w:bCs/>
          <w:sz w:val="36"/>
          <w:szCs w:val="36"/>
          <w:u w:val="single"/>
          <w:lang w:eastAsia="zh-CN"/>
        </w:rPr>
        <w:t>2024年武都区爱卫办病媒生物防制除四害消杀项目</w:t>
      </w:r>
    </w:p>
    <w:p>
      <w:pPr>
        <w:pStyle w:val="135"/>
        <w:jc w:val="center"/>
        <w:rPr>
          <w:rFonts w:hAnsi="宋体" w:cs="华文新魏"/>
          <w:b/>
          <w:color w:val="000000" w:themeColor="text1"/>
          <w:sz w:val="72"/>
          <w:szCs w:val="86"/>
          <w14:textFill>
            <w14:solidFill>
              <w14:schemeClr w14:val="tx1"/>
            </w14:solidFill>
          </w14:textFill>
        </w:rPr>
      </w:pPr>
    </w:p>
    <w:p>
      <w:pPr>
        <w:pStyle w:val="135"/>
        <w:jc w:val="center"/>
        <w:rPr>
          <w:rFonts w:hAnsi="宋体" w:cs="华文新魏"/>
          <w:b/>
          <w:color w:val="000000" w:themeColor="text1"/>
          <w:sz w:val="72"/>
          <w:szCs w:val="86"/>
          <w14:textFill>
            <w14:solidFill>
              <w14:schemeClr w14:val="tx1"/>
            </w14:solidFill>
          </w14:textFill>
        </w:rPr>
      </w:pPr>
    </w:p>
    <w:p>
      <w:pPr>
        <w:pStyle w:val="135"/>
        <w:jc w:val="center"/>
        <w:rPr>
          <w:rFonts w:hAnsi="宋体" w:cs="华文新魏"/>
          <w:b/>
          <w:color w:val="000000" w:themeColor="text1"/>
          <w:sz w:val="72"/>
          <w:szCs w:val="86"/>
          <w14:textFill>
            <w14:solidFill>
              <w14:schemeClr w14:val="tx1"/>
            </w14:solidFill>
          </w14:textFill>
        </w:rPr>
      </w:pPr>
      <w:r>
        <w:rPr>
          <w:rFonts w:hint="eastAsia" w:hAnsi="宋体" w:cs="华文新魏"/>
          <w:b/>
          <w:color w:val="000000" w:themeColor="text1"/>
          <w:sz w:val="44"/>
          <w:szCs w:val="44"/>
          <w14:textFill>
            <w14:solidFill>
              <w14:schemeClr w14:val="tx1"/>
            </w14:solidFill>
          </w14:textFill>
        </w:rPr>
        <w:t>竞争性磋商文件</w:t>
      </w: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pStyle w:val="135"/>
        <w:jc w:val="center"/>
        <w:rPr>
          <w:rFonts w:hAnsi="宋体" w:cs="华文新魏"/>
          <w:color w:val="000000" w:themeColor="text1"/>
          <w:sz w:val="21"/>
          <w:szCs w:val="21"/>
          <w14:textFill>
            <w14:solidFill>
              <w14:schemeClr w14:val="tx1"/>
            </w14:solidFill>
          </w14:textFill>
        </w:rPr>
      </w:pPr>
    </w:p>
    <w:p>
      <w:pPr>
        <w:spacing w:line="480" w:lineRule="auto"/>
        <w:ind w:firstLine="720" w:firstLineChars="200"/>
        <w:jc w:val="left"/>
        <w:rPr>
          <w:rFonts w:ascii="宋体" w:hAnsi="宋体"/>
          <w:b/>
          <w:color w:val="000000" w:themeColor="text1"/>
          <w:spacing w:val="20"/>
          <w:sz w:val="32"/>
          <w:szCs w:val="32"/>
          <w14:textFill>
            <w14:solidFill>
              <w14:schemeClr w14:val="tx1"/>
            </w14:solidFill>
          </w14:textFill>
        </w:rPr>
      </w:pPr>
    </w:p>
    <w:p>
      <w:pPr>
        <w:spacing w:line="480" w:lineRule="auto"/>
        <w:ind w:firstLine="720" w:firstLineChars="200"/>
        <w:jc w:val="left"/>
        <w:rPr>
          <w:rFonts w:ascii="宋体" w:hAnsi="宋体"/>
          <w:b/>
          <w:color w:val="000000" w:themeColor="text1"/>
          <w:spacing w:val="20"/>
          <w:sz w:val="32"/>
          <w:szCs w:val="32"/>
          <w:u w:val="single"/>
          <w14:textFill>
            <w14:solidFill>
              <w14:schemeClr w14:val="tx1"/>
            </w14:solidFill>
          </w14:textFill>
        </w:rPr>
      </w:pPr>
      <w:r>
        <w:rPr>
          <w:rFonts w:hint="eastAsia" w:ascii="宋体" w:hAnsi="宋体"/>
          <w:b/>
          <w:color w:val="000000" w:themeColor="text1"/>
          <w:spacing w:val="20"/>
          <w:sz w:val="32"/>
          <w:szCs w:val="32"/>
          <w14:textFill>
            <w14:solidFill>
              <w14:schemeClr w14:val="tx1"/>
            </w14:solidFill>
          </w14:textFill>
        </w:rPr>
        <w:t>招 标 编 号：</w:t>
      </w:r>
      <w:r>
        <w:rPr>
          <w:rFonts w:hint="eastAsia" w:ascii="宋体" w:hAnsi="宋体"/>
          <w:b/>
          <w:color w:val="000000" w:themeColor="text1"/>
          <w:spacing w:val="20"/>
          <w:sz w:val="32"/>
          <w:szCs w:val="32"/>
          <w:u w:val="single"/>
          <w14:textFill>
            <w14:solidFill>
              <w14:schemeClr w14:val="tx1"/>
            </w14:solidFill>
          </w14:textFill>
        </w:rPr>
        <w:t xml:space="preserve"> </w:t>
      </w:r>
      <w:r>
        <w:rPr>
          <w:rFonts w:ascii="宋体" w:hAnsi="宋体"/>
          <w:b/>
          <w:color w:val="000000" w:themeColor="text1"/>
          <w:spacing w:val="20"/>
          <w:sz w:val="32"/>
          <w:szCs w:val="32"/>
          <w:u w:val="single"/>
          <w14:textFill>
            <w14:solidFill>
              <w14:schemeClr w14:val="tx1"/>
            </w14:solidFill>
          </w14:textFill>
        </w:rPr>
        <w:t>LNZN-202</w:t>
      </w:r>
      <w:r>
        <w:rPr>
          <w:rFonts w:hint="eastAsia" w:ascii="宋体" w:hAnsi="宋体"/>
          <w:b/>
          <w:color w:val="000000" w:themeColor="text1"/>
          <w:spacing w:val="20"/>
          <w:sz w:val="32"/>
          <w:szCs w:val="32"/>
          <w:u w:val="single"/>
          <w:lang w:val="en-US" w:eastAsia="zh-CN"/>
          <w14:textFill>
            <w14:solidFill>
              <w14:schemeClr w14:val="tx1"/>
            </w14:solidFill>
          </w14:textFill>
        </w:rPr>
        <w:t>4</w:t>
      </w:r>
      <w:r>
        <w:rPr>
          <w:rFonts w:ascii="宋体" w:hAnsi="宋体"/>
          <w:b/>
          <w:color w:val="000000" w:themeColor="text1"/>
          <w:spacing w:val="20"/>
          <w:sz w:val="32"/>
          <w:szCs w:val="32"/>
          <w:u w:val="single"/>
          <w14:textFill>
            <w14:solidFill>
              <w14:schemeClr w14:val="tx1"/>
            </w14:solidFill>
          </w14:textFill>
        </w:rPr>
        <w:t>-</w:t>
      </w:r>
      <w:r>
        <w:rPr>
          <w:rFonts w:hint="eastAsia" w:ascii="宋体" w:hAnsi="宋体"/>
          <w:b/>
          <w:color w:val="000000" w:themeColor="text1"/>
          <w:spacing w:val="20"/>
          <w:sz w:val="32"/>
          <w:szCs w:val="32"/>
          <w:u w:val="single"/>
          <w14:textFill>
            <w14:solidFill>
              <w14:schemeClr w14:val="tx1"/>
            </w14:solidFill>
          </w14:textFill>
        </w:rPr>
        <w:t>0</w:t>
      </w:r>
      <w:r>
        <w:rPr>
          <w:rFonts w:hint="eastAsia" w:ascii="宋体" w:hAnsi="宋体"/>
          <w:b/>
          <w:color w:val="000000" w:themeColor="text1"/>
          <w:spacing w:val="20"/>
          <w:sz w:val="32"/>
          <w:szCs w:val="32"/>
          <w:u w:val="single"/>
          <w:lang w:val="en-US" w:eastAsia="zh-CN"/>
          <w14:textFill>
            <w14:solidFill>
              <w14:schemeClr w14:val="tx1"/>
            </w14:solidFill>
          </w14:textFill>
        </w:rPr>
        <w:t>3</w:t>
      </w:r>
      <w:r>
        <w:rPr>
          <w:rFonts w:ascii="宋体" w:hAnsi="宋体"/>
          <w:b/>
          <w:color w:val="000000" w:themeColor="text1"/>
          <w:spacing w:val="20"/>
          <w:sz w:val="32"/>
          <w:szCs w:val="32"/>
          <w:u w:val="single"/>
          <w14:textFill>
            <w14:solidFill>
              <w14:schemeClr w14:val="tx1"/>
            </w14:solidFill>
          </w14:textFill>
        </w:rPr>
        <w:t xml:space="preserve"> </w:t>
      </w:r>
    </w:p>
    <w:p>
      <w:pPr>
        <w:spacing w:line="480" w:lineRule="auto"/>
        <w:ind w:firstLine="720" w:firstLineChars="200"/>
        <w:rPr>
          <w:rFonts w:ascii="宋体" w:hAnsi="宋体"/>
          <w:b/>
          <w:color w:val="000000" w:themeColor="text1"/>
          <w:spacing w:val="20"/>
          <w:sz w:val="32"/>
          <w:szCs w:val="32"/>
          <w14:textFill>
            <w14:solidFill>
              <w14:schemeClr w14:val="tx1"/>
            </w14:solidFill>
          </w14:textFill>
        </w:rPr>
      </w:pPr>
      <w:r>
        <w:rPr>
          <w:rFonts w:hint="eastAsia" w:ascii="宋体" w:hAnsi="宋体"/>
          <w:b/>
          <w:color w:val="000000" w:themeColor="text1"/>
          <w:spacing w:val="20"/>
          <w:sz w:val="32"/>
          <w:szCs w:val="32"/>
          <w14:textFill>
            <w14:solidFill>
              <w14:schemeClr w14:val="tx1"/>
            </w14:solidFill>
          </w14:textFill>
        </w:rPr>
        <w:t>采</w:t>
      </w:r>
      <w:r>
        <w:rPr>
          <w:rFonts w:hint="eastAsia" w:ascii="宋体" w:hAnsi="宋体"/>
          <w:b/>
          <w:color w:val="000000" w:themeColor="text1"/>
          <w:spacing w:val="20"/>
          <w:sz w:val="32"/>
          <w:szCs w:val="32"/>
          <w:lang w:val="en-US" w:eastAsia="zh-CN"/>
          <w14:textFill>
            <w14:solidFill>
              <w14:schemeClr w14:val="tx1"/>
            </w14:solidFill>
          </w14:textFill>
        </w:rPr>
        <w:t xml:space="preserve"> </w:t>
      </w:r>
      <w:r>
        <w:rPr>
          <w:rFonts w:hint="eastAsia" w:ascii="宋体" w:hAnsi="宋体"/>
          <w:b/>
          <w:color w:val="000000" w:themeColor="text1"/>
          <w:spacing w:val="20"/>
          <w:sz w:val="32"/>
          <w:szCs w:val="32"/>
          <w14:textFill>
            <w14:solidFill>
              <w14:schemeClr w14:val="tx1"/>
            </w14:solidFill>
          </w14:textFill>
        </w:rPr>
        <w:t>购</w:t>
      </w:r>
      <w:r>
        <w:rPr>
          <w:rFonts w:hint="eastAsia" w:ascii="宋体" w:hAnsi="宋体"/>
          <w:b/>
          <w:color w:val="000000" w:themeColor="text1"/>
          <w:spacing w:val="20"/>
          <w:sz w:val="32"/>
          <w:szCs w:val="32"/>
          <w:lang w:val="en-US" w:eastAsia="zh-CN"/>
          <w14:textFill>
            <w14:solidFill>
              <w14:schemeClr w14:val="tx1"/>
            </w14:solidFill>
          </w14:textFill>
        </w:rPr>
        <w:t xml:space="preserve"> </w:t>
      </w:r>
      <w:r>
        <w:rPr>
          <w:rFonts w:ascii="宋体" w:hAnsi="宋体"/>
          <w:b/>
          <w:color w:val="000000" w:themeColor="text1"/>
          <w:spacing w:val="20"/>
          <w:sz w:val="32"/>
          <w:szCs w:val="32"/>
          <w14:textFill>
            <w14:solidFill>
              <w14:schemeClr w14:val="tx1"/>
            </w14:solidFill>
          </w14:textFill>
        </w:rPr>
        <w:t>人：</w:t>
      </w:r>
      <w:r>
        <w:rPr>
          <w:rFonts w:hint="eastAsia" w:ascii="宋体" w:hAnsi="宋体"/>
          <w:b/>
          <w:color w:val="000000" w:themeColor="text1"/>
          <w:spacing w:val="20"/>
          <w:sz w:val="32"/>
          <w:szCs w:val="32"/>
          <w:u w:val="single"/>
          <w14:textFill>
            <w14:solidFill>
              <w14:schemeClr w14:val="tx1"/>
            </w14:solidFill>
          </w14:textFill>
        </w:rPr>
        <w:t xml:space="preserve">陇南市武都区爱国卫生运动委员会办公室 </w:t>
      </w:r>
    </w:p>
    <w:p>
      <w:pPr>
        <w:spacing w:line="480" w:lineRule="auto"/>
        <w:ind w:firstLine="720" w:firstLineChars="200"/>
        <w:rPr>
          <w:rFonts w:ascii="宋体" w:hAnsi="宋体"/>
          <w:b/>
          <w:color w:val="000000" w:themeColor="text1"/>
          <w:spacing w:val="20"/>
          <w:sz w:val="32"/>
          <w:szCs w:val="32"/>
          <w:u w:val="single"/>
          <w14:textFill>
            <w14:solidFill>
              <w14:schemeClr w14:val="tx1"/>
            </w14:solidFill>
          </w14:textFill>
        </w:rPr>
      </w:pPr>
      <w:r>
        <w:rPr>
          <w:rFonts w:hint="eastAsia" w:ascii="宋体" w:hAnsi="宋体"/>
          <w:b/>
          <w:color w:val="000000" w:themeColor="text1"/>
          <w:spacing w:val="20"/>
          <w:sz w:val="32"/>
          <w:szCs w:val="32"/>
          <w14:textFill>
            <w14:solidFill>
              <w14:schemeClr w14:val="tx1"/>
            </w14:solidFill>
          </w14:textFill>
        </w:rPr>
        <w:t>代 理 机 构：</w:t>
      </w:r>
      <w:r>
        <w:rPr>
          <w:rFonts w:hint="eastAsia" w:ascii="宋体" w:hAnsi="宋体"/>
          <w:b/>
          <w:color w:val="000000" w:themeColor="text1"/>
          <w:spacing w:val="20"/>
          <w:sz w:val="32"/>
          <w:szCs w:val="32"/>
          <w:u w:val="single"/>
          <w14:textFill>
            <w14:solidFill>
              <w14:schemeClr w14:val="tx1"/>
            </w14:solidFill>
          </w14:textFill>
        </w:rPr>
        <w:t>陇南臻诺招标代理咨询有限公司</w:t>
      </w:r>
    </w:p>
    <w:p>
      <w:pPr>
        <w:pStyle w:val="135"/>
        <w:jc w:val="center"/>
        <w:rPr>
          <w:rFonts w:hAnsi="宋体"/>
          <w:b/>
          <w:color w:val="000000" w:themeColor="text1"/>
          <w:sz w:val="32"/>
          <w:szCs w:val="32"/>
          <w14:textFill>
            <w14:solidFill>
              <w14:schemeClr w14:val="tx1"/>
            </w14:solidFill>
          </w14:textFill>
        </w:rPr>
      </w:pPr>
    </w:p>
    <w:p>
      <w:pPr>
        <w:pStyle w:val="135"/>
        <w:jc w:val="center"/>
        <w:rPr>
          <w:rFonts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二零二</w:t>
      </w:r>
      <w:r>
        <w:rPr>
          <w:rFonts w:hint="eastAsia" w:hAnsi="宋体"/>
          <w:b/>
          <w:color w:val="000000" w:themeColor="text1"/>
          <w:sz w:val="32"/>
          <w:szCs w:val="32"/>
          <w:lang w:val="en-US" w:eastAsia="zh-CN"/>
          <w14:textFill>
            <w14:solidFill>
              <w14:schemeClr w14:val="tx1"/>
            </w14:solidFill>
          </w14:textFill>
        </w:rPr>
        <w:t>四</w:t>
      </w:r>
      <w:r>
        <w:rPr>
          <w:rFonts w:hint="eastAsia" w:hAnsi="宋体"/>
          <w:b/>
          <w:color w:val="000000" w:themeColor="text1"/>
          <w:sz w:val="32"/>
          <w:szCs w:val="32"/>
          <w14:textFill>
            <w14:solidFill>
              <w14:schemeClr w14:val="tx1"/>
            </w14:solidFill>
          </w14:textFill>
        </w:rPr>
        <w:t>年</w:t>
      </w:r>
      <w:r>
        <w:rPr>
          <w:rFonts w:hint="eastAsia" w:hAnsi="宋体"/>
          <w:b/>
          <w:color w:val="000000" w:themeColor="text1"/>
          <w:sz w:val="32"/>
          <w:szCs w:val="32"/>
          <w:lang w:val="en-US" w:eastAsia="zh-CN"/>
          <w14:textFill>
            <w14:solidFill>
              <w14:schemeClr w14:val="tx1"/>
            </w14:solidFill>
          </w14:textFill>
        </w:rPr>
        <w:t>四</w:t>
      </w:r>
      <w:r>
        <w:rPr>
          <w:rFonts w:hint="eastAsia" w:hAnsi="宋体"/>
          <w:b/>
          <w:color w:val="000000" w:themeColor="text1"/>
          <w:sz w:val="32"/>
          <w:szCs w:val="32"/>
          <w14:textFill>
            <w14:solidFill>
              <w14:schemeClr w14:val="tx1"/>
            </w14:solidFill>
          </w14:textFill>
        </w:rPr>
        <w:t>月</w:t>
      </w:r>
    </w:p>
    <w:p>
      <w:pPr>
        <w:pStyle w:val="135"/>
        <w:jc w:val="center"/>
        <w:rPr>
          <w:rFonts w:hAnsi="宋体"/>
          <w:b/>
          <w:color w:val="000000" w:themeColor="text1"/>
          <w:sz w:val="32"/>
          <w:szCs w:val="32"/>
          <w14:textFill>
            <w14:solidFill>
              <w14:schemeClr w14:val="tx1"/>
            </w14:solidFill>
          </w14:textFill>
        </w:rPr>
      </w:pPr>
    </w:p>
    <w:p>
      <w:pPr>
        <w:rPr>
          <w:rFonts w:ascii="宋体" w:hAnsi="宋体" w:cs="宋体"/>
          <w:kern w:val="0"/>
          <w:sz w:val="24"/>
          <w:szCs w:val="24"/>
        </w:rPr>
      </w:pPr>
      <w:r>
        <w:rPr>
          <w:rFonts w:ascii="宋体" w:hAnsi="宋体" w:cs="宋体"/>
          <w:kern w:val="0"/>
          <w:sz w:val="24"/>
          <w:szCs w:val="24"/>
        </w:rPr>
        <w:br w:type="page"/>
      </w:r>
    </w:p>
    <w:p>
      <w:pPr>
        <w:widowControl/>
        <w:numPr>
          <w:ilvl w:val="0"/>
          <w:numId w:val="0"/>
        </w:numPr>
        <w:jc w:val="center"/>
        <w:rPr>
          <w:rFonts w:hint="eastAsia" w:ascii="宋体" w:hAnsi="宋体" w:cs="宋体"/>
          <w:b/>
          <w:bCs/>
          <w:kern w:val="0"/>
          <w:sz w:val="32"/>
          <w:szCs w:val="32"/>
        </w:rPr>
      </w:pPr>
      <w:r>
        <w:rPr>
          <w:rFonts w:hint="eastAsia" w:ascii="宋体" w:hAnsi="宋体" w:cs="宋体"/>
          <w:b/>
          <w:bCs/>
          <w:kern w:val="0"/>
          <w:sz w:val="32"/>
          <w:szCs w:val="32"/>
          <w:lang w:val="en-US" w:eastAsia="zh-CN"/>
        </w:rPr>
        <w:t xml:space="preserve">第一章 </w:t>
      </w:r>
      <w:r>
        <w:rPr>
          <w:rFonts w:hint="eastAsia" w:ascii="宋体" w:hAnsi="宋体" w:cs="宋体"/>
          <w:b/>
          <w:bCs/>
          <w:kern w:val="0"/>
          <w:sz w:val="32"/>
          <w:szCs w:val="32"/>
        </w:rPr>
        <w:t>竞争性磋商公告</w:t>
      </w:r>
    </w:p>
    <w:p>
      <w:pPr>
        <w:widowControl/>
        <w:numPr>
          <w:ilvl w:val="0"/>
          <w:numId w:val="0"/>
        </w:numPr>
        <w:jc w:val="both"/>
        <w:rPr>
          <w:rFonts w:hint="eastAsia" w:ascii="宋体" w:hAnsi="宋体" w:cs="宋体"/>
          <w:b/>
          <w:bCs/>
          <w:kern w:val="0"/>
          <w:sz w:val="32"/>
          <w:szCs w:val="32"/>
        </w:rPr>
      </w:pP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center"/>
        <w:textAlignment w:val="auto"/>
        <w:rPr>
          <w:rFonts w:hint="eastAsia" w:ascii="宋体" w:hAnsi="宋体" w:cs="宋体"/>
          <w:kern w:val="0"/>
          <w:sz w:val="24"/>
          <w:szCs w:val="24"/>
        </w:rPr>
      </w:pPr>
      <w:r>
        <w:rPr>
          <w:rFonts w:hint="eastAsia" w:ascii="宋体" w:hAnsi="宋体" w:cs="宋体"/>
          <w:kern w:val="0"/>
          <w:sz w:val="24"/>
          <w:szCs w:val="24"/>
        </w:rPr>
        <w:t>2024年</w:t>
      </w:r>
      <w:r>
        <w:rPr>
          <w:rFonts w:hint="eastAsia" w:ascii="宋体" w:hAnsi="宋体" w:cs="宋体"/>
          <w:kern w:val="0"/>
          <w:sz w:val="24"/>
          <w:szCs w:val="24"/>
          <w:lang w:val="en-US" w:eastAsia="zh-CN"/>
        </w:rPr>
        <w:t>武都</w:t>
      </w:r>
      <w:r>
        <w:rPr>
          <w:rFonts w:hint="eastAsia" w:ascii="宋体" w:hAnsi="宋体" w:cs="宋体"/>
          <w:kern w:val="0"/>
          <w:sz w:val="24"/>
          <w:szCs w:val="24"/>
        </w:rPr>
        <w:t>区爱卫办病媒生物防制除四害消杀项目竞争性磋商公告</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u w:val="single"/>
        </w:rPr>
        <w:t>陇南市武都区爱国卫生运动委员会办公室</w:t>
      </w:r>
      <w:r>
        <w:rPr>
          <w:rFonts w:hint="eastAsia" w:ascii="宋体" w:hAnsi="宋体" w:cs="宋体"/>
          <w:kern w:val="0"/>
          <w:sz w:val="24"/>
          <w:szCs w:val="24"/>
        </w:rPr>
        <w:t>采购项目的潜在供应商应在</w:t>
      </w:r>
      <w:r>
        <w:rPr>
          <w:rFonts w:hint="eastAsia" w:ascii="宋体" w:hAnsi="宋体" w:cs="宋体"/>
          <w:kern w:val="0"/>
          <w:sz w:val="24"/>
          <w:szCs w:val="24"/>
          <w:u w:val="single"/>
        </w:rPr>
        <w:t>陇南市公共资源交易网（网址：http://www.lnsggzyjy.cn）</w:t>
      </w:r>
      <w:r>
        <w:rPr>
          <w:rFonts w:hint="eastAsia" w:ascii="宋体" w:hAnsi="宋体" w:cs="宋体"/>
          <w:kern w:val="0"/>
          <w:sz w:val="24"/>
          <w:szCs w:val="24"/>
        </w:rPr>
        <w:t>免费下载获取采购文件，并于</w:t>
      </w:r>
      <w:r>
        <w:rPr>
          <w:rFonts w:hint="eastAsia" w:ascii="宋体" w:hAnsi="宋体" w:cs="宋体"/>
          <w:kern w:val="0"/>
          <w:sz w:val="24"/>
          <w:szCs w:val="24"/>
          <w:u w:val="single"/>
          <w:lang w:eastAsia="zh-CN"/>
        </w:rPr>
        <w:t>2024-04-18 15:00:00</w:t>
      </w:r>
      <w:r>
        <w:rPr>
          <w:rFonts w:hint="eastAsia" w:ascii="宋体" w:hAnsi="宋体" w:cs="宋体"/>
          <w:kern w:val="0"/>
          <w:sz w:val="24"/>
          <w:szCs w:val="24"/>
          <w:u w:val="none"/>
        </w:rPr>
        <w:t>（北京时间）</w:t>
      </w:r>
      <w:r>
        <w:rPr>
          <w:rFonts w:hint="eastAsia" w:ascii="宋体" w:hAnsi="宋体" w:cs="宋体"/>
          <w:kern w:val="0"/>
          <w:sz w:val="24"/>
          <w:szCs w:val="24"/>
        </w:rPr>
        <w:t>前提交响应文件。</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一、项目基本情况</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项目编号：LNZN-2024-03</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lang w:eastAsia="zh-CN"/>
        </w:rPr>
      </w:pPr>
      <w:r>
        <w:rPr>
          <w:rFonts w:hint="eastAsia" w:ascii="宋体" w:hAnsi="宋体" w:cs="宋体"/>
          <w:kern w:val="0"/>
          <w:sz w:val="24"/>
          <w:szCs w:val="24"/>
        </w:rPr>
        <w:t>项目名称：</w:t>
      </w:r>
      <w:r>
        <w:rPr>
          <w:rFonts w:hint="eastAsia" w:ascii="宋体" w:hAnsi="宋体" w:cs="宋体"/>
          <w:kern w:val="0"/>
          <w:sz w:val="24"/>
          <w:szCs w:val="24"/>
          <w:lang w:eastAsia="zh-CN"/>
        </w:rPr>
        <w:t>2024年武都区爱卫办病媒生物防制除四害消杀项目</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预算金额：60.0(万元)</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最高限价：60.0(万元)</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采购需求：针对2024年武都城区内除四害消杀项目工作，需要聘请第三方专业性公司实施，实施时间为2024年全年，</w:t>
      </w:r>
      <w:r>
        <w:rPr>
          <w:rFonts w:hint="eastAsia" w:ascii="宋体" w:hAnsi="宋体" w:cs="宋体"/>
          <w:kern w:val="0"/>
          <w:sz w:val="24"/>
          <w:szCs w:val="24"/>
          <w:lang w:eastAsia="zh-CN"/>
        </w:rPr>
        <w:t>施工范围</w:t>
      </w:r>
      <w:r>
        <w:rPr>
          <w:rFonts w:hint="eastAsia" w:ascii="宋体" w:hAnsi="宋体" w:cs="宋体"/>
          <w:kern w:val="0"/>
          <w:sz w:val="24"/>
          <w:szCs w:val="24"/>
        </w:rPr>
        <w:t>武都区建成区内。（具体内容详见竞争性磋商文件）。</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合同履行期限：按合同约定执行</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本项目（是/否）接受联合体投标：否</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二、申请人的资格要求</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1.（1）须符合《中华人民共和国政府采购法》第二十二条之规定；（2）须具有合法有效的法人营业执照、国家和地方税务登记证、组织机构代码证、开户许可证；前述法人营业执照、税务登记证、组织机构代码证已三证合一的，则需提供具有统一社会信用代码的营业执照；（3）须提供法人授权函及被授权人身份证（正、反面 复印件）；（4）供应商未被列入“信用中国 ”网站[www.creditchina.gov.cn]记录失信被执行人或重大税收违法失信主体或政府采购严重违法失信行为记录名单；不处于中国政府采购网[www.ccgp.gov.cn]政府采购严重违法失信行为信息记录中的禁止参加政府采购活动期间的方可参加本项目的投标（以招标公告发布之日起至投标截止之日前在“信用中国”网站[www.creditchina.gov.cn]、中国政府采购网[www.ccgp.gov.cn]查询结果为准）。</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2.落实政府采购政策需满足的资格要求：《政府采购促进中小企业发展管理办法》（财库[2020]46号）、关于印发中小企业划型标准规定的通知(工信部联企业【2011】300号)、符合政府采购《节能产品政府采购清单》、《环境标志产品政府采购清单》优先采购政策、《关于促进残疾人就业政府采购政策的通知》 (财库【2017】 141号)等。</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3.本项目的特定资格要求：供应商须提供农药生产许可证或农药经营许可证。</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三、获取采购文件</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时间：</w:t>
      </w:r>
      <w:r>
        <w:rPr>
          <w:rFonts w:hint="eastAsia" w:ascii="宋体" w:hAnsi="宋体" w:cs="宋体"/>
          <w:kern w:val="0"/>
          <w:sz w:val="24"/>
          <w:szCs w:val="24"/>
          <w:u w:val="single"/>
        </w:rPr>
        <w:t>2024-0</w:t>
      </w:r>
      <w:r>
        <w:rPr>
          <w:rFonts w:hint="eastAsia" w:ascii="宋体" w:hAnsi="宋体" w:cs="宋体"/>
          <w:kern w:val="0"/>
          <w:sz w:val="24"/>
          <w:szCs w:val="24"/>
          <w:u w:val="single"/>
          <w:lang w:val="en-US" w:eastAsia="zh-CN"/>
        </w:rPr>
        <w:t>4</w:t>
      </w:r>
      <w:r>
        <w:rPr>
          <w:rFonts w:hint="eastAsia" w:ascii="宋体" w:hAnsi="宋体" w:cs="宋体"/>
          <w:kern w:val="0"/>
          <w:sz w:val="24"/>
          <w:szCs w:val="24"/>
          <w:u w:val="single"/>
        </w:rPr>
        <w:t>-</w:t>
      </w:r>
      <w:r>
        <w:rPr>
          <w:rFonts w:hint="eastAsia" w:ascii="宋体" w:hAnsi="宋体" w:cs="宋体"/>
          <w:kern w:val="0"/>
          <w:sz w:val="24"/>
          <w:szCs w:val="24"/>
          <w:u w:val="single"/>
          <w:lang w:val="en-US" w:eastAsia="zh-CN"/>
        </w:rPr>
        <w:t>08</w:t>
      </w:r>
      <w:r>
        <w:rPr>
          <w:rFonts w:hint="eastAsia" w:ascii="宋体" w:hAnsi="宋体" w:cs="宋体"/>
          <w:kern w:val="0"/>
          <w:sz w:val="24"/>
          <w:szCs w:val="24"/>
        </w:rPr>
        <w:t>至</w:t>
      </w:r>
      <w:r>
        <w:rPr>
          <w:rFonts w:hint="eastAsia" w:ascii="宋体" w:hAnsi="宋体" w:cs="宋体"/>
          <w:kern w:val="0"/>
          <w:sz w:val="24"/>
          <w:szCs w:val="24"/>
          <w:u w:val="single"/>
        </w:rPr>
        <w:t>2024-04-</w:t>
      </w:r>
      <w:r>
        <w:rPr>
          <w:rFonts w:hint="eastAsia" w:ascii="宋体" w:hAnsi="宋体" w:cs="宋体"/>
          <w:kern w:val="0"/>
          <w:sz w:val="24"/>
          <w:szCs w:val="24"/>
          <w:u w:val="single"/>
          <w:lang w:val="en-US" w:eastAsia="zh-CN"/>
        </w:rPr>
        <w:t>12</w:t>
      </w:r>
      <w:r>
        <w:rPr>
          <w:rFonts w:hint="eastAsia" w:ascii="宋体" w:hAnsi="宋体" w:cs="宋体"/>
          <w:kern w:val="0"/>
          <w:sz w:val="24"/>
          <w:szCs w:val="24"/>
        </w:rPr>
        <w:t>，每天上午</w:t>
      </w:r>
      <w:r>
        <w:rPr>
          <w:rFonts w:hint="eastAsia" w:ascii="宋体" w:hAnsi="宋体" w:cs="宋体"/>
          <w:kern w:val="0"/>
          <w:sz w:val="24"/>
          <w:szCs w:val="24"/>
          <w:u w:val="single"/>
        </w:rPr>
        <w:t>8:30</w:t>
      </w:r>
      <w:r>
        <w:rPr>
          <w:rFonts w:hint="eastAsia" w:ascii="宋体" w:hAnsi="宋体" w:cs="宋体"/>
          <w:kern w:val="0"/>
          <w:sz w:val="24"/>
          <w:szCs w:val="24"/>
        </w:rPr>
        <w:t>至</w:t>
      </w:r>
      <w:r>
        <w:rPr>
          <w:rFonts w:hint="eastAsia" w:ascii="宋体" w:hAnsi="宋体" w:cs="宋体"/>
          <w:kern w:val="0"/>
          <w:sz w:val="24"/>
          <w:szCs w:val="24"/>
          <w:u w:val="single"/>
        </w:rPr>
        <w:t>12:00</w:t>
      </w:r>
      <w:r>
        <w:rPr>
          <w:rFonts w:hint="eastAsia" w:ascii="宋体" w:hAnsi="宋体" w:cs="宋体"/>
          <w:kern w:val="0"/>
          <w:sz w:val="24"/>
          <w:szCs w:val="24"/>
        </w:rPr>
        <w:t>，下午</w:t>
      </w:r>
      <w:r>
        <w:rPr>
          <w:rFonts w:hint="eastAsia" w:ascii="宋体" w:hAnsi="宋体" w:cs="宋体"/>
          <w:kern w:val="0"/>
          <w:sz w:val="24"/>
          <w:szCs w:val="24"/>
          <w:u w:val="single"/>
        </w:rPr>
        <w:t>12:00</w:t>
      </w:r>
      <w:r>
        <w:rPr>
          <w:rFonts w:hint="eastAsia" w:ascii="宋体" w:hAnsi="宋体" w:cs="宋体"/>
          <w:kern w:val="0"/>
          <w:sz w:val="24"/>
          <w:szCs w:val="24"/>
        </w:rPr>
        <w:t>至</w:t>
      </w:r>
      <w:r>
        <w:rPr>
          <w:rFonts w:hint="eastAsia" w:ascii="宋体" w:hAnsi="宋体" w:cs="宋体"/>
          <w:kern w:val="0"/>
          <w:sz w:val="24"/>
          <w:szCs w:val="24"/>
          <w:u w:val="single"/>
        </w:rPr>
        <w:t>17:30</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地点：陇南市公共资源交易网（网址：http://www.lnsggzyjy.cn）免费下载</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方式：拟参与本项目的潜在供应商在获取期限内，凭CA证书登录陇南市公共资源交易网在线免费下载采购文件，并点击“我要投标” 按要求填写信息进行确认。</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售价：0(元)</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四、响应文件提交</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rPr>
        <w:t>截止时间：</w:t>
      </w:r>
      <w:r>
        <w:rPr>
          <w:rFonts w:hint="eastAsia" w:ascii="宋体" w:hAnsi="宋体" w:cs="宋体"/>
          <w:kern w:val="0"/>
          <w:sz w:val="24"/>
          <w:szCs w:val="24"/>
          <w:lang w:eastAsia="zh-CN"/>
        </w:rPr>
        <w:t>2024-04-18 15:00:00</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地点：凭CA证书登录陇南市公共资源交易网（网址 ：http://www.lnsggzyjy.cn）进行上传</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五、开启</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rPr>
        <w:t>时间：</w:t>
      </w:r>
      <w:r>
        <w:rPr>
          <w:rFonts w:hint="eastAsia" w:ascii="宋体" w:hAnsi="宋体" w:cs="宋体"/>
          <w:kern w:val="0"/>
          <w:sz w:val="24"/>
          <w:szCs w:val="24"/>
          <w:lang w:eastAsia="zh-CN"/>
        </w:rPr>
        <w:t>2024-04-18 15:00:00</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地点：陇南市公共资源交易中心网络开标直播一厅第</w:t>
      </w:r>
      <w:r>
        <w:rPr>
          <w:rFonts w:hint="eastAsia" w:ascii="宋体" w:hAnsi="宋体" w:cs="宋体"/>
          <w:kern w:val="0"/>
          <w:sz w:val="24"/>
          <w:szCs w:val="24"/>
          <w:lang w:val="en-US" w:eastAsia="zh-CN"/>
        </w:rPr>
        <w:t>2</w:t>
      </w:r>
      <w:r>
        <w:rPr>
          <w:rFonts w:hint="eastAsia" w:ascii="宋体" w:hAnsi="宋体" w:cs="宋体"/>
          <w:kern w:val="0"/>
          <w:sz w:val="24"/>
          <w:szCs w:val="24"/>
        </w:rPr>
        <w:t>坐席（陇南市行政中心5号楼环保大厦）</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六、公告期限</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自本公告发布之日起3个工作日。</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七、其他补充事宜</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1、该项目采用新点不见面网上开标方式：开评标活动通过“新点不见面网上开标大厅 ”进行。各投标单位在参与投标时，登录陇南市公共资源交易网首页“下载中心 ”，下载投标文件制作工具“ 新点投标文件制作软件(陇南版)”，并按照“不见面开评标投标人操作手册 ”制作固化并上传投标文件；本项目必须使用同一把CA进行所有操作。若在开标时间前没有网上投标(上传投标文件)则视为放弃投标。2、请潜在供应商随时关注陇南市公共资源交易网及甘肃政府采购网本项目相关变更公告及澄清答疑文件，否则由变更引起的相关责任自负。</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①陇南市公共资源交易网：http://www.lnsggzy jy.cn</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②信用中国 ”网站：https://www.creditchina.gov.cn</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③中国政府采购网网址：http://www.ccgp.gov.cn/</w:t>
      </w:r>
    </w:p>
    <w:p>
      <w:pPr>
        <w:keepNext w:val="0"/>
        <w:keepLines w:val="0"/>
        <w:pageBreakBefore w:val="0"/>
        <w:widowControl/>
        <w:numPr>
          <w:ilvl w:val="0"/>
          <w:numId w:val="1"/>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凡对本次采购提出询问，请按以下方式联系</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1.采购人信息</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名称：</w:t>
      </w:r>
      <w:r>
        <w:rPr>
          <w:rFonts w:hint="eastAsia" w:ascii="宋体" w:hAnsi="宋体" w:cs="宋体"/>
          <w:kern w:val="0"/>
          <w:sz w:val="24"/>
          <w:szCs w:val="24"/>
          <w:u w:val="single"/>
        </w:rPr>
        <w:t>陇南市武都区爱国卫生运动委员会办公室</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地址：</w:t>
      </w:r>
      <w:r>
        <w:rPr>
          <w:rFonts w:hint="eastAsia" w:ascii="宋体" w:hAnsi="宋体" w:cs="宋体"/>
          <w:kern w:val="0"/>
          <w:sz w:val="24"/>
          <w:szCs w:val="24"/>
          <w:u w:val="single"/>
        </w:rPr>
        <w:t xml:space="preserve">陇南市武都区城关镇中山街 </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rPr>
        <w:t>联系方式：</w:t>
      </w:r>
      <w:r>
        <w:rPr>
          <w:rFonts w:hint="eastAsia" w:ascii="宋体" w:hAnsi="宋体" w:cs="宋体"/>
          <w:kern w:val="0"/>
          <w:sz w:val="24"/>
          <w:szCs w:val="24"/>
          <w:u w:val="single"/>
          <w:lang w:eastAsia="zh-CN"/>
        </w:rPr>
        <w:t>0939-8350226</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2.采购代理机构信息</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名称：</w:t>
      </w:r>
      <w:r>
        <w:rPr>
          <w:rFonts w:hint="eastAsia" w:ascii="宋体" w:hAnsi="宋体" w:cs="宋体"/>
          <w:kern w:val="0"/>
          <w:sz w:val="24"/>
          <w:szCs w:val="24"/>
          <w:u w:val="single"/>
        </w:rPr>
        <w:t>陇南臻诺招标代理咨询有限公司</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地址：</w:t>
      </w:r>
      <w:r>
        <w:rPr>
          <w:rFonts w:hint="eastAsia" w:ascii="宋体" w:hAnsi="宋体" w:cs="宋体"/>
          <w:kern w:val="0"/>
          <w:sz w:val="24"/>
          <w:szCs w:val="24"/>
          <w:u w:val="single"/>
        </w:rPr>
        <w:t>甘肃省陇南市武都区教场北侧下巷陇南世博林油橄榄公司之后八层A2号</w:t>
      </w:r>
      <w:r>
        <w:rPr>
          <w:rFonts w:hint="eastAsia" w:ascii="宋体" w:hAnsi="宋体" w:cs="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联系方式：</w:t>
      </w:r>
      <w:r>
        <w:rPr>
          <w:rFonts w:hint="eastAsia" w:ascii="宋体" w:hAnsi="宋体" w:cs="宋体"/>
          <w:kern w:val="0"/>
          <w:sz w:val="24"/>
          <w:szCs w:val="24"/>
          <w:u w:val="single"/>
        </w:rPr>
        <w:t xml:space="preserve">0939-8885559 </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3.项目联系方式</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rPr>
        <w:t>项目联系人：</w:t>
      </w:r>
      <w:r>
        <w:rPr>
          <w:rFonts w:hint="eastAsia" w:ascii="宋体" w:hAnsi="宋体" w:cs="宋体"/>
          <w:kern w:val="0"/>
          <w:sz w:val="24"/>
          <w:szCs w:val="24"/>
          <w:u w:val="single"/>
          <w:lang w:val="en-US" w:eastAsia="zh-CN"/>
        </w:rPr>
        <w:t>杜佳</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电话：</w:t>
      </w:r>
      <w:r>
        <w:rPr>
          <w:rFonts w:hint="eastAsia" w:ascii="宋体" w:hAnsi="宋体" w:cs="宋体"/>
          <w:kern w:val="0"/>
          <w:sz w:val="24"/>
          <w:szCs w:val="24"/>
          <w:u w:val="single"/>
        </w:rPr>
        <w:t xml:space="preserve">18809396909 </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right"/>
        <w:textAlignment w:val="auto"/>
        <w:rPr>
          <w:rFonts w:hint="eastAsia" w:ascii="宋体" w:hAnsi="宋体" w:cs="宋体"/>
          <w:kern w:val="0"/>
          <w:sz w:val="24"/>
          <w:szCs w:val="24"/>
        </w:rPr>
      </w:pP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right"/>
        <w:textAlignment w:val="auto"/>
        <w:rPr>
          <w:rFonts w:hint="eastAsia" w:ascii="宋体" w:hAnsi="宋体" w:cs="宋体"/>
          <w:kern w:val="0"/>
          <w:sz w:val="24"/>
          <w:szCs w:val="24"/>
        </w:rPr>
      </w:pP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right"/>
        <w:textAlignment w:val="auto"/>
        <w:rPr>
          <w:rFonts w:hint="eastAsia" w:ascii="宋体" w:hAnsi="宋体" w:cs="宋体"/>
          <w:kern w:val="0"/>
          <w:sz w:val="24"/>
          <w:szCs w:val="24"/>
        </w:rPr>
      </w:pPr>
      <w:r>
        <w:rPr>
          <w:rFonts w:hint="eastAsia" w:ascii="宋体" w:hAnsi="宋体" w:cs="宋体"/>
          <w:kern w:val="0"/>
          <w:sz w:val="24"/>
          <w:szCs w:val="24"/>
        </w:rPr>
        <w:t xml:space="preserve">陇南臻诺招标代理咨询有限公司 </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right"/>
        <w:textAlignment w:val="auto"/>
        <w:rPr>
          <w:rFonts w:ascii="宋体" w:hAnsi="宋体" w:cs="宋体"/>
          <w:color w:val="333333"/>
          <w:kern w:val="0"/>
          <w:sz w:val="28"/>
          <w:szCs w:val="28"/>
          <w:shd w:val="clear" w:color="auto" w:fill="FFFFFF"/>
        </w:rPr>
      </w:pPr>
      <w:r>
        <w:rPr>
          <w:rFonts w:hint="eastAsia" w:ascii="宋体" w:hAnsi="宋体" w:cs="宋体"/>
          <w:kern w:val="0"/>
          <w:sz w:val="24"/>
          <w:szCs w:val="24"/>
        </w:rPr>
        <w:t>2024年04月0</w:t>
      </w:r>
      <w:r>
        <w:rPr>
          <w:rFonts w:hint="eastAsia" w:ascii="宋体" w:hAnsi="宋体" w:cs="宋体"/>
          <w:kern w:val="0"/>
          <w:sz w:val="24"/>
          <w:szCs w:val="24"/>
          <w:lang w:val="en-US" w:eastAsia="zh-CN"/>
        </w:rPr>
        <w:t>7</w:t>
      </w:r>
      <w:r>
        <w:rPr>
          <w:rFonts w:hint="eastAsia" w:ascii="宋体" w:hAnsi="宋体" w:cs="宋体"/>
          <w:kern w:val="0"/>
          <w:sz w:val="24"/>
          <w:szCs w:val="24"/>
        </w:rPr>
        <w:t>日</w:t>
      </w:r>
      <w:r>
        <w:rPr>
          <w:color w:val="333333"/>
          <w:sz w:val="28"/>
          <w:szCs w:val="28"/>
          <w:shd w:val="clear" w:color="auto" w:fill="FFFFFF"/>
        </w:rPr>
        <w:br w:type="page"/>
      </w:r>
    </w:p>
    <w:p>
      <w:pPr>
        <w:widowControl/>
        <w:numPr>
          <w:ilvl w:val="0"/>
          <w:numId w:val="0"/>
        </w:numPr>
        <w:jc w:val="center"/>
        <w:rPr>
          <w:rFonts w:hint="eastAsia" w:ascii="宋体" w:hAnsi="宋体" w:cs="宋体"/>
          <w:b/>
          <w:bCs/>
          <w:kern w:val="0"/>
          <w:sz w:val="32"/>
          <w:szCs w:val="32"/>
          <w:lang w:val="en-US" w:eastAsia="zh-CN"/>
        </w:rPr>
      </w:pPr>
      <w:bookmarkStart w:id="0" w:name="_Toc23302"/>
      <w:bookmarkStart w:id="1" w:name="_Toc12033"/>
      <w:bookmarkStart w:id="2" w:name="_Toc31678"/>
      <w:r>
        <w:rPr>
          <w:rFonts w:hint="eastAsia" w:ascii="宋体" w:hAnsi="宋体" w:cs="宋体"/>
          <w:b/>
          <w:bCs/>
          <w:kern w:val="0"/>
          <w:sz w:val="32"/>
          <w:szCs w:val="32"/>
          <w:lang w:val="en-US" w:eastAsia="zh-CN"/>
        </w:rPr>
        <w:t>第二章  投标须知</w:t>
      </w:r>
      <w:bookmarkEnd w:id="0"/>
      <w:bookmarkStart w:id="3" w:name="_Toc3314"/>
      <w:r>
        <w:rPr>
          <w:rFonts w:hint="eastAsia" w:ascii="宋体" w:hAnsi="宋体" w:cs="宋体"/>
          <w:b/>
          <w:bCs/>
          <w:kern w:val="0"/>
          <w:sz w:val="32"/>
          <w:szCs w:val="32"/>
          <w:lang w:val="en-US" w:eastAsia="zh-CN"/>
        </w:rPr>
        <w:t>前附表</w:t>
      </w:r>
      <w:bookmarkEnd w:id="1"/>
      <w:bookmarkEnd w:id="2"/>
      <w:bookmarkEnd w:id="3"/>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335"/>
        <w:gridCol w:w="7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条款号</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条款名称</w:t>
            </w:r>
          </w:p>
        </w:tc>
        <w:tc>
          <w:tcPr>
            <w:tcW w:w="7014"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采购人信息</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 购 人：陇南市武都区爱国卫生运动委员会办公室</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地    址：陇南市武都区城关镇中山街 </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联 系 人：杜佳</w:t>
            </w:r>
          </w:p>
          <w:p>
            <w:pPr>
              <w:rPr>
                <w:rFonts w:hint="eastAsia" w:eastAsia="宋体"/>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联系电话：</w:t>
            </w:r>
            <w:r>
              <w:rPr>
                <w:rFonts w:hint="eastAsia"/>
                <w:color w:val="000000" w:themeColor="text1"/>
                <w:vertAlign w:val="baseline"/>
                <w:lang w:eastAsia="zh-CN"/>
                <w14:textFill>
                  <w14:solidFill>
                    <w14:schemeClr w14:val="tx1"/>
                  </w14:solidFill>
                </w14:textFill>
              </w:rPr>
              <w:t>0939-8350226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w:t>
            </w:r>
          </w:p>
        </w:tc>
        <w:tc>
          <w:tcPr>
            <w:tcW w:w="1335" w:type="dxa"/>
          </w:tcPr>
          <w:p>
            <w:pPr>
              <w:rPr>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采购代理机构信息</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代理机构：陇南臻诺招标代理咨询有限公司</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地    址：甘肃省陇南市武都区教场北侧下巷陇南世博林油橄榄公司之后八层A2号</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联 系 人：黄乐</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联系电话：0939-8885559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3</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项目信息</w:t>
            </w:r>
          </w:p>
        </w:tc>
        <w:tc>
          <w:tcPr>
            <w:tcW w:w="7014" w:type="dxa"/>
          </w:tcPr>
          <w:p>
            <w:pP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项目名称：</w:t>
            </w:r>
            <w:r>
              <w:rPr>
                <w:rFonts w:hint="eastAsia"/>
                <w:color w:val="000000" w:themeColor="text1"/>
                <w:vertAlign w:val="baseline"/>
                <w:lang w:eastAsia="zh-CN"/>
                <w14:textFill>
                  <w14:solidFill>
                    <w14:schemeClr w14:val="tx1"/>
                  </w14:solidFill>
                </w14:textFill>
              </w:rPr>
              <w:t>2024年武都区爱卫办病媒生物防制除四害消杀项目</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项目计划：签订一个总包合同</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采购需求：针对2024年武都城区内除四害消杀项目工作，需要聘请第三方专业性公司实施，实施时间为2024年全年，</w:t>
            </w:r>
            <w:r>
              <w:rPr>
                <w:rFonts w:hint="eastAsia"/>
                <w:color w:val="000000" w:themeColor="text1"/>
                <w:vertAlign w:val="baseline"/>
                <w:lang w:eastAsia="zh-CN"/>
                <w14:textFill>
                  <w14:solidFill>
                    <w14:schemeClr w14:val="tx1"/>
                  </w14:solidFill>
                </w14:textFill>
              </w:rPr>
              <w:t>施工范围</w:t>
            </w:r>
            <w:r>
              <w:rPr>
                <w:rFonts w:hint="eastAsia"/>
                <w:color w:val="000000" w:themeColor="text1"/>
                <w:vertAlign w:val="baseline"/>
                <w14:textFill>
                  <w14:solidFill>
                    <w14:schemeClr w14:val="tx1"/>
                  </w14:solidFill>
                </w14:textFill>
              </w:rPr>
              <w:t>武都区建成区内。（具体内容详见竞争性磋商文件）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4</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资金来源</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5</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投标人资格 条件</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（1）须符合《中华人民共和国政府采购法》第二十二条之规定；</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（2）须具有合法有效的法人营业执照、国家和地方税务登记证、组织机构代码证、开户许可证；前述法人营业执照、税务登记证、组织机构代码证已三证合一的，则需提供具有统一社会信用代码的营业执照；</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（3）须提供法人授权函及被授权人身份证（正、反面 复印件）；</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（4）供应商未被列入“信用中国 ”网站</w:t>
            </w:r>
          </w:p>
          <w:p>
            <w:pPr>
              <w:rPr>
                <w:rFonts w:hint="eastAsia" w:eastAsia="宋体"/>
                <w:color w:val="000000" w:themeColor="text1"/>
                <w:vertAlign w:val="baseline"/>
                <w:lang w:val="en-ZA" w:eastAsia="zh-CN"/>
                <w14:textFill>
                  <w14:solidFill>
                    <w14:schemeClr w14:val="tx1"/>
                  </w14:solidFill>
                </w14:textFill>
              </w:rPr>
            </w:pPr>
            <w:r>
              <w:rPr>
                <w:rFonts w:hint="eastAsia"/>
                <w:color w:val="000000" w:themeColor="text1"/>
                <w:vertAlign w:val="baseline"/>
                <w14:textFill>
                  <w14:solidFill>
                    <w14:schemeClr w14:val="tx1"/>
                  </w14:solidFill>
                </w14:textFill>
              </w:rPr>
              <w:t>[www.creditchina.gov.cn]记录失信被执行人或重大税收违法失信主体或政府采购严重违法失信行为记录名单；不处于中国政府采购网[www.ccgp.gov.cn]政府采购严重违法失信行为信息记录中的禁止参加政府采购活动期间的方可参加本项目的投标【以招标公告发布之日起至投标截止之日前在“信用中国”网站[www.creditchina.gov.cn]、中国政府采购网[www.ccgp.gov.cn]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6</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投标有效期</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自递交投标文件截止时间起算60个日历天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7</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预算金额</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预算金额：</w:t>
            </w:r>
            <w:r>
              <w:rPr>
                <w:rFonts w:hint="eastAsia"/>
                <w:color w:val="000000" w:themeColor="text1"/>
                <w:vertAlign w:val="baseline"/>
                <w:lang w:val="en-US" w:eastAsia="zh-CN"/>
                <w14:textFill>
                  <w14:solidFill>
                    <w14:schemeClr w14:val="tx1"/>
                  </w14:solidFill>
                </w14:textFill>
              </w:rPr>
              <w:t>60.0</w:t>
            </w:r>
            <w:r>
              <w:rPr>
                <w:rFonts w:hint="eastAsia"/>
                <w:color w:val="000000" w:themeColor="text1"/>
                <w:vertAlign w:val="baseline"/>
                <w14:textFill>
                  <w14:solidFill>
                    <w14:schemeClr w14:val="tx1"/>
                  </w14:solidFill>
                </w14:textFill>
              </w:rPr>
              <w:t>万元。</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（实际成交价不得高于限价，超过限价按废标处理）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8</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招标预备会</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本项目不组织招标预备会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9</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响应文件 份数</w:t>
            </w:r>
          </w:p>
        </w:tc>
        <w:tc>
          <w:tcPr>
            <w:tcW w:w="7014"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该项目采用新点不见面网上开标方式：开评活动通过“新点不见面网上开标大厅”进行。各投标单位在参与投标时，登录陇南市公共资源交易网首页“下载中心”，下载投标文件制作工具“新点投标文件制作软件（陇南版） , 并按照“不见面开评标投标人操作手册”制作固化并上传投标文件；本项目必须使用同一把 CA 进行所有操作。若在开标时间前没有网上投标（上传投标文件）则视为放弃投标。</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投标单位需要在2024年</w:t>
            </w:r>
            <w:r>
              <w:rPr>
                <w:rFonts w:hint="eastAsia"/>
                <w:color w:val="000000" w:themeColor="text1"/>
                <w:vertAlign w:val="baseline"/>
                <w:lang w:eastAsia="zh-CN"/>
                <w14:textFill>
                  <w14:solidFill>
                    <w14:schemeClr w14:val="tx1"/>
                  </w14:solidFill>
                </w14:textFill>
              </w:rPr>
              <w:t>04月18 日下午15:00时</w:t>
            </w:r>
            <w:bookmarkStart w:id="22" w:name="_GoBack"/>
            <w:bookmarkEnd w:id="22"/>
            <w:r>
              <w:rPr>
                <w:rFonts w:hint="eastAsia"/>
                <w:color w:val="000000" w:themeColor="text1"/>
                <w:vertAlign w:val="baseline"/>
                <w14:textFill>
                  <w14:solidFill>
                    <w14:schemeClr w14:val="tx1"/>
                  </w14:solidFill>
                </w14:textFill>
              </w:rPr>
              <w:t>前上传投标文件，否则引起的相关责任自负。</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请投标人在开标后5个工作日内将最终上传的投标文件打印装订成册，送至陇南臻诺招标代理咨询有限公司 （甘肃省陇南市武都区教场北侧下巷陇南世博林油橄榄公司之后八层A2号、联系电话：</w:t>
            </w:r>
            <w:r>
              <w:rPr>
                <w:rFonts w:hint="eastAsia"/>
                <w:color w:val="000000" w:themeColor="text1"/>
                <w:vertAlign w:val="baseline"/>
                <w:lang w:val="en-US" w:eastAsia="zh-CN"/>
                <w14:textFill>
                  <w14:solidFill>
                    <w14:schemeClr w14:val="tx1"/>
                  </w14:solidFill>
                </w14:textFill>
              </w:rPr>
              <w:t>18809396909</w:t>
            </w:r>
            <w:r>
              <w:rPr>
                <w:rFonts w:hint="eastAsia"/>
                <w:color w:val="000000" w:themeColor="text1"/>
                <w:vertAlign w:val="baseline"/>
                <w14:textFill>
                  <w14:solidFill>
                    <w14:schemeClr w14:val="tx1"/>
                  </w14:solidFill>
                </w14:textFill>
              </w:rPr>
              <w:t>）。未送达者将上报财政部门将其拉入政府采购黑名单。具体内容：</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lang w:eastAsia="zh-CN"/>
                <w14:textFill>
                  <w14:solidFill>
                    <w14:schemeClr w14:val="tx1"/>
                  </w14:solidFill>
                </w14:textFill>
              </w:rPr>
              <w:t>（</w:t>
            </w:r>
            <w:r>
              <w:rPr>
                <w:rFonts w:hint="eastAsia"/>
                <w:color w:val="000000" w:themeColor="text1"/>
                <w:vertAlign w:val="baseline"/>
                <w:lang w:val="en-US" w:eastAsia="zh-CN"/>
                <w14:textFill>
                  <w14:solidFill>
                    <w14:schemeClr w14:val="tx1"/>
                  </w14:solidFill>
                </w14:textFill>
              </w:rPr>
              <w:t>1</w:t>
            </w:r>
            <w:r>
              <w:rPr>
                <w:rFonts w:hint="eastAsia"/>
                <w:color w:val="000000" w:themeColor="text1"/>
                <w:vertAlign w:val="baseline"/>
                <w:lang w:eastAsia="zh-CN"/>
                <w14:textFill>
                  <w14:solidFill>
                    <w14:schemeClr w14:val="tx1"/>
                  </w14:solidFill>
                </w14:textFill>
              </w:rPr>
              <w:t>）</w:t>
            </w:r>
            <w:r>
              <w:rPr>
                <w:rFonts w:hint="eastAsia"/>
                <w:color w:val="000000" w:themeColor="text1"/>
                <w:vertAlign w:val="baseline"/>
                <w14:textFill>
                  <w14:solidFill>
                    <w14:schemeClr w14:val="tx1"/>
                  </w14:solidFill>
                </w14:textFill>
              </w:rPr>
              <w:t>纸质文件份数：正本壹份、副本贰份。</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 电子版文件要求：电子版U盘壹份；U盘为PDF文件（PDF文件内容与纸质版文件正本完全一致）。</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注：所有投标文件不予退回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10</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响应文件 递交</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开评活动通过“新点不见面网上开标大厅”进行</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截止时间：2024年</w:t>
            </w:r>
            <w:r>
              <w:rPr>
                <w:rFonts w:hint="eastAsia"/>
                <w:color w:val="000000" w:themeColor="text1"/>
                <w:vertAlign w:val="baseline"/>
                <w:lang w:eastAsia="zh-CN"/>
                <w14:textFill>
                  <w14:solidFill>
                    <w14:schemeClr w14:val="tx1"/>
                  </w14:solidFill>
                </w14:textFill>
              </w:rPr>
              <w:t>04月18 日下午15:00时，</w:t>
            </w:r>
            <w:r>
              <w:rPr>
                <w:rFonts w:hint="eastAsia"/>
                <w:color w:val="000000" w:themeColor="text1"/>
                <w:vertAlign w:val="baseline"/>
                <w14:textFill>
                  <w14:solidFill>
                    <w14:schemeClr w14:val="tx1"/>
                  </w14:solidFill>
                </w14:textFill>
              </w:rPr>
              <w:t>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11</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开标时间</w:t>
            </w:r>
          </w:p>
        </w:tc>
        <w:tc>
          <w:tcPr>
            <w:tcW w:w="7014" w:type="dxa"/>
          </w:tcPr>
          <w:p>
            <w:pPr>
              <w:numPr>
                <w:ilvl w:val="0"/>
                <w:numId w:val="0"/>
              </w:numPr>
              <w:rPr>
                <w:rFonts w:hint="eastAsia" w:eastAsia="宋体"/>
                <w:color w:val="000000" w:themeColor="text1"/>
                <w:vertAlign w:val="baseline"/>
                <w:lang w:eastAsia="zh-CN"/>
                <w14:textFill>
                  <w14:solidFill>
                    <w14:schemeClr w14:val="tx1"/>
                  </w14:solidFill>
                </w14:textFill>
              </w:rPr>
            </w:pPr>
            <w:r>
              <w:rPr>
                <w:rFonts w:hint="eastAsia"/>
                <w:color w:val="000000" w:themeColor="text1"/>
                <w:vertAlign w:val="baseline"/>
                <w14:textFill>
                  <w14:solidFill>
                    <w14:schemeClr w14:val="tx1"/>
                  </w14:solidFill>
                </w14:textFill>
              </w:rPr>
              <w:t>2024年</w:t>
            </w:r>
            <w:r>
              <w:rPr>
                <w:rFonts w:hint="eastAsia"/>
                <w:color w:val="000000" w:themeColor="text1"/>
                <w:vertAlign w:val="baseline"/>
                <w:lang w:eastAsia="zh-CN"/>
                <w14:textFill>
                  <w14:solidFill>
                    <w14:schemeClr w14:val="tx1"/>
                  </w14:solidFill>
                </w14:textFill>
              </w:rPr>
              <w:t>04月18 日下午15:00时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12</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开标地点</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陇南市公共资源交易中心网络开标直播一厅第</w:t>
            </w:r>
            <w:r>
              <w:rPr>
                <w:rFonts w:hint="eastAsia"/>
                <w:color w:val="000000" w:themeColor="text1"/>
                <w:vertAlign w:val="baseline"/>
                <w:lang w:val="en-US" w:eastAsia="zh-CN"/>
                <w14:textFill>
                  <w14:solidFill>
                    <w14:schemeClr w14:val="tx1"/>
                  </w14:solidFill>
                </w14:textFill>
              </w:rPr>
              <w:t>2</w:t>
            </w:r>
            <w:r>
              <w:rPr>
                <w:rFonts w:hint="eastAsia"/>
                <w:color w:val="000000" w:themeColor="text1"/>
                <w:vertAlign w:val="baseline"/>
                <w14:textFill>
                  <w14:solidFill>
                    <w14:schemeClr w14:val="tx1"/>
                  </w14:solidFill>
                </w14:textFill>
              </w:rPr>
              <w:t>坐席（陇南市行政中心5号楼环保大厦）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13</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履约保证金</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14</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投标保证金</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为进一步优化营商环境举措，按照甘财采（2022）16 号甘 肃省财政厅关于进一步加大政府采购支持中小企业力度的 通知，全省政府采购项目不再收取投标保证金。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15</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中小企业采</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购预留份额</w:t>
            </w:r>
          </w:p>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比例</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16</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落实支持中 小企业政府 采购政策</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1、执行中小企业声明函制度。根据工业和信息化部、国家统计局、国家发展和改革委员会、财政部等部委发布的《关于印发中小企业划型标准規定的通知》（工信部联企业（2011)300号），按照本次采购标的所属行业的划型标准，符合条件的中小微企业应按照招标文件格式要求提供《中小企业声明函》，仅需出具《中小企业声明函》即可享受相关扶持政策。投标供应商需对《中小企业声明函》内容的真实性负责，成交供应商享受中小企业扶持政策的，《中小企业声明函》随成交结果一并公开。</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2、根据财政部、工业和信息化部发布的《政府采购促进中小企业发展管理办法》（财库（2020）46号）和财政部《关于进一步加大政府采购支持中小企业力度的通知》（财库（2022)19号）规定，对小型和微型企业产品的投标价格给予10％的扣除，用扣除后的价格参与评审。</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3、投标人提供的货物由中小企业生产且使用该中小企业商号或者注册商标的，享受中小企业扶持政策。供应商提供 的货物既有中小企业制造的货物。也有大型企业制造的货物的，不享受中小企业扶持政策。</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4、提供由省级以上监狱管理局、戒毒管理局（含新疆生产建设兵团）出具的属于监狱企业证明文件（原件彩色扫描件）的，视同为小型和微型企业。</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5、符合享受政府采购支持政策的残疾人福利性单位条件且提供《残疾人福利性单位声明函》的，视同为小型和微型企业。</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6、投标人不属于中小企业的，则不享受中小企业扶持政策。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17</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是否存在以 注册资本 金、资产总 额、营业收 入、从业人 员等规模条 件对中小企 业实行差别 待遇或歧视 待遇的情况</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Pr>
          <w:p>
            <w:pP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18</w:t>
            </w:r>
          </w:p>
        </w:tc>
        <w:tc>
          <w:tcPr>
            <w:tcW w:w="1335" w:type="dxa"/>
          </w:tcPr>
          <w:p>
            <w:p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采购代理 服务费</w:t>
            </w:r>
          </w:p>
        </w:tc>
        <w:tc>
          <w:tcPr>
            <w:tcW w:w="7014" w:type="dxa"/>
          </w:tcPr>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参照国家计委颁发的《招标代理服务收费管理暂行办法》（计价格[2002]1980 号）、《国家发展改革委办办公厅关于招标代理服务费收有关问题的通知》（发改办价格 [2003]857号）规定的标准和政府采购招标代理委托协议约定，由中标供应商在中标公示期结束后，领取《中标通知书》前，一次性支付招标代理服务费及相关费用给</w:t>
            </w:r>
            <w:r>
              <w:rPr>
                <w:rFonts w:hint="eastAsia"/>
                <w:color w:val="000000" w:themeColor="text1"/>
                <w:vertAlign w:val="baseline"/>
                <w:lang w:val="en-US" w:eastAsia="zh-CN"/>
                <w14:textFill>
                  <w14:solidFill>
                    <w14:schemeClr w14:val="tx1"/>
                  </w14:solidFill>
                </w14:textFill>
              </w:rPr>
              <w:t>陇南臻诺招标代理咨询有限公司</w:t>
            </w:r>
            <w:r>
              <w:rPr>
                <w:rFonts w:hint="eastAsia"/>
                <w:color w:val="000000" w:themeColor="text1"/>
                <w:vertAlign w:val="baseline"/>
                <w14:textFill>
                  <w14:solidFill>
                    <w14:schemeClr w14:val="tx1"/>
                  </w14:solidFill>
                </w14:textFill>
              </w:rPr>
              <w:t>。</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收款方式：现金或转账。 </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招标代理服务费缴纳：</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 xml:space="preserve">账户名：陇南臻诺招标代理咨询有限公司 </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账  号：61012900200019737</w:t>
            </w:r>
          </w:p>
          <w:p>
            <w:pPr>
              <w:numPr>
                <w:ilvl w:val="0"/>
                <w:numId w:val="0"/>
              </w:numPr>
              <w:rPr>
                <w:rFonts w:hint="eastAsia"/>
                <w:color w:val="000000" w:themeColor="text1"/>
                <w:vertAlign w:val="baseline"/>
                <w14:textFill>
                  <w14:solidFill>
                    <w14:schemeClr w14:val="tx1"/>
                  </w14:solidFill>
                </w14:textFill>
              </w:rPr>
            </w:pPr>
            <w:r>
              <w:rPr>
                <w:rFonts w:hint="eastAsia"/>
                <w:color w:val="000000" w:themeColor="text1"/>
                <w:vertAlign w:val="baseline"/>
                <w14:textFill>
                  <w14:solidFill>
                    <w14:schemeClr w14:val="tx1"/>
                  </w14:solidFill>
                </w14:textFill>
              </w:rPr>
              <w:t>开户行：甘肃银行股份有限公司陇南分行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0" w:type="dxa"/>
            <w:gridSpan w:val="3"/>
          </w:tcPr>
          <w:p>
            <w:pPr>
              <w:numPr>
                <w:ilvl w:val="0"/>
                <w:numId w:val="0"/>
              </w:numPr>
              <w:rPr>
                <w:rFonts w:hint="eastAsia"/>
                <w:color w:val="FF0000"/>
              </w:rPr>
            </w:pPr>
            <w:r>
              <w:rPr>
                <w:rFonts w:hint="eastAsia"/>
                <w:color w:val="FF0000"/>
              </w:rPr>
              <w:t>注：</w:t>
            </w:r>
          </w:p>
          <w:p>
            <w:pPr>
              <w:numPr>
                <w:ilvl w:val="0"/>
                <w:numId w:val="0"/>
              </w:numPr>
              <w:rPr>
                <w:rFonts w:hint="eastAsia"/>
                <w:color w:val="FF0000"/>
              </w:rPr>
            </w:pPr>
            <w:r>
              <w:rPr>
                <w:rFonts w:hint="eastAsia"/>
                <w:color w:val="FF0000"/>
              </w:rPr>
              <w:t>1、招标代理费等相关费用由中标单位支付。如前后不一致之处，以前附表为准。</w:t>
            </w:r>
          </w:p>
          <w:p>
            <w:pPr>
              <w:numPr>
                <w:ilvl w:val="0"/>
                <w:numId w:val="0"/>
              </w:numPr>
              <w:rPr>
                <w:rFonts w:hint="eastAsia"/>
                <w:color w:val="FF0000"/>
              </w:rPr>
            </w:pPr>
            <w:r>
              <w:rPr>
                <w:rFonts w:hint="eastAsia"/>
                <w:color w:val="FF0000"/>
              </w:rPr>
              <w:t>2、开始开标前检查自己开标设备网络稳定性，如有中途退出等问题，后果自负。</w:t>
            </w:r>
          </w:p>
          <w:p>
            <w:pPr>
              <w:numPr>
                <w:ilvl w:val="0"/>
                <w:numId w:val="0"/>
              </w:numPr>
              <w:rPr>
                <w:rFonts w:hint="eastAsia"/>
                <w:color w:val="000000" w:themeColor="text1"/>
                <w:vertAlign w:val="baseline"/>
                <w14:textFill>
                  <w14:solidFill>
                    <w14:schemeClr w14:val="tx1"/>
                  </w14:solidFill>
                </w14:textFill>
              </w:rPr>
            </w:pPr>
            <w:r>
              <w:rPr>
                <w:rFonts w:hint="eastAsia"/>
                <w:color w:val="FF0000"/>
              </w:rPr>
              <w:t>3、投标人在投标时请前登录陇南市公共资源交易网--不见面开标大厅找到相对应的项目和包号进行签到。</w:t>
            </w:r>
          </w:p>
        </w:tc>
      </w:tr>
    </w:tbl>
    <w:p>
      <w:pPr>
        <w:rPr>
          <w:color w:val="000000" w:themeColor="text1"/>
          <w14:textFill>
            <w14:solidFill>
              <w14:schemeClr w14:val="tx1"/>
            </w14:solidFill>
          </w14:textFill>
        </w:rPr>
      </w:pPr>
    </w:p>
    <w:p>
      <w:pPr>
        <w:pStyle w:val="16"/>
        <w:rPr>
          <w:rFonts w:ascii="宋体" w:hAnsi="宋体" w:cs="宋体"/>
          <w:b/>
          <w:bCs/>
          <w:color w:val="000000" w:themeColor="text1"/>
          <w:kern w:val="0"/>
          <w:sz w:val="32"/>
          <w:szCs w:val="32"/>
          <w14:textFill>
            <w14:solidFill>
              <w14:schemeClr w14:val="tx1"/>
            </w14:solidFill>
          </w14:textFill>
        </w:rPr>
      </w:pPr>
      <w:bookmarkStart w:id="4" w:name="_Toc7461"/>
      <w:bookmarkStart w:id="5" w:name="_Toc27594"/>
    </w:p>
    <w:p>
      <w:pPr>
        <w:widowControl/>
        <w:jc w:val="left"/>
        <w:rPr>
          <w:rFonts w:ascii="宋体" w:hAnsi="宋体" w:cs="宋体"/>
          <w:b/>
          <w:bCs/>
          <w:color w:val="000000" w:themeColor="text1"/>
          <w:kern w:val="0"/>
          <w:sz w:val="32"/>
          <w:szCs w:val="32"/>
          <w14:textFill>
            <w14:solidFill>
              <w14:schemeClr w14:val="tx1"/>
            </w14:solidFill>
          </w14:textFill>
        </w:rPr>
      </w:pPr>
      <w:r>
        <w:rPr>
          <w:rFonts w:ascii="宋体" w:hAnsi="宋体" w:cs="宋体"/>
          <w:b/>
          <w:bCs/>
          <w:color w:val="000000" w:themeColor="text1"/>
          <w:kern w:val="0"/>
          <w:sz w:val="32"/>
          <w:szCs w:val="32"/>
          <w14:textFill>
            <w14:solidFill>
              <w14:schemeClr w14:val="tx1"/>
            </w14:solidFill>
          </w14:textFill>
        </w:rPr>
        <w:br w:type="page"/>
      </w:r>
    </w:p>
    <w:p>
      <w:pPr>
        <w:spacing w:line="360" w:lineRule="exact"/>
        <w:jc w:val="center"/>
        <w:outlineLvl w:val="0"/>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三</w:t>
      </w:r>
      <w:r>
        <w:rPr>
          <w:rFonts w:hint="eastAsia" w:ascii="宋体" w:hAnsi="宋体" w:cs="宋体"/>
          <w:b/>
          <w:bCs/>
          <w:color w:val="000000" w:themeColor="text1"/>
          <w:kern w:val="0"/>
          <w:sz w:val="32"/>
          <w:szCs w:val="32"/>
          <w14:textFill>
            <w14:solidFill>
              <w14:schemeClr w14:val="tx1"/>
            </w14:solidFill>
          </w14:textFill>
        </w:rPr>
        <w:t xml:space="preserve">章  </w:t>
      </w:r>
      <w:bookmarkEnd w:id="4"/>
      <w:bookmarkEnd w:id="5"/>
      <w:r>
        <w:rPr>
          <w:rFonts w:hint="eastAsia" w:ascii="宋体" w:hAnsi="宋体" w:cs="宋体"/>
          <w:b/>
          <w:bCs/>
          <w:color w:val="000000" w:themeColor="text1"/>
          <w:kern w:val="0"/>
          <w:sz w:val="32"/>
          <w:szCs w:val="32"/>
          <w14:textFill>
            <w14:solidFill>
              <w14:schemeClr w14:val="tx1"/>
            </w14:solidFill>
          </w14:textFill>
        </w:rPr>
        <w:t>技术规格、参数与要求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auto"/>
        <w:ind w:firstLine="420" w:firstLineChars="200"/>
        <w:jc w:val="left"/>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bookmarkStart w:id="6" w:name="_Toc26132"/>
      <w:bookmarkStart w:id="7" w:name="_Toc13986"/>
      <w:r>
        <w:rPr>
          <w:rFonts w:hint="eastAsia" w:ascii="宋体" w:hAnsi="宋体" w:eastAsia="宋体" w:cs="宋体"/>
          <w:b/>
          <w:bCs/>
          <w:color w:val="auto"/>
          <w:kern w:val="0"/>
          <w:sz w:val="21"/>
          <w:szCs w:val="21"/>
          <w:lang w:val="en-US" w:eastAsia="zh-CN" w:bidi="ar"/>
        </w:rPr>
        <w:t>一、</w:t>
      </w: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服务范围及作业要求：</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针对2024年武都城区内除四害消杀项目工作，需要聘请第三方专业性公司实施，实施时间为2024年全年，施工范围武都区建成区内。</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1.服务范围：</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钟楼滩街道办;地处商贸繁华区，管辖区西起灰崖子，东至白裕河大桥，南自白龙江，北抵旧城山。</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武都区城关镇;位于武都区中部，东邻东江水公园，西接管理站，南至白龙江北侧。</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武都区东江镇;位于繁华地段，西彩虹桥。东栈道湾大桥，南长江大道，北至火车站。</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江北街道办;地处西至乞巧街，北阶州大道，南到长江大道。</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江南街道办;地处武都中南部北抵白龙江、南姚寨镇为界与魏岭乡相望，东江水公园界与，栈道湾大桥西以江南公园接壤。</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万象洞景区服务区</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吉石坝街道两侧绿化带</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default"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2.作业要求;</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根据《中华人民共和国国家标准-病媒生物密度控制水平》标准组织实施作业，确保服务区域鼠类、蚊虫、蝇类、蜚蠊（GB/T27770–2011、GB/T27771–2011、GB/T27772–2011、 GB/T27773–2011）达到C级及以上水平。</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 xml:space="preserve">具体标准要求如下： </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（1）.鼠密度控制水平</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 xml:space="preserve">防鼠设施C级标准：防鼠设施合格率大于或等于93%。室内鼠迹阳性率小于或等于5%。外环境鼠密度控制水平C级标准：路径指数小于或等于5%。   </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（2）.蚊虫密度控制水平</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小型积水蚊虫密度控制水平C级标准：路径指数小于或等于0.8。大型水体蚊虫密度控制水平C级标准：采样勺指数小于或等于5%，平均每阳性勺少于8只蚊虫幼虫和蛹。外环境蚊虫密度控制水平C级标准：停落指数小于或等于1.5。</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 xml:space="preserve">（3）.蝇类控制水平          </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 xml:space="preserve">生产销售直接人口食品的场所不得有蝇。室内不得存在蝇类孳生地。室内成蝇密度控制水平C级标准：有蝇房间阳性率小于或等于9%，阳性间蝇密度小于或等于3只/间。室外蝇类孳生地密度控制水平C级标准：蝇类孳生地阳性率小于或等于5%。防蝇设施C级标准：防蝇设施合格率大于或等于90%。 </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 xml:space="preserve"> （4）.蜚蠊（蟑螂）密度控制水平</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成若虫侵害率C级标准：蜚蠊成若虫侵害率小于或等于5%，平均每阳性间（处）成若虫数小蠊小于或等于10只，大蠊小于或等于5只；卵鞘查获率C级标准：蜚蠊卵鞘查获率小于或等于3%，平均每阳性间（处）卵鞘数小于或等于8只。蟑迹查获率C级标准：蟑迹查获率小于或等于7%。</w:t>
      </w:r>
    </w:p>
    <w:p>
      <w:pPr>
        <w:keepNext w:val="0"/>
        <w:keepLines w:val="0"/>
        <w:pageBreakBefore w:val="0"/>
        <w:numPr>
          <w:ilvl w:val="0"/>
          <w:numId w:val="2"/>
        </w:numPr>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b w:val="0"/>
          <w:bCs w:val="0"/>
          <w:caps w:val="0"/>
          <w:snapToGrid w:val="0"/>
          <w:color w:val="auto"/>
          <w:spacing w:val="0"/>
          <w:kern w:val="0"/>
          <w:sz w:val="21"/>
          <w:szCs w:val="21"/>
          <w:u w:val="none"/>
          <w:shd w:val="clear" w:fill="FFFFFF"/>
          <w:lang w:val="en-US" w:eastAsia="zh-CN" w:bidi="ar"/>
        </w:rPr>
      </w:pPr>
      <w:r>
        <w:rPr>
          <w:rFonts w:hint="eastAsia" w:ascii="宋体" w:hAnsi="宋体" w:eastAsia="宋体" w:cs="宋体"/>
          <w:b w:val="0"/>
          <w:bCs w:val="0"/>
          <w:caps w:val="0"/>
          <w:snapToGrid w:val="0"/>
          <w:color w:val="auto"/>
          <w:spacing w:val="0"/>
          <w:kern w:val="0"/>
          <w:sz w:val="21"/>
          <w:szCs w:val="21"/>
          <w:u w:val="none"/>
          <w:shd w:val="clear" w:fill="FFFFFF"/>
          <w:lang w:val="en-US" w:eastAsia="zh-CN" w:bidi="ar"/>
        </w:rPr>
        <w:t>采购需求及参数与要求：</w:t>
      </w:r>
    </w:p>
    <w:tbl>
      <w:tblPr>
        <w:tblStyle w:val="33"/>
        <w:tblW w:w="9599" w:type="dxa"/>
        <w:tblInd w:w="93" w:type="dxa"/>
        <w:tblLayout w:type="fixed"/>
        <w:tblCellMar>
          <w:top w:w="0" w:type="dxa"/>
          <w:left w:w="108" w:type="dxa"/>
          <w:bottom w:w="0" w:type="dxa"/>
          <w:right w:w="108" w:type="dxa"/>
        </w:tblCellMar>
      </w:tblPr>
      <w:tblGrid>
        <w:gridCol w:w="705"/>
        <w:gridCol w:w="2564"/>
        <w:gridCol w:w="2550"/>
        <w:gridCol w:w="870"/>
        <w:gridCol w:w="1320"/>
        <w:gridCol w:w="1590"/>
      </w:tblGrid>
      <w:tr>
        <w:tblPrEx>
          <w:tblCellMar>
            <w:top w:w="0" w:type="dxa"/>
            <w:left w:w="108" w:type="dxa"/>
            <w:bottom w:w="0" w:type="dxa"/>
            <w:right w:w="108" w:type="dxa"/>
          </w:tblCellMar>
        </w:tblPrEx>
        <w:trPr>
          <w:trHeight w:val="499"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480" w:lineRule="auto"/>
              <w:jc w:val="center"/>
              <w:textAlignment w:val="bottom"/>
              <w:rPr>
                <w:rFonts w:ascii="宋体" w:hAnsi="宋体" w:cs="宋体"/>
                <w:color w:val="000000"/>
                <w:sz w:val="21"/>
                <w:szCs w:val="21"/>
              </w:rPr>
            </w:pPr>
            <w:r>
              <w:rPr>
                <w:rFonts w:hint="eastAsia" w:ascii="宋体" w:hAnsi="宋体" w:cs="宋体"/>
                <w:color w:val="000000"/>
                <w:kern w:val="0"/>
                <w:sz w:val="21"/>
                <w:szCs w:val="21"/>
                <w:lang w:bidi="ar"/>
              </w:rPr>
              <w:t>序号</w:t>
            </w: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480" w:lineRule="auto"/>
              <w:jc w:val="center"/>
              <w:textAlignment w:val="bottom"/>
              <w:rPr>
                <w:rFonts w:ascii="宋体" w:hAnsi="宋体" w:cs="宋体"/>
                <w:color w:val="000000"/>
                <w:sz w:val="21"/>
                <w:szCs w:val="21"/>
              </w:rPr>
            </w:pPr>
            <w:r>
              <w:rPr>
                <w:rFonts w:hint="eastAsia" w:ascii="宋体" w:hAnsi="宋体" w:cs="宋体"/>
                <w:color w:val="000000"/>
                <w:kern w:val="0"/>
                <w:sz w:val="21"/>
                <w:szCs w:val="21"/>
                <w:lang w:bidi="ar"/>
              </w:rPr>
              <w:t>名称</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80" w:lineRule="auto"/>
              <w:jc w:val="center"/>
              <w:textAlignment w:val="bottom"/>
              <w:rPr>
                <w:rFonts w:ascii="宋体" w:hAnsi="宋体" w:cs="宋体"/>
                <w:color w:val="000000"/>
                <w:sz w:val="21"/>
                <w:szCs w:val="21"/>
              </w:rPr>
            </w:pPr>
            <w:r>
              <w:rPr>
                <w:rFonts w:hint="eastAsia" w:ascii="宋体" w:hAnsi="宋体" w:cs="宋体"/>
                <w:color w:val="000000"/>
                <w:kern w:val="0"/>
                <w:sz w:val="21"/>
                <w:szCs w:val="21"/>
                <w:lang w:bidi="ar"/>
              </w:rPr>
              <w:t>规格型号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80" w:lineRule="auto"/>
              <w:jc w:val="center"/>
              <w:textAlignment w:val="bottom"/>
              <w:rPr>
                <w:rFonts w:ascii="宋体" w:hAnsi="宋体" w:cs="宋体"/>
                <w:color w:val="000000"/>
                <w:sz w:val="21"/>
                <w:szCs w:val="21"/>
              </w:rPr>
            </w:pPr>
            <w:r>
              <w:rPr>
                <w:rFonts w:hint="eastAsia" w:ascii="宋体" w:hAnsi="宋体" w:cs="宋体"/>
                <w:color w:val="000000"/>
                <w:kern w:val="0"/>
                <w:sz w:val="21"/>
                <w:szCs w:val="21"/>
                <w:lang w:bidi="ar"/>
              </w:rPr>
              <w:t>单位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80" w:lineRule="auto"/>
              <w:jc w:val="center"/>
              <w:textAlignment w:val="bottom"/>
              <w:rPr>
                <w:rFonts w:ascii="宋体" w:hAnsi="宋体" w:cs="宋体"/>
                <w:color w:val="000000"/>
                <w:sz w:val="21"/>
                <w:szCs w:val="21"/>
              </w:rPr>
            </w:pPr>
            <w:r>
              <w:rPr>
                <w:rFonts w:hint="eastAsia" w:ascii="宋体" w:hAnsi="宋体" w:cs="宋体"/>
                <w:color w:val="000000"/>
                <w:kern w:val="0"/>
                <w:sz w:val="21"/>
                <w:szCs w:val="21"/>
                <w:lang w:bidi="ar"/>
              </w:rPr>
              <w:t>数量</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80" w:lineRule="auto"/>
              <w:jc w:val="center"/>
              <w:textAlignment w:val="bottom"/>
              <w:rPr>
                <w:rFonts w:ascii="宋体" w:hAnsi="宋体" w:cs="宋体"/>
                <w:color w:val="000000"/>
                <w:kern w:val="0"/>
                <w:sz w:val="21"/>
                <w:szCs w:val="21"/>
                <w:lang w:bidi="ar"/>
              </w:rPr>
            </w:pPr>
            <w:r>
              <w:rPr>
                <w:rFonts w:hint="eastAsia" w:ascii="宋体" w:hAnsi="宋体" w:cs="宋体"/>
                <w:color w:val="000000"/>
                <w:kern w:val="0"/>
                <w:sz w:val="21"/>
                <w:szCs w:val="21"/>
                <w:lang w:bidi="ar"/>
              </w:rPr>
              <w:t>备注</w:t>
            </w: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溴敌隆蜡块</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lang w:val="en-US" w:eastAsia="zh-CN"/>
              </w:rPr>
              <w:t>含量≥0.005%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公斤</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粘鼠板胶</w:t>
            </w:r>
          </w:p>
        </w:tc>
        <w:tc>
          <w:tcPr>
            <w:tcW w:w="2550" w:type="dxa"/>
            <w:tcBorders>
              <w:top w:val="single" w:color="000000" w:sz="4" w:space="0"/>
              <w:left w:val="single" w:color="000000" w:sz="4" w:space="0"/>
              <w:bottom w:val="nil"/>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含量≥35g</w:t>
            </w:r>
          </w:p>
        </w:tc>
        <w:tc>
          <w:tcPr>
            <w:tcW w:w="870" w:type="dxa"/>
            <w:tcBorders>
              <w:top w:val="single" w:color="000000" w:sz="4" w:space="0"/>
              <w:left w:val="single" w:color="000000" w:sz="4" w:space="0"/>
              <w:bottom w:val="nil"/>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张</w:t>
            </w:r>
          </w:p>
        </w:tc>
        <w:tc>
          <w:tcPr>
            <w:tcW w:w="1320" w:type="dxa"/>
            <w:tcBorders>
              <w:top w:val="single" w:color="000000" w:sz="4" w:space="0"/>
              <w:left w:val="single" w:color="000000" w:sz="4" w:space="0"/>
              <w:bottom w:val="nil"/>
              <w:right w:val="single" w:color="000000" w:sz="4" w:space="0"/>
            </w:tcBorders>
            <w:shd w:val="clear" w:color="auto" w:fill="auto"/>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500</w:t>
            </w:r>
          </w:p>
        </w:tc>
        <w:tc>
          <w:tcPr>
            <w:tcW w:w="1590" w:type="dxa"/>
            <w:tcBorders>
              <w:top w:val="single" w:color="000000" w:sz="4" w:space="0"/>
              <w:left w:val="single" w:color="000000" w:sz="4" w:space="0"/>
              <w:bottom w:val="nil"/>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陶瓷毒饵站</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30cm*11cm*11cm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个</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1500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高效氟氯氰菊酯悬浮剂</w:t>
            </w:r>
          </w:p>
        </w:tc>
        <w:tc>
          <w:tcPr>
            <w:tcW w:w="2550" w:type="dxa"/>
            <w:tcBorders>
              <w:top w:val="nil"/>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含量≥5%</w:t>
            </w:r>
          </w:p>
        </w:tc>
        <w:tc>
          <w:tcPr>
            <w:tcW w:w="870" w:type="dxa"/>
            <w:tcBorders>
              <w:top w:val="nil"/>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公斤</w:t>
            </w:r>
          </w:p>
        </w:tc>
        <w:tc>
          <w:tcPr>
            <w:tcW w:w="1320" w:type="dxa"/>
            <w:tcBorders>
              <w:top w:val="nil"/>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lang w:val="en-US" w:eastAsia="zh-CN"/>
              </w:rPr>
              <w:t>1000</w:t>
            </w:r>
          </w:p>
        </w:tc>
        <w:tc>
          <w:tcPr>
            <w:tcW w:w="1590" w:type="dxa"/>
            <w:tcBorders>
              <w:top w:val="nil"/>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5</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高效氯氟氰菊酯水乳剂</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含量≥10%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lang w:val="en-US" w:eastAsia="zh-CN"/>
              </w:rPr>
              <w:t>公斤</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6</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高氯毒死蜱乳油</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含量≥12%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lang w:val="en-US" w:eastAsia="zh-CN"/>
              </w:rPr>
              <w:t>公斤</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800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7</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高氯残杀威热烟雾剂</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含量≥</w:t>
            </w:r>
            <w:r>
              <w:rPr>
                <w:rFonts w:hint="default" w:ascii="宋体" w:hAnsi="宋体" w:cs="宋体"/>
                <w:color w:val="000000"/>
                <w:sz w:val="21"/>
                <w:szCs w:val="21"/>
                <w:lang w:val="en-ZA"/>
              </w:rPr>
              <w:t>1.7</w:t>
            </w:r>
            <w:r>
              <w:rPr>
                <w:rFonts w:hint="eastAsia" w:ascii="宋体" w:hAnsi="宋体" w:cs="宋体"/>
                <w:color w:val="000000"/>
                <w:sz w:val="21"/>
                <w:szCs w:val="21"/>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lang w:val="en-US" w:eastAsia="zh-CN"/>
              </w:rPr>
              <w:t>公斤</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800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8</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灭蚊幼药物</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含量≥1%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lang w:val="en-US" w:eastAsia="zh-CN"/>
              </w:rPr>
              <w:t>公斤</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800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9</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座式捕蝇笼</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LL-130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个</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10</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户外捕蝇袋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21cm*21cm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个</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11</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 xml:space="preserve">灭蟑饵剂 </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含量≥2.5%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1000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12</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杀蟑烟剂</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含量≥2.5%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个</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500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cs="宋体"/>
                <w:color w:val="000000"/>
                <w:kern w:val="0"/>
                <w:sz w:val="21"/>
                <w:szCs w:val="21"/>
                <w:lang w:bidi="ar"/>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default" w:ascii="宋体" w:hAnsi="宋体" w:cs="宋体"/>
                <w:color w:val="000000"/>
                <w:sz w:val="21"/>
                <w:szCs w:val="21"/>
                <w:lang w:val="en-ZA"/>
              </w:rPr>
            </w:pPr>
            <w:r>
              <w:rPr>
                <w:rFonts w:hint="eastAsia" w:ascii="宋体" w:hAnsi="宋体" w:cs="宋体"/>
                <w:color w:val="000000"/>
                <w:sz w:val="21"/>
                <w:szCs w:val="21"/>
              </w:rPr>
              <w:t>1</w:t>
            </w:r>
            <w:r>
              <w:rPr>
                <w:rFonts w:hint="default" w:ascii="宋体" w:hAnsi="宋体" w:cs="宋体"/>
                <w:color w:val="000000"/>
                <w:sz w:val="21"/>
                <w:szCs w:val="21"/>
                <w:lang w:val="en-ZA"/>
              </w:rPr>
              <w:t>3</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人工</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工日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default" w:ascii="宋体" w:hAnsi="宋体" w:cs="宋体"/>
                <w:color w:val="000000"/>
                <w:sz w:val="21"/>
                <w:szCs w:val="21"/>
                <w:lang w:val="en-ZA"/>
              </w:rPr>
            </w:pPr>
            <w:r>
              <w:rPr>
                <w:rFonts w:hint="eastAsia" w:ascii="宋体" w:hAnsi="宋体" w:cs="宋体"/>
                <w:color w:val="000000"/>
                <w:sz w:val="21"/>
                <w:szCs w:val="21"/>
              </w:rPr>
              <w:t>1</w:t>
            </w:r>
            <w:r>
              <w:rPr>
                <w:rFonts w:hint="default" w:ascii="宋体" w:hAnsi="宋体" w:cs="宋体"/>
                <w:color w:val="000000"/>
                <w:sz w:val="21"/>
                <w:szCs w:val="21"/>
                <w:lang w:val="en-ZA"/>
              </w:rPr>
              <w:t>4</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lang w:eastAsia="zh-CN"/>
              </w:rPr>
            </w:pPr>
            <w:r>
              <w:rPr>
                <w:rFonts w:hint="eastAsia" w:ascii="宋体" w:hAnsi="宋体" w:cs="宋体"/>
                <w:color w:val="000000"/>
                <w:sz w:val="21"/>
                <w:szCs w:val="21"/>
              </w:rPr>
              <w:t>车辆、设备损耗</w:t>
            </w:r>
            <w:r>
              <w:rPr>
                <w:rFonts w:hint="eastAsia" w:ascii="宋体" w:hAnsi="宋体" w:cs="宋体"/>
                <w:color w:val="000000"/>
                <w:sz w:val="21"/>
                <w:szCs w:val="21"/>
                <w:lang w:val="en-US" w:eastAsia="zh-CN"/>
              </w:rPr>
              <w:t>等</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1320" w:type="dxa"/>
            <w:tcBorders>
              <w:top w:val="single" w:color="000000" w:sz="4" w:space="0"/>
              <w:left w:val="single" w:color="000000" w:sz="4" w:space="0"/>
              <w:bottom w:val="nil"/>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1590" w:type="dxa"/>
            <w:tcBorders>
              <w:top w:val="single" w:color="000000" w:sz="4" w:space="0"/>
              <w:left w:val="single" w:color="000000" w:sz="4" w:space="0"/>
              <w:bottom w:val="nil"/>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default" w:ascii="宋体" w:hAnsi="宋体" w:cs="宋体"/>
                <w:color w:val="000000"/>
                <w:sz w:val="21"/>
                <w:szCs w:val="21"/>
                <w:lang w:val="en-ZA"/>
              </w:rPr>
            </w:pPr>
            <w:r>
              <w:rPr>
                <w:rFonts w:hint="eastAsia" w:ascii="宋体" w:hAnsi="宋体" w:cs="宋体"/>
                <w:color w:val="000000"/>
                <w:sz w:val="21"/>
                <w:szCs w:val="21"/>
              </w:rPr>
              <w:t>1</w:t>
            </w:r>
            <w:r>
              <w:rPr>
                <w:rFonts w:hint="default" w:ascii="宋体" w:hAnsi="宋体" w:cs="宋体"/>
                <w:color w:val="000000"/>
                <w:sz w:val="21"/>
                <w:szCs w:val="21"/>
                <w:lang w:val="en-ZA"/>
              </w:rPr>
              <w:t>5</w:t>
            </w:r>
          </w:p>
        </w:tc>
        <w:tc>
          <w:tcPr>
            <w:tcW w:w="2564" w:type="dxa"/>
            <w:tcBorders>
              <w:top w:val="single" w:color="000000" w:sz="4" w:space="0"/>
              <w:left w:val="single" w:color="000000" w:sz="4" w:space="0"/>
              <w:bottom w:val="nil"/>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四害消杀防制费用</w:t>
            </w:r>
          </w:p>
        </w:tc>
        <w:tc>
          <w:tcPr>
            <w:tcW w:w="2550" w:type="dxa"/>
            <w:tcBorders>
              <w:top w:val="single" w:color="000000" w:sz="4" w:space="0"/>
              <w:left w:val="single" w:color="000000" w:sz="4" w:space="0"/>
              <w:bottom w:val="nil"/>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870" w:type="dxa"/>
            <w:tcBorders>
              <w:top w:val="single" w:color="000000" w:sz="4" w:space="0"/>
              <w:left w:val="single" w:color="000000" w:sz="4" w:space="0"/>
              <w:bottom w:val="nil"/>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default" w:ascii="宋体" w:hAnsi="宋体" w:cs="宋体"/>
                <w:color w:val="000000"/>
                <w:sz w:val="21"/>
                <w:szCs w:val="21"/>
                <w:lang w:val="en-ZA"/>
              </w:rPr>
            </w:pPr>
            <w:r>
              <w:rPr>
                <w:rFonts w:hint="eastAsia" w:ascii="宋体" w:hAnsi="宋体" w:cs="宋体"/>
                <w:color w:val="000000"/>
                <w:sz w:val="21"/>
                <w:szCs w:val="21"/>
              </w:rPr>
              <w:t>1</w:t>
            </w:r>
            <w:r>
              <w:rPr>
                <w:rFonts w:hint="default" w:ascii="宋体" w:hAnsi="宋体" w:cs="宋体"/>
                <w:color w:val="000000"/>
                <w:sz w:val="21"/>
                <w:szCs w:val="21"/>
                <w:lang w:val="en-ZA"/>
              </w:rPr>
              <w:t>6</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税费</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3%</w:t>
            </w:r>
          </w:p>
        </w:tc>
      </w:tr>
      <w:tr>
        <w:tblPrEx>
          <w:tblCellMar>
            <w:top w:w="0" w:type="dxa"/>
            <w:left w:w="108" w:type="dxa"/>
            <w:bottom w:w="0" w:type="dxa"/>
            <w:right w:w="108" w:type="dxa"/>
          </w:tblCellMar>
        </w:tblPrEx>
        <w:trPr>
          <w:trHeight w:val="499"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480" w:lineRule="auto"/>
              <w:jc w:val="center"/>
              <w:textAlignment w:val="center"/>
              <w:rPr>
                <w:rFonts w:hint="eastAsia" w:ascii="宋体" w:hAnsi="宋体" w:cs="宋体"/>
                <w:color w:val="000000"/>
                <w:sz w:val="21"/>
                <w:szCs w:val="21"/>
              </w:rPr>
            </w:pPr>
            <w:r>
              <w:rPr>
                <w:rFonts w:hint="eastAsia" w:ascii="宋体" w:hAnsi="宋体" w:cs="宋体"/>
                <w:color w:val="000000"/>
                <w:sz w:val="21"/>
                <w:szCs w:val="21"/>
              </w:rPr>
              <w:t>合计</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cs="宋体"/>
                <w:color w:val="000000"/>
                <w:sz w:val="21"/>
                <w:szCs w:val="21"/>
              </w:rPr>
            </w:pPr>
          </w:p>
        </w:tc>
      </w:tr>
    </w:tbl>
    <w:p>
      <w:pPr>
        <w:ind w:firstLine="2700" w:firstLineChars="1500"/>
        <w:rPr>
          <w:rFonts w:ascii="宋体" w:hAnsi="宋体"/>
          <w:b/>
          <w:bCs/>
          <w:sz w:val="18"/>
          <w:szCs w:val="18"/>
        </w:rPr>
      </w:pPr>
    </w:p>
    <w:p>
      <w:pPr>
        <w:autoSpaceDE w:val="0"/>
        <w:autoSpaceDN w:val="0"/>
        <w:adjustRightInd w:val="0"/>
        <w:jc w:val="center"/>
        <w:outlineLvl w:val="0"/>
        <w:rPr>
          <w:rFonts w:ascii="宋体" w:hAnsi="宋体" w:cs="黑体"/>
          <w:b/>
          <w:color w:val="000000" w:themeColor="text1"/>
          <w:kern w:val="0"/>
          <w:szCs w:val="21"/>
          <w14:textFill>
            <w14:solidFill>
              <w14:schemeClr w14:val="tx1"/>
            </w14:solidFill>
          </w14:textFill>
        </w:rPr>
      </w:pPr>
    </w:p>
    <w:p>
      <w:pPr>
        <w:widowControl/>
        <w:jc w:val="left"/>
        <w:rPr>
          <w:rFonts w:ascii="宋体" w:hAnsi="宋体" w:cs="黑体"/>
          <w:b/>
          <w:color w:val="000000" w:themeColor="text1"/>
          <w:kern w:val="0"/>
          <w:szCs w:val="21"/>
          <w14:textFill>
            <w14:solidFill>
              <w14:schemeClr w14:val="tx1"/>
            </w14:solidFill>
          </w14:textFill>
        </w:rPr>
      </w:pPr>
      <w:r>
        <w:rPr>
          <w:rFonts w:ascii="宋体" w:hAnsi="宋体" w:cs="黑体"/>
          <w:b/>
          <w:color w:val="000000" w:themeColor="text1"/>
          <w:kern w:val="0"/>
          <w:szCs w:val="21"/>
          <w14:textFill>
            <w14:solidFill>
              <w14:schemeClr w14:val="tx1"/>
            </w14:solidFill>
          </w14:textFill>
        </w:rPr>
        <w:br w:type="page"/>
      </w:r>
    </w:p>
    <w:p>
      <w:pPr>
        <w:spacing w:line="360" w:lineRule="exact"/>
        <w:jc w:val="center"/>
        <w:outlineLvl w:val="0"/>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四</w:t>
      </w:r>
      <w:r>
        <w:rPr>
          <w:rFonts w:hint="eastAsia" w:ascii="宋体" w:hAnsi="宋体" w:cs="宋体"/>
          <w:b/>
          <w:bCs/>
          <w:color w:val="000000" w:themeColor="text1"/>
          <w:kern w:val="0"/>
          <w:sz w:val="32"/>
          <w:szCs w:val="32"/>
          <w14:textFill>
            <w14:solidFill>
              <w14:schemeClr w14:val="tx1"/>
            </w14:solidFill>
          </w14:textFill>
        </w:rPr>
        <w:t xml:space="preserve">章  </w:t>
      </w:r>
      <w:bookmarkEnd w:id="6"/>
      <w:bookmarkEnd w:id="7"/>
      <w:r>
        <w:rPr>
          <w:rFonts w:hint="eastAsia" w:ascii="宋体" w:hAnsi="宋体" w:cs="宋体"/>
          <w:b/>
          <w:bCs/>
          <w:color w:val="000000" w:themeColor="text1"/>
          <w:kern w:val="0"/>
          <w:sz w:val="32"/>
          <w:szCs w:val="32"/>
          <w14:textFill>
            <w14:solidFill>
              <w14:schemeClr w14:val="tx1"/>
            </w14:solidFill>
          </w14:textFill>
        </w:rPr>
        <w:t>投标人须知</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一、总则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1.适用法律、法规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 本次招标适用的主要法律、法规为《中华人民共和国招投标法》及其它相关法规。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2.资金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 本项目的资金属于财政资金，资金来源已经落实，计划用于支付本次采购后所签订的合同项下的款项。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3.释义</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3.1.招标人：系指依法进行招标的国家机关、事业单位、团体组织。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3.2.招标代理机构：系指接受招标人委托，经财政部门认定资格的代理机构。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3.3.投标人：是指按竞争性磋商公告购买了竞争性磋商文件进行投标的供应商。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3.4.中标人：指依法确定中标资格并授予合同的投标人。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3.5.竞争性磋商文件：是指包括项目公告、竞争性磋商文件以及竞争性磋商文件的补充、变更和澄清等一系列文件。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3.6.货物：系指投标人按竞争性磋商文件要求，向招标人提供的各种形态和种类的物品，包括原材料、设备、产品(包括软件)及相关的备品备件、工具、手册及其它技术资料和材料。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3.7.服务：系指竞争性磋商文件规定投标人须承担的系统集成、安装、调试、技术协助、校准、培训以及其它类似的义务。</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3.8.偏离：系指投标文件对竞争性磋商文件的偏离，即不满足、或不响应竞争性磋商文件的要求。偏离分为对竞争性磋商文件的实质性要求条款偏离和对竞争性磋商文件的一般商务和技术条款( 参数)偏离。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3.9.实质性条款：除法律、法规和规章规定外，竞争性磋商文件中用“拒绝 ”、“不接受 ”、“无效 ”、“不得 ”等文字规定条款为实质性要求条款(即重要条款)，对其中任何一条的偏离，在评标时将其视为无效投标。未用上述文字规定或符号标注的条款为非实质性要求条款(即一般条款)。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3.10. 日期、天数、时间：未有特别说明时，均为公历日(天)及北京时间。</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4.投标人资格要求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4.1.根据《中华人民共和国招投标法》的要求；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4.2.竞争性磋商公告中规定的特定资格要求；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4.3.投标人投标不得存在下列情形之一：</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1)与招标人或招标代理机构存在隶属关系或者其他利害关系；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2)法定代表人或者负责人为同一人或者存在控股、管理关系的两个以上投标人，不得参加同一招标项目同一包(标段)的投标。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4.4.投标人获取了本竞争性磋商文件并非意味着完全满足了合格投标人的条件，一切均以评标委员会审核的结果为准。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4.5.不接受联合体投标。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5.授权委托</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5.1.投标人代表不是投标人的法定代表人或负责人，应持有授权委托书，并附法定代表人或负责人身份证明。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6.投标费用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6.1.投标人应承担所有与准备和参加投标有关的费用。不论投标的结果如何，招标代理机构和招标人在任何情况下均无义务和责任承担这些费用。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6.2.现场考察：招标人不组织现场踏勘，投标人自行考察现场，费用自理。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二、竞争性磋商文件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7.竞争性磋商文件组成</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7.1.竞争性磋商文件共分为七章，其内容如下：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第一章 竞争性磋商公告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第二章 投标须知前附表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第三章 技术规格、参数与要求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第四章 投标人须知</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第五章 磋商程序及方法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第六章 政府采购合同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第七章 投标文件格式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7.2.对竞争性磋商文件所作的澄清、修改，构成竞争性磋商文件的组成部分。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7.3.投标人应仔细阅读竞争性磋商文件的全部内容，按照竞争性磋商文件要求编制投标文件。任何对竞争性磋商文件的忽略或误 解不能作为投标文件存在缺陷或瑕疵的理由，其风险由投标人自行承担。</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8.竞争性磋商文件的澄清、修改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8.1.招标人及招标代理机构对已发出的竞争性磋商文件进行必要澄清或者修改的，应当在竞争性磋商文件要求提交投标文件截止时间十五日前，在政府指定的网站信息发布媒体(甘肃政府采购网及陇南市公共资源交易网，下同)上发布更正公告，并以书面形式通知所有竞争性磋商文件收受人。该澄清或者修改的内容为竞争性磋商文件的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8.2.招标人及招标代理机构可以视招标具体情况，延长投标截止时间和开标时间，但至少应当在竞争性磋商文件要求提交投标文件的截止时间三日前，将变更时间书面通知所有竞争性磋商文件收受人，并在政府部门指定的甘肃政府采购网及陇南市公共资源交易网发布媒体上发布变更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三、投标文件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9.编制原则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9.1.投标文件应突出重点，精简扼要。所提供的资料必须符合诚实信用、客观真实的原则，对弄虚作假或违背诚信的违法行为 , 应承担相应的后果及法律责任。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9.2.投标人应仔细阅读竞争性磋商文件的所有内容，按照竞争性磋商文件的要求提交投标文件。投标文件应对竞争性磋商文件的要求作出实质性响应，并保证所提供的全部资料的真实性。</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10.编制要求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10.1.投标文件应按照“投标文件格式 ”的要求以A4版面统一编制。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10.2.对于有特定格式要求的，不允许改动其内容，否则，其投标无效。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10.3.投标文件的制作，应使用简体中文。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10.4.投标文件在加盖投标人公章时，不得使用合同专用章、财务专用章、公司部门章或分支机构章、授权(投标)专用章等代替；否则，投标文件按无效投标处理。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10.5.投标文件应该用计算机打印，并加注页码，用不可拆卸的胶状方式整册装订牢固，任何塑料夹条、订书针装订或打孔装订的按无效投标文件处理。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10.6.任何行间插字、涂改和增删，须由投标人授权代表在旁边签字后方为有效。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11.投标文件的组成</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11.1.投标文件由商务文件、技术文件两部分组成。各部分的内容如下：</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商务文件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(1)投标承诺书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(2)投标函</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(3)开标报价一览表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(4)分项价格表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(5)投标人资格证明文件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(6)商务响应说明书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技术文件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(7)投标方案说明书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12.投标报价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12.1.投标人应按竞争性磋商文件规定的供货及服务要求、责任范围和合同条件，以人民币进行报价。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12.2.投标人应按开标报价一览表和分项价格表的内容和格式要求填写各项货物及服务的分项价格和总价。投标总价中不得包含竞争性磋商文件要求以外的内容，否则，在评标时不予核减。投标总价中也不得缺漏竞争性磋商文件所要求的内容，否则，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12.3.投标人对每种货物及服务只允许有一个报价，不接受选择性报价，否则，在评标时将其视为无效投标。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12.4.投标文件中标明的价格在合同执行过程中是固定不变的，不得以任何理由予以变更。任何包含价格调整要求和条件的投标，在评标时将其视为无效投标。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13.备选方案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13.1.本项目不接受备选方案投标。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14.投标人的资格证明文件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14.1.投标人应提交满足资格条件要求的证明文件,该证明文件作为投标文件的一部分。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14.2.投标人提供的货物及服务不是投标人制造或拥有的,如竞争性磋商文件规定需要提供制造商授权书的，则必须提供授权书证明文件。否则，在评审时将其视为无效投标。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15.投标货物符合竞争性磋商文件规定的证明文件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15.1.投标人应当提交其拟供的合同项下货物及其服务符合竞争性磋商文件规定的证明文件,该证明文件作为投标文件的一部分。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15.2.投标人应当说明投标货物的品牌型号、规格参数、制造商及原产地等，交货时应出具原产地证明及出厂合格证明。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15.3.上述证明文件可以是文字资料、图纸和数据，并须提供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(1)货物主要性能和参数的详细说明；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(2)对照竞争性磋商文件技术规格，逐条说明所提供货物和服务对竞争性磋商文件的技术规格条文的响应与偏离。对有具体参数要求的指标，投标人应提供具体参数值。</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15.4.招标人在技术规格中指出的货物/服务的标准以及参照的牌号或分类号仅起说明作用，并没有任何限制性。投标人在投标中可以选用替代标准、牌号或分类号，但这些替代要实质上相当于或优于技术规格的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16.投标保证金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16.1.投标保证金金额：为进一步优化营商环境举措，按照甘财采（2022）16号甘肃省财政厅关于进一步加大政府采购支持中小企业力度的通知，全省政府采购项目不再收取投标保证金。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17.投标有效期</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17.1.投标有效期为60天，在此期间投标文件对投标人具有法律约束力，以保证招标人有足够的时间完成评标、定标以及签订合同 。投标有效期从规定的投标截止之日起计算。投标有效期不足的，在评标时将其视为无效投标。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17.2.特殊情况需延长投标有效期的，招标代理机构可于投标有效期届满之前，要求投标人同意延长有效期，招标代理机构的要求与投标人的答复均应为书面形式。投标人拒绝延长的，其投标在原投标有效期期届满后将不再有效，但有权收回其投标保证金；投标人同意延长的，应相应延长其投标保证金的有效期，但不允许修改或撤回投标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18.投标文件份数和签署、盖章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18.1.该项目采用新点不见面网上开标方式：开评标活动通过“ 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 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18.2.投标文件中除要求由投标人法定代表人或被授权人签字的内容必须签字、盖章，否则初步评审不通过。投标文件应使用不能擦去的墨水打印或书写。全套投标文件应无涂改和行间插字，除非这些删改是根据招标人的指示进行的，或者是投标人造成的必须修改的错误。修改处应由投标文件签字人签字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四、投标文件的递交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19.投标文件的密封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该项目采用新点不见面网上开标方式：开评标活动通过“新点不见面网上开标大厅”进行。各投标单位在参与投标时，登录陇南市公共资源交易网首页“下载中心”，下载投标文件制作工具“新点  投标文件制作软件（陇南版）,并按照“不见面开评标投标人操作手册”制作固化并上传投标文件；本项目必须使用同一把CA进行所有操作。若在开标时间前没有网上投标（上传投标文件）则视为放弃投标。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开标之后投标单位须将投标文件纸质版一正两副（共计三本）邮寄至代理公司。</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20.投标文件的递交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该项目采用新点不见面网上开标方式：开评标活动通过“新点不见面网上开标大厅”进行。各投标单位在参与投标时，登录陇南市公共资源交易网首页“下载中心”，下载投标文件制作工具“新点 投标文件制作软件（陇南版）, 并按照“不见面开评标投标人操作手册”制作固化并上传投标文件；本项目必须使用同一把CA进行所有操作。若在开标时间前没有网上投标（上传投标文件）则视为放弃投标。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21.投标文件的修改和撤回</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21.1.在投标截止时间前，投标人可以书面形式修改、补充或撤回己递交的投标文件，但应以书面形式通知招标代理机构。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21.2.修改、补充的内容为投标文件的组成部分。修改、补充的投标文件应按规定编制、签署、密封、标记和递交，并标明“修改、补充”字样。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21.3.投标人撤回投标文件的，招标代理机构自收到投标人书面撤回通知之日起五日内退还已收取的投标保证金。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五、开标、评标与定标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22.开标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22.1.招标代理机构规定的投标截止时间(开标时间)和地点组织公开开标，并邀请所有投标人法定代表人或其授权的代理人参加。参加开标的投标人代表应签名以证明其出席。</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22.2.开标时，公布在投标截止时间前递交投标文件的投标人名称；由投标人或其推选的代表检查投标文件的密封情况，也可以由招标代理机构委托的公证机构检查并公证；经确认无误后，由招标代理机构工作人员当众拆封，宣读投标人名称、投标价格、价格折扣、竞争性磋商文件允许提供的备选方案和投标文件的其他主要内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22.3.未宣读的投标价格、价格折扣和竞争性磋商文件允许提供的备选方案等实质内容，评标时不予承认。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22.4.投标人代表、监督人、记录人等有关人员在开标记录上签字确认。</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25.无效投标的情形</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25.1.未按照竞争性磋商文件规定要求密封、签字、盖章的；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25.2.不具备竞争性磋商文件中规定资格要求的；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25.3.投标人资格证明文件不全或是虚假的；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25.4.投标有效期不符合竞争性磋商文件要求的；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25.5.投标文件内容不齐全或者投标文件份数不够的；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25.6.投标文件出现重大负偏离的；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 xml:space="preserve">25.7.投标文件不满足带其他要求的；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25.8.投标文件不符合规定格式的；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25.9.投标文件含有招标人不能接受的条件或声明的；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25.10.不符合法律、法规和本竞争性磋商文件中规定的其他实质性要求的。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26.定标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26.1.评标委员会根据评审方法及标准，提出书面评标报告，推荐中标候选人。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26.2.招标人确认中标结果。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26.3.由招标代理机构按要求将中标结果在公告发布媒体上公告。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六、质疑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27.投标人质疑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27.1.投标人对招标活动事项有疑问的，可以向招标人或招标代理机构提出询问。招标人或招标代理机构将在七个工作日内作出答复。</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27.2.投标人若认为竞争性磋商文件、采购过程和中标结果使自己的权益受到损害，应当在下列时间内以书面形式向招标人或招标代理机构提出：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(1)关于竞争性磋商文件的质疑，应从竞争性磋商文件发出之日起七个工作日内提出。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(2)关于采购过程的质疑，应在采购程序环节结束之日起七个工作日内提出。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(3)关于中标结果的质疑，应在中标结果信息发布后七个工作日内提出。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27.3.投标人提出质疑的，应提供质疑书原件。招标人或招标代理机构应当向质疑供应商签收回执。</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27.4.质疑书应当包括下列内容：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(1)质疑供应商的名称、地址及有效联系方式；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(2)质疑事项；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(3)事实依据及相关证明材料；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(4)相关请求及主张。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27.5.质疑书应当由投标人法定代表人或其授权的代理人签字并加盖投标人单位章，质疑书由授权的代理人签字的应附投标人法定代表人委托授权书。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27.6.招标人或招标代理机构将在签收回执之日起七个工作日内作出书面答复，并以书面形式通知质疑投标人和其他有关的投标人。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27.7.投标人对招标人或招标代理机构的答复不满意，或招标人或招标代理机构未在规定的期限作出答复的，可在答复期满后十五个工作日内，按招投标法相关法律法规规章的规定及程序，向同级部门提出投诉。</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val="0"/>
          <w:color w:val="000000" w:themeColor="text1"/>
          <w:kern w:val="0"/>
          <w:szCs w:val="21"/>
          <w14:textFill>
            <w14:solidFill>
              <w14:schemeClr w14:val="tx1"/>
            </w14:solidFill>
          </w14:textFill>
        </w:rPr>
      </w:pPr>
      <w:r>
        <w:rPr>
          <w:rFonts w:hint="eastAsia" w:ascii="宋体" w:hAnsi="宋体" w:eastAsia="宋体" w:cs="宋体"/>
          <w:b/>
          <w:bCs w:val="0"/>
          <w:color w:val="000000" w:themeColor="text1"/>
          <w:kern w:val="0"/>
          <w:szCs w:val="21"/>
          <w14:textFill>
            <w14:solidFill>
              <w14:schemeClr w14:val="tx1"/>
            </w14:solidFill>
          </w14:textFill>
        </w:rPr>
        <w:t>七、签订合同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28.招标代理服务费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28.1.招标代理机构以中华人民共和国国家发展计划委员会“计价格[2002]1980号文”批准的收费标准收取招标代理服务费。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29.中标通知书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29.1.在规定的投标有效期内，招标代理机构办理《中标通知书》发出事宜。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29.2.中标通知书对招标人和中标供应商具有同等法律效力。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29.3.中标通知书发出后，招标人改变中标结果，或者中标人放弃中标，应当承担相应的法律责任。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29.4.中标通知书是中标人签订合同的依据，是合同必不可少的一个组成部分。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30.签订合同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30.1.招标人应当自开标结束中标公示三日后交清各项费用联系代理单位领取中标通知书，中标通知书发出之日起三十日内，按照 争性磋商文件和中标供应商投标文件的约定，与中标供应商签订 书面合同。所签订的合同不得对竞争性磋商文件和中标供应商投标文件作实质性修改。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30.2.招标人不得向中标供应商提出任何不合理的要求，作为签订合同的条件，不得与中标供应商私下订立背离合同实质性内容的协议。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30.3.招标人或者招标代理机构应当自采购合同签订之日起七个工作日内，按照有关规定将采购合同副本报同级人民政府财政部门备案。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31.分包履行合同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31.1.经招标人同意，中标供应商可以依法采取分包方式履行合同。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31.2.政府采购合同分包履行的，中标、成交供应商就采购项目和分包项目向招标人负责，分包供应商就分包项目承担责任。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32.同履行中合同标的的追加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32.1.政府采购合同履行中，招标人需追加与合同标的相同的货物、工程或者服务的，在不改变合同其他条款的前提下，可以与供应商协商签订补充合同，但所有补充合同的采购金额不得超过原合 同采购金额的百分之十。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33.废标条款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33.1.在招标采购中，出现有下列情形之一的，予以废标：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(1)出现影响采购公正的违法、违规行为的；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(2)投标人的报价均超过了采购预算，招标人不能支付的；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(3)因重大变故，采购任务取消的。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(4)未响应竞争性磋商文件要求的。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34.其他</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34.1.本竞争性磋商文件如与网上发布的竞争性磋商公告、更正公告等有差异的部分，以网上发布的为准。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br w:type="page"/>
      </w:r>
    </w:p>
    <w:p>
      <w:pPr>
        <w:autoSpaceDE w:val="0"/>
        <w:autoSpaceDN w:val="0"/>
        <w:adjustRightInd w:val="0"/>
        <w:jc w:val="center"/>
        <w:outlineLvl w:val="0"/>
        <w:rPr>
          <w:rFonts w:ascii="宋体" w:hAnsi="宋体" w:cs="宋体"/>
          <w:b/>
          <w:bCs/>
          <w:color w:val="000000" w:themeColor="text1"/>
          <w:kern w:val="0"/>
          <w:sz w:val="32"/>
          <w:szCs w:val="32"/>
          <w14:textFill>
            <w14:solidFill>
              <w14:schemeClr w14:val="tx1"/>
            </w14:solidFill>
          </w14:textFill>
        </w:rPr>
      </w:pPr>
      <w:bookmarkStart w:id="8" w:name="_Toc3923"/>
      <w:bookmarkStart w:id="9" w:name="_Toc1150"/>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五</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bookmarkEnd w:id="8"/>
      <w:bookmarkEnd w:id="9"/>
      <w:r>
        <w:rPr>
          <w:rFonts w:hint="eastAsia" w:ascii="宋体" w:hAnsi="宋体" w:cs="宋体"/>
          <w:b/>
          <w:bCs/>
          <w:color w:val="000000" w:themeColor="text1"/>
          <w:kern w:val="0"/>
          <w:sz w:val="32"/>
          <w:szCs w:val="32"/>
          <w14:textFill>
            <w14:solidFill>
              <w14:schemeClr w14:val="tx1"/>
            </w14:solidFill>
          </w14:textFill>
        </w:rPr>
        <w:t>磋商程序及方法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hAnsi="宋体" w:cs="黑体"/>
          <w:b/>
          <w:bCs w:val="0"/>
          <w:color w:val="000000" w:themeColor="text1"/>
          <w:sz w:val="21"/>
          <w:szCs w:val="21"/>
          <w14:textFill>
            <w14:solidFill>
              <w14:schemeClr w14:val="tx1"/>
            </w14:solidFill>
          </w14:textFill>
        </w:rPr>
      </w:pPr>
      <w:r>
        <w:rPr>
          <w:rFonts w:hint="eastAsia" w:hAnsi="宋体" w:cs="黑体"/>
          <w:b/>
          <w:bCs w:val="0"/>
          <w:color w:val="000000" w:themeColor="text1"/>
          <w:sz w:val="21"/>
          <w:szCs w:val="21"/>
          <w14:textFill>
            <w14:solidFill>
              <w14:schemeClr w14:val="tx1"/>
            </w14:solidFill>
          </w14:textFill>
        </w:rPr>
        <w:t>一、磋商工作中的原则及组织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原则采购代理机构组织磋商，在监督部门监督下,根据《中华人民共和国政府采购法》和《政府采购竞争性磋商采购方式管理暂行办法》等法律规章，组建磋商小组，由采购人代表和磋商专家共同组成，磋商小组成员应坚持“公开、公平、公正 ”的宗旨，认真细致地做好磋商工作。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（1）评审小组成员人数不少于3人，为单数，其中技术、经济等方面的专家不少于成员总数的三分之二。</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（2）评审小组成员应当客观、公正的履行职责，遵守职业道德，对所提出的评审意见承担个人责任。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（3）评审小组成员和与评审活动有关的工作人员不得透露对磋商响应性文件的评审和比较、中标供应商的推荐情况以及与评审有关的其他情况。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2.组织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（1）磋商小组：由采购人代表和从专家库随机抽取的专家组成磋商小组。磋商小组根据竞争性磋商文件要求负责磋商响应性文件的商务审核和技术评价。</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采购代理机构：由陇南臻诺招标代理咨询有限公司工作人员组成，负责竞争性磋商文件的制作、对外联系、磋商、磋商的会务工作、整理并向磋商组分发竞争性磋商文件、磋商响应性文件、做好磋商会议记录、对磋商过程中的原始文件进行归档、随时印发 需要的文件资料、对各种咨询函件及档案文件的统收统发、负责对 磋商小组推荐的拟中标结果进行审核。</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hAnsi="宋体" w:cs="黑体"/>
          <w:b/>
          <w:bCs w:val="0"/>
          <w:color w:val="000000" w:themeColor="text1"/>
          <w:sz w:val="21"/>
          <w:szCs w:val="21"/>
          <w14:textFill>
            <w14:solidFill>
              <w14:schemeClr w14:val="tx1"/>
            </w14:solidFill>
          </w14:textFill>
        </w:rPr>
      </w:pPr>
      <w:r>
        <w:rPr>
          <w:rFonts w:hint="eastAsia" w:hAnsi="宋体" w:cs="黑体"/>
          <w:b/>
          <w:bCs w:val="0"/>
          <w:color w:val="000000" w:themeColor="text1"/>
          <w:sz w:val="21"/>
          <w:szCs w:val="21"/>
          <w14:textFill>
            <w14:solidFill>
              <w14:schemeClr w14:val="tx1"/>
            </w14:solidFill>
          </w14:textFill>
        </w:rPr>
        <w:t>二、磋商形式及程序</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磋商小组成员根据磋商文件规定的评审程序、评审方法及评审标准进行独立评审。未实质性响应磋商文件的响应文件按无效响应处理，磋商小组应当告知提交响应文件的供应商。磋商文件内容违 反国家有关强制性规定的，磋商小组应当停止评审并向招标人或者采购代理机构说明情况。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1）资格性和符合性审查：磋商小组先对资质证明文件、响应文件的有效性、完整性和对磋商文件的响应程度进行审查，以确定是否对磋商文件的要求做出实质性响应，未对磋商文件做出实质性响应的供应商不得进入具体磋商程序，合格者进入第二轮，不合格者即被淘汰。</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2）磋商：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及时以书面形式同时通知所有参加磋商的供应商。供应商应按照磋商文件的变动情况和磋商小组的要求重新提交响应性文件，并由法定代表人或授权代表签字或者加盖公章。</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磋商文件能够详细列明采购需求的技术、服务要求的，磋商结束后，磋商小组将要求所有实质性响应的供应商在规定时间内提交最后报价。最后报价是供应商响应文件的有限组成部分。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已提交相应文件的供应商，在提交最后报价之前，可以根据磋商情况退出磋商。退还退出磋商的供应商的磋商保证金。</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（3）最后报价：磋商小组应要求所有实质性响应的供应商在规定时间内提交最后报价(最后报价不得超过第一轮报价)，报价必须以书面形式现场确认。</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（4）综合评审：经磋商确定最终采购需求和提交最后报价的供应商后，由磋商小组采用综合评分法对提交最后报价的供应商的响应文件和最后报价进行综合评分。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t>评审时，评审小组各成员独立对每个有效响应的文件进行评价、打分，然后汇总每个供应商每项评分因素的得分。具体评分办法 详见评分标准表格。</w:t>
      </w:r>
    </w:p>
    <w:p>
      <w:pPr>
        <w:rPr>
          <w:rFonts w:hint="eastAsia" w:hAnsi="宋体" w:cs="黑体"/>
          <w:b w:val="0"/>
          <w:bCs/>
          <w:color w:val="000000" w:themeColor="text1"/>
          <w:sz w:val="21"/>
          <w:szCs w:val="21"/>
          <w14:textFill>
            <w14:solidFill>
              <w14:schemeClr w14:val="tx1"/>
            </w14:solidFill>
          </w14:textFill>
        </w:rPr>
      </w:pPr>
      <w:r>
        <w:rPr>
          <w:rFonts w:hint="eastAsia" w:hAnsi="宋体" w:cs="黑体"/>
          <w:b w:val="0"/>
          <w:bCs/>
          <w:color w:val="000000" w:themeColor="text1"/>
          <w:sz w:val="21"/>
          <w:szCs w:val="21"/>
          <w14:textFill>
            <w14:solidFill>
              <w14:schemeClr w14:val="tx1"/>
            </w14:solidFill>
          </w14:textFill>
        </w:rPr>
        <w:br w:type="page"/>
      </w:r>
    </w:p>
    <w:tbl>
      <w:tblPr>
        <w:tblStyle w:val="207"/>
        <w:tblW w:w="91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3"/>
        <w:gridCol w:w="932"/>
        <w:gridCol w:w="575"/>
        <w:gridCol w:w="5200"/>
        <w:gridCol w:w="14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6"/>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评分项目</w:t>
            </w:r>
          </w:p>
        </w:tc>
        <w:tc>
          <w:tcPr>
            <w:tcW w:w="932" w:type="dxa"/>
            <w:vAlign w:val="center"/>
          </w:tcPr>
          <w:p>
            <w:pPr>
              <w:pStyle w:val="208"/>
              <w:keepNext w:val="0"/>
              <w:keepLines w:val="0"/>
              <w:pageBreakBefore w:val="0"/>
              <w:kinsoku/>
              <w:wordWrap/>
              <w:overflowPunct/>
              <w:topLinePunct w:val="0"/>
              <w:autoSpaceDE/>
              <w:autoSpaceDN/>
              <w:bidi w:val="0"/>
              <w:adjustRightInd/>
              <w:snapToGrid/>
              <w:spacing w:before="38" w:line="360" w:lineRule="auto"/>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评分因素及权重</w:t>
            </w:r>
          </w:p>
        </w:tc>
        <w:tc>
          <w:tcPr>
            <w:tcW w:w="575" w:type="dxa"/>
            <w:vAlign w:val="center"/>
          </w:tcPr>
          <w:p>
            <w:pPr>
              <w:pStyle w:val="208"/>
              <w:keepNext w:val="0"/>
              <w:keepLines w:val="0"/>
              <w:pageBreakBefore w:val="0"/>
              <w:kinsoku/>
              <w:wordWrap/>
              <w:overflowPunct/>
              <w:topLinePunct w:val="0"/>
              <w:autoSpaceDE/>
              <w:autoSpaceDN/>
              <w:bidi w:val="0"/>
              <w:adjustRightInd/>
              <w:snapToGrid/>
              <w:spacing w:before="38" w:line="360" w:lineRule="auto"/>
              <w:ind w:left="112"/>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分值</w:t>
            </w:r>
          </w:p>
        </w:tc>
        <w:tc>
          <w:tcPr>
            <w:tcW w:w="5200"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3"/>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评分标准</w:t>
            </w:r>
          </w:p>
        </w:tc>
        <w:tc>
          <w:tcPr>
            <w:tcW w:w="1497"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20"/>
              <w:jc w:val="center"/>
              <w:textAlignment w:val="auto"/>
              <w:rPr>
                <w:rFonts w:hint="eastAsia" w:ascii="仿宋" w:hAnsi="仿宋" w:eastAsia="仿宋" w:cs="仿宋"/>
                <w:color w:val="auto"/>
                <w:sz w:val="21"/>
                <w:szCs w:val="21"/>
              </w:rPr>
            </w:pPr>
            <w:r>
              <w:rPr>
                <w:rFonts w:hint="eastAsia" w:ascii="仿宋" w:hAnsi="仿宋" w:eastAsia="仿宋" w:cs="仿宋"/>
                <w:color w:val="auto"/>
                <w:spacing w:val="-4"/>
                <w:sz w:val="21"/>
                <w:szCs w:val="21"/>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right="103"/>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价格部分</w:t>
            </w:r>
          </w:p>
        </w:tc>
        <w:tc>
          <w:tcPr>
            <w:tcW w:w="932" w:type="dxa"/>
            <w:vAlign w:val="center"/>
          </w:tcPr>
          <w:p>
            <w:pPr>
              <w:pStyle w:val="208"/>
              <w:keepNext w:val="0"/>
              <w:keepLines w:val="0"/>
              <w:pageBreakBefore w:val="0"/>
              <w:kinsoku/>
              <w:wordWrap/>
              <w:overflowPunct/>
              <w:topLinePunct w:val="0"/>
              <w:autoSpaceDE/>
              <w:autoSpaceDN/>
              <w:bidi w:val="0"/>
              <w:adjustRightInd/>
              <w:snapToGrid/>
              <w:spacing w:before="78" w:line="360" w:lineRule="auto"/>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价格部分（30分）</w:t>
            </w:r>
          </w:p>
        </w:tc>
        <w:tc>
          <w:tcPr>
            <w:tcW w:w="575" w:type="dxa"/>
            <w:vAlign w:val="center"/>
          </w:tcPr>
          <w:p>
            <w:pPr>
              <w:pStyle w:val="208"/>
              <w:keepNext w:val="0"/>
              <w:keepLines w:val="0"/>
              <w:pageBreakBefore w:val="0"/>
              <w:kinsoku/>
              <w:wordWrap/>
              <w:overflowPunct/>
              <w:topLinePunct w:val="0"/>
              <w:autoSpaceDE/>
              <w:autoSpaceDN/>
              <w:bidi w:val="0"/>
              <w:adjustRightInd/>
              <w:snapToGrid/>
              <w:spacing w:before="78" w:line="360" w:lineRule="auto"/>
              <w:jc w:val="center"/>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30</w:t>
            </w:r>
          </w:p>
        </w:tc>
        <w:tc>
          <w:tcPr>
            <w:tcW w:w="5200" w:type="dxa"/>
            <w:vAlign w:val="center"/>
          </w:tcPr>
          <w:p>
            <w:pPr>
              <w:pStyle w:val="208"/>
              <w:keepNext w:val="0"/>
              <w:keepLines w:val="0"/>
              <w:pageBreakBefore w:val="0"/>
              <w:kinsoku/>
              <w:wordWrap/>
              <w:overflowPunct/>
              <w:topLinePunct w:val="0"/>
              <w:autoSpaceDE/>
              <w:autoSpaceDN/>
              <w:bidi w:val="0"/>
              <w:adjustRightInd/>
              <w:snapToGrid/>
              <w:spacing w:before="28" w:line="360" w:lineRule="auto"/>
              <w:ind w:left="112" w:right="44" w:firstLine="483"/>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价格分采用低价优先法计算，即满足招标文件要求和招标人采购产品主要技术参数要求且投标价格最低的投标报价为评标基准价，其价格分为满分30分。其他投标人的价格分按照下列公式计算：</w:t>
            </w:r>
          </w:p>
          <w:p>
            <w:pPr>
              <w:pStyle w:val="208"/>
              <w:keepNext w:val="0"/>
              <w:keepLines w:val="0"/>
              <w:pageBreakBefore w:val="0"/>
              <w:kinsoku/>
              <w:wordWrap/>
              <w:overflowPunct/>
              <w:topLinePunct w:val="0"/>
              <w:autoSpaceDE/>
              <w:autoSpaceDN/>
              <w:bidi w:val="0"/>
              <w:adjustRightInd/>
              <w:snapToGrid/>
              <w:spacing w:before="28" w:line="360" w:lineRule="auto"/>
              <w:ind w:left="112" w:right="44" w:firstLine="483"/>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投标报价得分(评标基准价/投标报价)×30</w:t>
            </w:r>
          </w:p>
          <w:p>
            <w:pPr>
              <w:pStyle w:val="208"/>
              <w:keepNext w:val="0"/>
              <w:keepLines w:val="0"/>
              <w:pageBreakBefore w:val="0"/>
              <w:kinsoku/>
              <w:wordWrap/>
              <w:overflowPunct/>
              <w:topLinePunct w:val="0"/>
              <w:autoSpaceDE/>
              <w:autoSpaceDN/>
              <w:bidi w:val="0"/>
              <w:adjustRightInd/>
              <w:snapToGrid/>
              <w:spacing w:before="28" w:line="360" w:lineRule="auto"/>
              <w:ind w:left="112" w:right="44" w:firstLine="483"/>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价格部分(30分)</w:t>
            </w:r>
          </w:p>
          <w:p>
            <w:pPr>
              <w:pStyle w:val="208"/>
              <w:keepNext w:val="0"/>
              <w:keepLines w:val="0"/>
              <w:pageBreakBefore w:val="0"/>
              <w:kinsoku/>
              <w:wordWrap/>
              <w:overflowPunct/>
              <w:topLinePunct w:val="0"/>
              <w:autoSpaceDE/>
              <w:autoSpaceDN/>
              <w:bidi w:val="0"/>
              <w:adjustRightInd/>
              <w:snapToGrid/>
              <w:spacing w:before="28" w:line="360" w:lineRule="auto"/>
              <w:ind w:left="112" w:right="44" w:firstLine="483"/>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注： (1) 报价超出最高限价的为无效投标报价；</w:t>
            </w:r>
          </w:p>
          <w:p>
            <w:pPr>
              <w:pStyle w:val="208"/>
              <w:keepNext w:val="0"/>
              <w:keepLines w:val="0"/>
              <w:pageBreakBefore w:val="0"/>
              <w:kinsoku/>
              <w:wordWrap/>
              <w:overflowPunct/>
              <w:topLinePunct w:val="0"/>
              <w:autoSpaceDE/>
              <w:autoSpaceDN/>
              <w:bidi w:val="0"/>
              <w:adjustRightInd/>
              <w:snapToGrid/>
              <w:spacing w:before="28" w:line="360" w:lineRule="auto"/>
              <w:ind w:left="112" w:right="44" w:firstLine="483"/>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(2) 根据财政部、工业和信息化部发布的《政府采购促进中小企业发展管理办法》 (财库(2020)46号) 和财政部《关于进一步加大政府采购支持中小企业力度的通知》 (财库(2022)19号)规定，对小型和微型企业产品的投标价格给予10%的扣除，用扣除后的价格参与评审；</w:t>
            </w:r>
          </w:p>
          <w:p>
            <w:pPr>
              <w:pStyle w:val="208"/>
              <w:keepNext w:val="0"/>
              <w:keepLines w:val="0"/>
              <w:pageBreakBefore w:val="0"/>
              <w:kinsoku/>
              <w:wordWrap/>
              <w:overflowPunct/>
              <w:topLinePunct w:val="0"/>
              <w:autoSpaceDE/>
              <w:autoSpaceDN/>
              <w:bidi w:val="0"/>
              <w:adjustRightInd/>
              <w:snapToGrid/>
              <w:spacing w:before="28" w:line="360" w:lineRule="auto"/>
              <w:ind w:left="112" w:right="44" w:firstLine="483"/>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(3) 若本项目所有投标人均属小型、微型企业的，按原报价进行评审；</w:t>
            </w:r>
          </w:p>
          <w:p>
            <w:pPr>
              <w:pStyle w:val="208"/>
              <w:keepNext w:val="0"/>
              <w:keepLines w:val="0"/>
              <w:pageBreakBefore w:val="0"/>
              <w:kinsoku/>
              <w:wordWrap/>
              <w:overflowPunct/>
              <w:topLinePunct w:val="0"/>
              <w:autoSpaceDE/>
              <w:autoSpaceDN/>
              <w:bidi w:val="0"/>
              <w:adjustRightInd/>
              <w:snapToGrid/>
              <w:spacing w:before="28" w:line="360" w:lineRule="auto"/>
              <w:ind w:left="112" w:right="44" w:firstLine="483"/>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(4) 根据《政府采购货物和服务招标投标管理办法》中华人民共和国财政部令第 87 号规定，第六十条规定：评标委员会认为投标企业的报价明显低于其他通过符合性审查投标企业的报价，有可能影响产品 质量或者不能诚信履约的，应当要求其在评标现场合理的时间内提供书面说明，必要时提交相关证明材料；投标企业不能证明其报价合理性的，评标委员会应当将其作为无效投标处理。</w:t>
            </w:r>
          </w:p>
        </w:tc>
        <w:tc>
          <w:tcPr>
            <w:tcW w:w="1497" w:type="dxa"/>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p>
          <w:p>
            <w:pPr>
              <w:pStyle w:val="208"/>
              <w:keepNext w:val="0"/>
              <w:keepLines w:val="0"/>
              <w:pageBreakBefore w:val="0"/>
              <w:kinsoku/>
              <w:wordWrap/>
              <w:overflowPunct/>
              <w:topLinePunct w:val="0"/>
              <w:autoSpaceDE/>
              <w:autoSpaceDN/>
              <w:bidi w:val="0"/>
              <w:adjustRightInd/>
              <w:snapToGrid/>
              <w:spacing w:before="78" w:line="360" w:lineRule="auto"/>
              <w:ind w:left="119" w:right="105"/>
              <w:jc w:val="center"/>
              <w:textAlignment w:val="auto"/>
              <w:rPr>
                <w:rFonts w:hint="eastAsia" w:ascii="仿宋" w:hAnsi="仿宋" w:eastAsia="仿宋" w:cs="仿宋"/>
                <w:color w:val="auto"/>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9" w:hRule="atLeast"/>
        </w:trPr>
        <w:tc>
          <w:tcPr>
            <w:tcW w:w="983" w:type="dxa"/>
            <w:vMerge w:val="restart"/>
            <w:tcBorders>
              <w:bottom w:val="nil"/>
            </w:tcBorders>
            <w:vAlign w:val="center"/>
          </w:tcPr>
          <w:p>
            <w:pPr>
              <w:pStyle w:val="208"/>
              <w:keepNext w:val="0"/>
              <w:keepLines w:val="0"/>
              <w:pageBreakBefore w:val="0"/>
              <w:kinsoku/>
              <w:wordWrap/>
              <w:overflowPunct/>
              <w:topLinePunct w:val="0"/>
              <w:autoSpaceDE/>
              <w:autoSpaceDN/>
              <w:bidi w:val="0"/>
              <w:adjustRightInd/>
              <w:snapToGrid/>
              <w:spacing w:before="78" w:line="360" w:lineRule="auto"/>
              <w:ind w:right="103"/>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商务部分</w:t>
            </w:r>
          </w:p>
        </w:tc>
        <w:tc>
          <w:tcPr>
            <w:tcW w:w="932" w:type="dxa"/>
            <w:vMerge w:val="restart"/>
            <w:vAlign w:val="center"/>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综合实力</w:t>
            </w:r>
          </w:p>
        </w:tc>
        <w:tc>
          <w:tcPr>
            <w:tcW w:w="575" w:type="dxa"/>
            <w:vMerge w:val="restart"/>
            <w:vAlign w:val="center"/>
          </w:tcPr>
          <w:p>
            <w:pPr>
              <w:pStyle w:val="208"/>
              <w:keepNext w:val="0"/>
              <w:keepLines w:val="0"/>
              <w:pageBreakBefore w:val="0"/>
              <w:kinsoku/>
              <w:wordWrap/>
              <w:overflowPunct/>
              <w:topLinePunct w:val="0"/>
              <w:autoSpaceDE/>
              <w:autoSpaceDN/>
              <w:bidi w:val="0"/>
              <w:adjustRightInd/>
              <w:snapToGrid/>
              <w:spacing w:before="232" w:line="360" w:lineRule="auto"/>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10</w:t>
            </w:r>
          </w:p>
        </w:tc>
        <w:tc>
          <w:tcPr>
            <w:tcW w:w="5200" w:type="dxa"/>
            <w:vMerge w:val="restart"/>
            <w:vAlign w:val="center"/>
          </w:tcPr>
          <w:p>
            <w:pPr>
              <w:pStyle w:val="208"/>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left"/>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1、供应商提供近三年同类业绩的，每提供1个得 2 分，以提供中标通知书和合同为主，最高10分</w:t>
            </w:r>
          </w:p>
        </w:tc>
        <w:tc>
          <w:tcPr>
            <w:tcW w:w="1497" w:type="dxa"/>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983" w:type="dxa"/>
            <w:vMerge w:val="continue"/>
            <w:tcBorders>
              <w:top w:val="nil"/>
              <w:bottom w:val="nil"/>
            </w:tcBorders>
            <w:vAlign w:val="center"/>
          </w:tcPr>
          <w:p>
            <w:pPr>
              <w:spacing w:line="360" w:lineRule="auto"/>
              <w:rPr>
                <w:rFonts w:hint="eastAsia" w:cs="Times New Roman" w:asciiTheme="minorEastAsia" w:hAnsiTheme="minorEastAsia" w:eastAsiaTheme="minorEastAsia"/>
                <w:kern w:val="2"/>
                <w:sz w:val="21"/>
                <w:szCs w:val="21"/>
                <w:lang w:val="en-US" w:eastAsia="zh-CN" w:bidi="ar-SA"/>
              </w:rPr>
            </w:pPr>
          </w:p>
        </w:tc>
        <w:tc>
          <w:tcPr>
            <w:tcW w:w="932" w:type="dxa"/>
            <w:vMerge w:val="continue"/>
            <w:tcBorders>
              <w:bottom w:val="single" w:color="auto" w:sz="4" w:space="0"/>
            </w:tcBorders>
            <w:vAlign w:val="center"/>
          </w:tcPr>
          <w:p>
            <w:pPr>
              <w:spacing w:line="360" w:lineRule="auto"/>
              <w:rPr>
                <w:rFonts w:hint="eastAsia" w:cs="Times New Roman" w:asciiTheme="minorEastAsia" w:hAnsiTheme="minorEastAsia" w:eastAsiaTheme="minorEastAsia"/>
                <w:kern w:val="2"/>
                <w:sz w:val="21"/>
                <w:szCs w:val="21"/>
                <w:lang w:val="en-US" w:eastAsia="zh-CN" w:bidi="ar-SA"/>
              </w:rPr>
            </w:pPr>
          </w:p>
        </w:tc>
        <w:tc>
          <w:tcPr>
            <w:tcW w:w="575" w:type="dxa"/>
            <w:vMerge w:val="continue"/>
            <w:tcBorders>
              <w:bottom w:val="single" w:color="auto" w:sz="4" w:space="0"/>
            </w:tcBorders>
            <w:vAlign w:val="center"/>
          </w:tcPr>
          <w:p>
            <w:pPr>
              <w:spacing w:line="360" w:lineRule="auto"/>
              <w:rPr>
                <w:rFonts w:hint="eastAsia" w:cs="Times New Roman" w:asciiTheme="minorEastAsia" w:hAnsiTheme="minorEastAsia" w:eastAsiaTheme="minorEastAsia"/>
                <w:kern w:val="2"/>
                <w:sz w:val="21"/>
                <w:szCs w:val="21"/>
                <w:lang w:val="en-US" w:eastAsia="zh-CN" w:bidi="ar-SA"/>
              </w:rPr>
            </w:pPr>
          </w:p>
        </w:tc>
        <w:tc>
          <w:tcPr>
            <w:tcW w:w="5200" w:type="dxa"/>
            <w:vMerge w:val="continue"/>
            <w:vAlign w:val="center"/>
          </w:tcPr>
          <w:p>
            <w:pPr>
              <w:spacing w:line="360" w:lineRule="auto"/>
              <w:rPr>
                <w:rFonts w:hint="eastAsia" w:cs="Times New Roman" w:asciiTheme="minorEastAsia" w:hAnsiTheme="minorEastAsia" w:eastAsiaTheme="minorEastAsia"/>
                <w:kern w:val="2"/>
                <w:sz w:val="21"/>
                <w:szCs w:val="21"/>
                <w:lang w:val="en-US" w:eastAsia="zh-CN" w:bidi="ar-SA"/>
              </w:rPr>
            </w:pPr>
          </w:p>
        </w:tc>
        <w:tc>
          <w:tcPr>
            <w:tcW w:w="1497" w:type="dxa"/>
            <w:vMerge w:val="restart"/>
            <w:tcBorders>
              <w:bottom w:val="nil"/>
            </w:tcBorders>
            <w:vAlign w:val="top"/>
          </w:tcPr>
          <w:p>
            <w:pPr>
              <w:pStyle w:val="208"/>
              <w:keepNext w:val="0"/>
              <w:keepLines w:val="0"/>
              <w:pageBreakBefore w:val="0"/>
              <w:kinsoku/>
              <w:wordWrap/>
              <w:overflowPunct/>
              <w:topLinePunct w:val="0"/>
              <w:autoSpaceDE/>
              <w:autoSpaceDN/>
              <w:bidi w:val="0"/>
              <w:adjustRightInd/>
              <w:snapToGrid/>
              <w:spacing w:before="32" w:line="360" w:lineRule="auto"/>
              <w:ind w:left="117" w:right="107" w:firstLine="2"/>
              <w:textAlignment w:val="auto"/>
              <w:rPr>
                <w:rFonts w:hint="eastAsia" w:ascii="仿宋" w:hAnsi="仿宋" w:eastAsia="仿宋" w:cs="仿宋"/>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continue"/>
            <w:tcBorders>
              <w:top w:val="nil"/>
              <w:bottom w:val="nil"/>
            </w:tcBorders>
            <w:vAlign w:val="center"/>
          </w:tcPr>
          <w:p>
            <w:pPr>
              <w:spacing w:line="360" w:lineRule="auto"/>
              <w:rPr>
                <w:rFonts w:hint="eastAsia" w:cs="Times New Roman" w:asciiTheme="minorEastAsia" w:hAnsiTheme="minorEastAsia" w:eastAsiaTheme="minorEastAsia"/>
                <w:kern w:val="2"/>
                <w:sz w:val="21"/>
                <w:szCs w:val="21"/>
                <w:lang w:val="en-US" w:eastAsia="zh-CN" w:bidi="ar-SA"/>
              </w:rPr>
            </w:pPr>
          </w:p>
        </w:tc>
        <w:tc>
          <w:tcPr>
            <w:tcW w:w="932" w:type="dxa"/>
            <w:tcBorders>
              <w:top w:val="single" w:color="auto" w:sz="4" w:space="0"/>
              <w:bottom w:val="single" w:color="auto" w:sz="4" w:space="0"/>
            </w:tcBorders>
            <w:vAlign w:val="center"/>
          </w:tcPr>
          <w:p>
            <w:pPr>
              <w:spacing w:line="360" w:lineRule="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投标文件制作情况</w:t>
            </w:r>
          </w:p>
        </w:tc>
        <w:tc>
          <w:tcPr>
            <w:tcW w:w="575" w:type="dxa"/>
            <w:tcBorders>
              <w:top w:val="single" w:color="auto" w:sz="4" w:space="0"/>
            </w:tcBorders>
            <w:vAlign w:val="center"/>
          </w:tcPr>
          <w:p>
            <w:pPr>
              <w:spacing w:line="360" w:lineRule="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10</w:t>
            </w:r>
          </w:p>
        </w:tc>
        <w:tc>
          <w:tcPr>
            <w:tcW w:w="5200" w:type="dxa"/>
            <w:vAlign w:val="center"/>
          </w:tcPr>
          <w:p>
            <w:pPr>
              <w:spacing w:line="360" w:lineRule="auto"/>
              <w:ind w:firstLine="420" w:firstLineChars="200"/>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投标文件编制完整、编排质量较高、资料齐全、文字清晰及对招标文件相应程度进行综合评价，</w:t>
            </w:r>
          </w:p>
          <w:p>
            <w:pPr>
              <w:spacing w:line="360" w:lineRule="auto"/>
              <w:ind w:firstLine="420" w:firstLineChars="200"/>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(1)完善得10分</w:t>
            </w:r>
          </w:p>
          <w:p>
            <w:pPr>
              <w:spacing w:line="360" w:lineRule="auto"/>
              <w:ind w:firstLine="420" w:firstLineChars="200"/>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(2)一般得5分</w:t>
            </w:r>
          </w:p>
          <w:p>
            <w:pPr>
              <w:spacing w:line="360" w:lineRule="auto"/>
              <w:ind w:firstLine="420" w:firstLineChars="200"/>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(3)否则不得分</w:t>
            </w:r>
          </w:p>
        </w:tc>
        <w:tc>
          <w:tcPr>
            <w:tcW w:w="1497" w:type="dxa"/>
            <w:vMerge w:val="continue"/>
            <w:tcBorders>
              <w:top w:val="nil"/>
              <w:bottom w:val="nil"/>
            </w:tcBorders>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restart"/>
            <w:tcBorders>
              <w:top w:val="single" w:color="auto" w:sz="4" w:space="0"/>
            </w:tcBorders>
            <w:vAlign w:val="center"/>
          </w:tcPr>
          <w:p>
            <w:pPr>
              <w:pStyle w:val="208"/>
              <w:keepNext w:val="0"/>
              <w:keepLines w:val="0"/>
              <w:pageBreakBefore w:val="0"/>
              <w:kinsoku/>
              <w:wordWrap/>
              <w:overflowPunct/>
              <w:topLinePunct w:val="0"/>
              <w:autoSpaceDE/>
              <w:autoSpaceDN/>
              <w:bidi w:val="0"/>
              <w:adjustRightInd/>
              <w:snapToGrid/>
              <w:spacing w:before="78" w:line="360" w:lineRule="auto"/>
              <w:ind w:right="98"/>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技术部分</w:t>
            </w:r>
          </w:p>
        </w:tc>
        <w:tc>
          <w:tcPr>
            <w:tcW w:w="932" w:type="dxa"/>
            <w:tcBorders>
              <w:top w:val="single" w:color="auto" w:sz="4" w:space="0"/>
            </w:tcBorders>
            <w:vAlign w:val="center"/>
          </w:tcPr>
          <w:p>
            <w:pPr>
              <w:pStyle w:val="208"/>
              <w:keepNext w:val="0"/>
              <w:keepLines w:val="0"/>
              <w:pageBreakBefore w:val="0"/>
              <w:kinsoku/>
              <w:wordWrap/>
              <w:overflowPunct/>
              <w:topLinePunct w:val="0"/>
              <w:autoSpaceDE/>
              <w:autoSpaceDN/>
              <w:bidi w:val="0"/>
              <w:adjustRightInd/>
              <w:snapToGrid/>
              <w:spacing w:before="27" w:line="360" w:lineRule="auto"/>
              <w:jc w:val="center"/>
              <w:textAlignment w:val="auto"/>
              <w:rPr>
                <w:rFonts w:hint="eastAsia" w:cs="Times New Roman" w:asciiTheme="minorEastAsia" w:hAnsiTheme="minorEastAsia" w:eastAsiaTheme="minorEastAsia"/>
                <w:kern w:val="2"/>
                <w:sz w:val="21"/>
                <w:szCs w:val="21"/>
                <w:lang w:val="en-US" w:eastAsia="zh-CN" w:bidi="ar-SA"/>
              </w:rPr>
            </w:pPr>
          </w:p>
          <w:p>
            <w:pPr>
              <w:pStyle w:val="208"/>
              <w:keepNext w:val="0"/>
              <w:keepLines w:val="0"/>
              <w:pageBreakBefore w:val="0"/>
              <w:kinsoku/>
              <w:wordWrap/>
              <w:overflowPunct/>
              <w:topLinePunct w:val="0"/>
              <w:autoSpaceDE/>
              <w:autoSpaceDN/>
              <w:bidi w:val="0"/>
              <w:adjustRightInd/>
              <w:snapToGrid/>
              <w:spacing w:before="27" w:line="360" w:lineRule="auto"/>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应急预案</w:t>
            </w:r>
          </w:p>
          <w:p>
            <w:pPr>
              <w:pStyle w:val="208"/>
              <w:keepNext w:val="0"/>
              <w:keepLines w:val="0"/>
              <w:pageBreakBefore w:val="0"/>
              <w:kinsoku/>
              <w:wordWrap/>
              <w:overflowPunct/>
              <w:topLinePunct w:val="0"/>
              <w:autoSpaceDE/>
              <w:autoSpaceDN/>
              <w:bidi w:val="0"/>
              <w:adjustRightInd/>
              <w:snapToGrid/>
              <w:spacing w:before="27" w:line="360" w:lineRule="auto"/>
              <w:ind w:left="112"/>
              <w:jc w:val="center"/>
              <w:textAlignment w:val="auto"/>
              <w:rPr>
                <w:rFonts w:hint="eastAsia" w:cs="Times New Roman" w:asciiTheme="minorEastAsia" w:hAnsiTheme="minorEastAsia" w:eastAsiaTheme="minorEastAsia"/>
                <w:kern w:val="2"/>
                <w:sz w:val="21"/>
                <w:szCs w:val="21"/>
                <w:lang w:val="en-US" w:eastAsia="zh-CN" w:bidi="ar-SA"/>
              </w:rPr>
            </w:pPr>
          </w:p>
        </w:tc>
        <w:tc>
          <w:tcPr>
            <w:tcW w:w="575"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34"/>
              <w:jc w:val="both"/>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5</w:t>
            </w:r>
          </w:p>
        </w:tc>
        <w:tc>
          <w:tcPr>
            <w:tcW w:w="5200" w:type="dxa"/>
            <w:vAlign w:val="center"/>
          </w:tcPr>
          <w:p>
            <w:pPr>
              <w:pStyle w:val="208"/>
              <w:keepNext w:val="0"/>
              <w:keepLines w:val="0"/>
              <w:pageBreakBefore w:val="0"/>
              <w:kinsoku/>
              <w:wordWrap/>
              <w:overflowPunct/>
              <w:topLinePunct w:val="0"/>
              <w:autoSpaceDE/>
              <w:autoSpaceDN/>
              <w:bidi w:val="0"/>
              <w:adjustRightInd/>
              <w:snapToGrid/>
              <w:spacing w:before="26" w:line="360" w:lineRule="auto"/>
              <w:ind w:right="112"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投标人应对突发事件组织机构健全，应急保障力符合采购人要求，针对本项目应急方案，进行综合评审： </w:t>
            </w:r>
          </w:p>
          <w:p>
            <w:pPr>
              <w:pStyle w:val="208"/>
              <w:keepNext w:val="0"/>
              <w:keepLines w:val="0"/>
              <w:pageBreakBefore w:val="0"/>
              <w:kinsoku/>
              <w:wordWrap/>
              <w:overflowPunct/>
              <w:topLinePunct w:val="0"/>
              <w:autoSpaceDE/>
              <w:autoSpaceDN/>
              <w:bidi w:val="0"/>
              <w:adjustRightInd/>
              <w:snapToGrid/>
              <w:spacing w:before="26" w:line="360" w:lineRule="auto"/>
              <w:ind w:right="112"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1.有完善的突发事件组织机制，且应急保障能力优于采购人要求，完整包括以上评审内容，且科学可靠、完善可行程度高，得5分； </w:t>
            </w:r>
          </w:p>
          <w:p>
            <w:pPr>
              <w:pStyle w:val="208"/>
              <w:keepNext w:val="0"/>
              <w:keepLines w:val="0"/>
              <w:pageBreakBefore w:val="0"/>
              <w:kinsoku/>
              <w:wordWrap/>
              <w:overflowPunct/>
              <w:topLinePunct w:val="0"/>
              <w:autoSpaceDE/>
              <w:autoSpaceDN/>
              <w:bidi w:val="0"/>
              <w:adjustRightInd/>
              <w:snapToGrid/>
              <w:spacing w:before="26" w:line="360" w:lineRule="auto"/>
              <w:ind w:right="112"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2.有突发事件组织机制及应急保障能力基本科 学可靠、完善、基本可行的，得3分； </w:t>
            </w:r>
          </w:p>
          <w:p>
            <w:pPr>
              <w:pStyle w:val="208"/>
              <w:keepNext w:val="0"/>
              <w:keepLines w:val="0"/>
              <w:pageBreakBefore w:val="0"/>
              <w:kinsoku/>
              <w:wordWrap/>
              <w:overflowPunct/>
              <w:topLinePunct w:val="0"/>
              <w:autoSpaceDE/>
              <w:autoSpaceDN/>
              <w:bidi w:val="0"/>
              <w:adjustRightInd/>
              <w:snapToGrid/>
              <w:spacing w:before="26" w:line="360" w:lineRule="auto"/>
              <w:ind w:right="112"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3.有突发事件组织机制及应急保障能力基本科 学可靠、完善、可行性程度一般，得2分； </w:t>
            </w:r>
          </w:p>
          <w:p>
            <w:pPr>
              <w:pStyle w:val="208"/>
              <w:keepNext w:val="0"/>
              <w:keepLines w:val="0"/>
              <w:pageBreakBefore w:val="0"/>
              <w:kinsoku/>
              <w:wordWrap/>
              <w:overflowPunct/>
              <w:topLinePunct w:val="0"/>
              <w:autoSpaceDE/>
              <w:autoSpaceDN/>
              <w:bidi w:val="0"/>
              <w:adjustRightInd/>
              <w:snapToGrid/>
              <w:spacing w:before="26" w:line="360" w:lineRule="auto"/>
              <w:ind w:right="112"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4.没有提供突发事件方案的，得 0 分</w:t>
            </w:r>
          </w:p>
        </w:tc>
        <w:tc>
          <w:tcPr>
            <w:tcW w:w="1497" w:type="dxa"/>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continue"/>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9" w:right="98" w:hanging="1"/>
              <w:jc w:val="center"/>
              <w:textAlignment w:val="auto"/>
              <w:rPr>
                <w:rFonts w:hint="eastAsia" w:cs="Times New Roman" w:asciiTheme="minorEastAsia" w:hAnsiTheme="minorEastAsia" w:eastAsiaTheme="minorEastAsia"/>
                <w:kern w:val="2"/>
                <w:sz w:val="21"/>
                <w:szCs w:val="21"/>
                <w:lang w:val="en-US" w:eastAsia="zh-CN" w:bidi="ar-SA"/>
              </w:rPr>
            </w:pPr>
          </w:p>
        </w:tc>
        <w:tc>
          <w:tcPr>
            <w:tcW w:w="932" w:type="dxa"/>
            <w:vAlign w:val="center"/>
          </w:tcPr>
          <w:p>
            <w:pPr>
              <w:pStyle w:val="208"/>
              <w:keepNext w:val="0"/>
              <w:keepLines w:val="0"/>
              <w:pageBreakBefore w:val="0"/>
              <w:kinsoku/>
              <w:wordWrap/>
              <w:overflowPunct/>
              <w:topLinePunct w:val="0"/>
              <w:autoSpaceDE/>
              <w:autoSpaceDN/>
              <w:bidi w:val="0"/>
              <w:adjustRightInd/>
              <w:snapToGrid/>
              <w:spacing w:before="24" w:line="360" w:lineRule="auto"/>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人员设备配备及制 度保障实施方案</w:t>
            </w:r>
          </w:p>
          <w:p>
            <w:pPr>
              <w:pStyle w:val="208"/>
              <w:keepNext w:val="0"/>
              <w:keepLines w:val="0"/>
              <w:pageBreakBefore w:val="0"/>
              <w:kinsoku/>
              <w:wordWrap/>
              <w:overflowPunct/>
              <w:topLinePunct w:val="0"/>
              <w:autoSpaceDE/>
              <w:autoSpaceDN/>
              <w:bidi w:val="0"/>
              <w:adjustRightInd/>
              <w:snapToGrid/>
              <w:spacing w:before="24" w:line="360" w:lineRule="auto"/>
              <w:ind w:left="114" w:leftChars="0"/>
              <w:jc w:val="center"/>
              <w:textAlignment w:val="auto"/>
              <w:rPr>
                <w:rFonts w:hint="eastAsia" w:cs="Times New Roman" w:asciiTheme="minorEastAsia" w:hAnsiTheme="minorEastAsia" w:eastAsiaTheme="minorEastAsia"/>
                <w:kern w:val="2"/>
                <w:sz w:val="21"/>
                <w:szCs w:val="21"/>
                <w:lang w:val="en-US" w:eastAsia="zh-CN" w:bidi="ar-SA"/>
              </w:rPr>
            </w:pPr>
          </w:p>
        </w:tc>
        <w:tc>
          <w:tcPr>
            <w:tcW w:w="575"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9" w:right="98" w:hanging="1"/>
              <w:jc w:val="center"/>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15</w:t>
            </w:r>
          </w:p>
        </w:tc>
        <w:tc>
          <w:tcPr>
            <w:tcW w:w="5200"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right="98"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投标人针对本项目的实施方案（包括：本项目组织机构的设置、人员设备配置、岗位责任、考核、制度、激励措施等）的情况和内容，进行综合评审： </w:t>
            </w:r>
          </w:p>
          <w:p>
            <w:pPr>
              <w:pStyle w:val="208"/>
              <w:keepNext w:val="0"/>
              <w:keepLines w:val="0"/>
              <w:pageBreakBefore w:val="0"/>
              <w:kinsoku/>
              <w:wordWrap/>
              <w:overflowPunct/>
              <w:topLinePunct w:val="0"/>
              <w:autoSpaceDE/>
              <w:autoSpaceDN/>
              <w:bidi w:val="0"/>
              <w:adjustRightInd/>
              <w:snapToGrid/>
              <w:spacing w:before="78" w:line="360" w:lineRule="auto"/>
              <w:ind w:right="98"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1.实施方案优于采购人的需求，完整包括以上评审内容，且科学可靠、完善可行程度高，得15分; </w:t>
            </w:r>
          </w:p>
          <w:p>
            <w:pPr>
              <w:pStyle w:val="208"/>
              <w:keepNext w:val="0"/>
              <w:keepLines w:val="0"/>
              <w:pageBreakBefore w:val="0"/>
              <w:kinsoku/>
              <w:wordWrap/>
              <w:overflowPunct/>
              <w:topLinePunct w:val="0"/>
              <w:autoSpaceDE/>
              <w:autoSpaceDN/>
              <w:bidi w:val="0"/>
              <w:adjustRightInd/>
              <w:snapToGrid/>
              <w:spacing w:before="78" w:line="360" w:lineRule="auto"/>
              <w:ind w:right="98"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2.实施方案响应采购人的需求，基本包括以上评审内容，且科学可靠、 完善、基本可行的，得8分; </w:t>
            </w:r>
          </w:p>
          <w:p>
            <w:pPr>
              <w:pStyle w:val="208"/>
              <w:keepNext w:val="0"/>
              <w:keepLines w:val="0"/>
              <w:pageBreakBefore w:val="0"/>
              <w:kinsoku/>
              <w:wordWrap/>
              <w:overflowPunct/>
              <w:topLinePunct w:val="0"/>
              <w:autoSpaceDE/>
              <w:autoSpaceDN/>
              <w:bidi w:val="0"/>
              <w:adjustRightInd/>
              <w:snapToGrid/>
              <w:spacing w:before="78" w:line="360" w:lineRule="auto"/>
              <w:ind w:right="98"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3.实施方案基本响应采购人的需求，对评审内容有部分缺失，科学可靠、完善、可行性程度一般，得5分;</w:t>
            </w:r>
          </w:p>
          <w:p>
            <w:pPr>
              <w:pStyle w:val="208"/>
              <w:keepNext w:val="0"/>
              <w:keepLines w:val="0"/>
              <w:pageBreakBefore w:val="0"/>
              <w:kinsoku/>
              <w:wordWrap/>
              <w:overflowPunct/>
              <w:topLinePunct w:val="0"/>
              <w:autoSpaceDE/>
              <w:autoSpaceDN/>
              <w:bidi w:val="0"/>
              <w:adjustRightInd/>
              <w:snapToGrid/>
              <w:spacing w:before="78" w:line="360" w:lineRule="auto"/>
              <w:ind w:right="98"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4.没有提供整体管理水平的设想及服务方案、 措施实施方案，得 0 分。 </w:t>
            </w:r>
          </w:p>
        </w:tc>
        <w:tc>
          <w:tcPr>
            <w:tcW w:w="1497" w:type="dxa"/>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continue"/>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9" w:right="98" w:hanging="1"/>
              <w:jc w:val="center"/>
              <w:textAlignment w:val="auto"/>
              <w:rPr>
                <w:rFonts w:hint="eastAsia" w:cs="Times New Roman" w:asciiTheme="minorEastAsia" w:hAnsiTheme="minorEastAsia" w:eastAsiaTheme="minorEastAsia"/>
                <w:kern w:val="2"/>
                <w:sz w:val="21"/>
                <w:szCs w:val="21"/>
                <w:lang w:val="en-US" w:eastAsia="zh-CN" w:bidi="ar-SA"/>
              </w:rPr>
            </w:pPr>
          </w:p>
        </w:tc>
        <w:tc>
          <w:tcPr>
            <w:tcW w:w="932" w:type="dxa"/>
            <w:vAlign w:val="center"/>
          </w:tcPr>
          <w:p>
            <w:pPr>
              <w:pStyle w:val="208"/>
              <w:keepNext w:val="0"/>
              <w:keepLines w:val="0"/>
              <w:pageBreakBefore w:val="0"/>
              <w:kinsoku/>
              <w:wordWrap/>
              <w:overflowPunct/>
              <w:topLinePunct w:val="0"/>
              <w:autoSpaceDE/>
              <w:autoSpaceDN/>
              <w:bidi w:val="0"/>
              <w:adjustRightInd/>
              <w:snapToGrid/>
              <w:spacing w:before="78" w:line="360" w:lineRule="auto"/>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服务实施方案</w:t>
            </w:r>
          </w:p>
        </w:tc>
        <w:tc>
          <w:tcPr>
            <w:tcW w:w="575"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34" w:leftChars="0"/>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10</w:t>
            </w:r>
          </w:p>
        </w:tc>
        <w:tc>
          <w:tcPr>
            <w:tcW w:w="5200" w:type="dxa"/>
            <w:vAlign w:val="center"/>
          </w:tcPr>
          <w:p>
            <w:pPr>
              <w:pStyle w:val="208"/>
              <w:keepNext w:val="0"/>
              <w:keepLines w:val="0"/>
              <w:pageBreakBefore w:val="0"/>
              <w:kinsoku/>
              <w:wordWrap/>
              <w:overflowPunct/>
              <w:topLinePunct w:val="0"/>
              <w:autoSpaceDE/>
              <w:autoSpaceDN/>
              <w:bidi w:val="0"/>
              <w:adjustRightInd/>
              <w:snapToGrid/>
              <w:spacing w:before="38" w:line="360" w:lineRule="auto"/>
              <w:ind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投标人针对本项目制定的具体服务实施方案情况进行综合评审：</w:t>
            </w:r>
          </w:p>
          <w:p>
            <w:pPr>
              <w:pStyle w:val="208"/>
              <w:keepNext w:val="0"/>
              <w:keepLines w:val="0"/>
              <w:pageBreakBefore w:val="0"/>
              <w:kinsoku/>
              <w:wordWrap/>
              <w:overflowPunct/>
              <w:topLinePunct w:val="0"/>
              <w:autoSpaceDE/>
              <w:autoSpaceDN/>
              <w:bidi w:val="0"/>
              <w:adjustRightInd/>
              <w:snapToGrid/>
              <w:spacing w:before="27" w:line="360" w:lineRule="auto"/>
              <w:ind w:right="105"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1.实施方案优于采购人的需求，完整包括以上评审内容，且科学可靠、完善可行程度高，得10分;</w:t>
            </w:r>
          </w:p>
          <w:p>
            <w:pPr>
              <w:pStyle w:val="208"/>
              <w:keepNext w:val="0"/>
              <w:keepLines w:val="0"/>
              <w:pageBreakBefore w:val="0"/>
              <w:kinsoku/>
              <w:wordWrap/>
              <w:overflowPunct/>
              <w:topLinePunct w:val="0"/>
              <w:autoSpaceDE/>
              <w:autoSpaceDN/>
              <w:bidi w:val="0"/>
              <w:adjustRightInd/>
              <w:snapToGrid/>
              <w:spacing w:before="27" w:line="360" w:lineRule="auto"/>
              <w:ind w:right="112"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2.实施方案满足投标采购人的需求，基本包括以上评审内容，且科学可靠、完善、基本可行的，得7分;</w:t>
            </w:r>
          </w:p>
          <w:p>
            <w:pPr>
              <w:pStyle w:val="208"/>
              <w:keepNext w:val="0"/>
              <w:keepLines w:val="0"/>
              <w:pageBreakBefore w:val="0"/>
              <w:kinsoku/>
              <w:wordWrap/>
              <w:overflowPunct/>
              <w:topLinePunct w:val="0"/>
              <w:autoSpaceDE/>
              <w:autoSpaceDN/>
              <w:bidi w:val="0"/>
              <w:adjustRightInd/>
              <w:snapToGrid/>
              <w:spacing w:before="23" w:line="360" w:lineRule="auto"/>
              <w:ind w:right="37"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3.实施方案基本满足投标采购人的需求，对评审内容有部分缺失，科学可靠、完善、可行性程度一般，得5分;</w:t>
            </w:r>
          </w:p>
          <w:p>
            <w:pPr>
              <w:pStyle w:val="208"/>
              <w:keepNext w:val="0"/>
              <w:keepLines w:val="0"/>
              <w:pageBreakBefore w:val="0"/>
              <w:kinsoku/>
              <w:wordWrap/>
              <w:overflowPunct/>
              <w:topLinePunct w:val="0"/>
              <w:autoSpaceDE/>
              <w:autoSpaceDN/>
              <w:bidi w:val="0"/>
              <w:adjustRightInd/>
              <w:snapToGrid/>
              <w:spacing w:before="28" w:line="360" w:lineRule="auto"/>
              <w:ind w:right="208" w:rightChars="0"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4.不满足或未提供整体管理水平的设想及服务方案、措施实施方案，得0分。</w:t>
            </w:r>
          </w:p>
        </w:tc>
        <w:tc>
          <w:tcPr>
            <w:tcW w:w="1497" w:type="dxa"/>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Merge w:val="continue"/>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9" w:right="98" w:hanging="1"/>
              <w:jc w:val="center"/>
              <w:textAlignment w:val="auto"/>
              <w:rPr>
                <w:rFonts w:hint="eastAsia" w:cs="Times New Roman" w:asciiTheme="minorEastAsia" w:hAnsiTheme="minorEastAsia" w:eastAsiaTheme="minorEastAsia"/>
                <w:kern w:val="2"/>
                <w:sz w:val="21"/>
                <w:szCs w:val="21"/>
                <w:lang w:val="en-US" w:eastAsia="zh-CN" w:bidi="ar-SA"/>
              </w:rPr>
            </w:pPr>
          </w:p>
        </w:tc>
        <w:tc>
          <w:tcPr>
            <w:tcW w:w="932" w:type="dxa"/>
            <w:vAlign w:val="center"/>
          </w:tcPr>
          <w:p>
            <w:pPr>
              <w:pStyle w:val="208"/>
              <w:keepNext w:val="0"/>
              <w:keepLines w:val="0"/>
              <w:pageBreakBefore w:val="0"/>
              <w:kinsoku/>
              <w:wordWrap/>
              <w:overflowPunct/>
              <w:topLinePunct w:val="0"/>
              <w:autoSpaceDE/>
              <w:autoSpaceDN/>
              <w:bidi w:val="0"/>
              <w:adjustRightInd/>
              <w:snapToGrid/>
              <w:spacing w:before="22" w:line="360" w:lineRule="auto"/>
              <w:jc w:val="both"/>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管理服务整体方案</w:t>
            </w:r>
          </w:p>
        </w:tc>
        <w:tc>
          <w:tcPr>
            <w:tcW w:w="575"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firstLine="210" w:firstLineChars="100"/>
              <w:jc w:val="both"/>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10</w:t>
            </w:r>
          </w:p>
        </w:tc>
        <w:tc>
          <w:tcPr>
            <w:tcW w:w="52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投标人针对本项目制定的管理服务整体方案 （包括管理目标、管理模式、管理制度、人员培训等）进行综合评审：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1.有完善的管理服务整体方案，且管理措施优于采购人要求，完整包括以上评审内容，且科学可靠、完善可行程度高，得10分；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2.有完善的管理服务整体方案，且管理措施优于采购人要求，完整包括以上评审内容，且科学可靠、完善、基本可行的，得7分；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 xml:space="preserve">3.有完善的管理服务整体方案，且管理措施优于采购人要求，完整包括以上评审内容，且科学可靠、完善、可行性程度一般，得5分；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4.没有提供管理服务整体方案的，得0分</w:t>
            </w:r>
          </w:p>
        </w:tc>
        <w:tc>
          <w:tcPr>
            <w:tcW w:w="1497" w:type="dxa"/>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83"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19" w:right="98" w:hanging="1"/>
              <w:jc w:val="center"/>
              <w:textAlignment w:val="auto"/>
              <w:rPr>
                <w:rFonts w:hint="eastAsia" w:cs="Times New Roman" w:asciiTheme="minorEastAsia" w:hAnsiTheme="minorEastAsia" w:eastAsiaTheme="minorEastAsia"/>
                <w:kern w:val="2"/>
                <w:sz w:val="21"/>
                <w:szCs w:val="21"/>
                <w:lang w:val="en-US" w:eastAsia="zh-CN" w:bidi="ar-SA"/>
              </w:rPr>
            </w:pPr>
          </w:p>
        </w:tc>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其他</w:t>
            </w:r>
          </w:p>
        </w:tc>
        <w:tc>
          <w:tcPr>
            <w:tcW w:w="575" w:type="dxa"/>
            <w:vAlign w:val="center"/>
          </w:tcPr>
          <w:p>
            <w:pPr>
              <w:pStyle w:val="208"/>
              <w:keepNext w:val="0"/>
              <w:keepLines w:val="0"/>
              <w:pageBreakBefore w:val="0"/>
              <w:kinsoku/>
              <w:wordWrap/>
              <w:overflowPunct/>
              <w:topLinePunct w:val="0"/>
              <w:autoSpaceDE/>
              <w:autoSpaceDN/>
              <w:bidi w:val="0"/>
              <w:adjustRightInd/>
              <w:snapToGrid/>
              <w:spacing w:before="78" w:line="360" w:lineRule="auto"/>
              <w:ind w:left="134" w:leftChars="0"/>
              <w:jc w:val="center"/>
              <w:textAlignment w:val="auto"/>
              <w:rPr>
                <w:rFonts w:hint="default"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10</w:t>
            </w:r>
          </w:p>
        </w:tc>
        <w:tc>
          <w:tcPr>
            <w:tcW w:w="5200" w:type="dxa"/>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具有有害生物防治A级证书的得6分；B级证书得4分，C级证书得2分，没有得0分。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2. 提供人员资质相关证书的，每个证得 4 分。</w:t>
            </w:r>
          </w:p>
        </w:tc>
        <w:tc>
          <w:tcPr>
            <w:tcW w:w="1497" w:type="dxa"/>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p>
        </w:tc>
      </w:tr>
    </w:tbl>
    <w:p/>
    <w:p>
      <w:pPr>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备注：</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一、1、根据《政府采购促进中小企业发展暂行办法》（财库［2011］181 号）和工信部联企业〔2011〕300号文件规定，对小型和微型企业产品的价格给予6%的扣除，用扣除后的价格参与评审；</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大中型企业和和其他自然人、法人或者其他组织与小型、微型企业组成联合体共同参加非专门面向中小企业的政府采购活动的，小微企业的合同金额占联合体协议合同总金额 30%以上的，给予联合体3%的价格扣除，用扣除后的价格参与评审。</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2、根据《财政部司法部关于政府采购支持监狱企业发展有关问题的通知》（财库［2014］68 号）的规定，对监狱企业产品的价格给予6%扣除，用扣除后的价格参与评审。参加政府采购活动的监狱企业必须提供由省级以上监狱管理局、戒毒管理局（含新疆生产建设兵团）出具的属于监狱企业的证明文件</w:t>
      </w:r>
    </w:p>
    <w:p>
      <w:pPr>
        <w:ind w:firstLine="522"/>
        <w:rPr>
          <w:rFonts w:ascii="宋体" w:hAnsi="宋体"/>
          <w:b/>
          <w:bCs/>
          <w:color w:val="000000" w:themeColor="text1"/>
          <w:spacing w:val="10"/>
          <w:sz w:val="18"/>
          <w:szCs w:val="18"/>
          <w14:textFill>
            <w14:solidFill>
              <w14:schemeClr w14:val="tx1"/>
            </w14:solidFill>
          </w14:textFill>
        </w:rPr>
      </w:pPr>
      <w:r>
        <w:rPr>
          <w:rFonts w:hint="eastAsia" w:ascii="宋体" w:hAnsi="宋体"/>
          <w:b/>
          <w:bCs/>
          <w:color w:val="000000" w:themeColor="text1"/>
          <w:spacing w:val="10"/>
          <w:sz w:val="18"/>
          <w:szCs w:val="18"/>
          <w14:textFill>
            <w14:solidFill>
              <w14:schemeClr w14:val="tx1"/>
            </w14:solidFill>
          </w14:textFill>
        </w:rPr>
        <w:t>3、根据《财政部民政部中国残疾人联合会关于促进残疾人就业政府采购政策的通知》（财库【2017】141号）文件规定，对满足价格扣除条件且在磋商响应文件中提交了《残疾人福利性单位声明函》等证明文件的供应商，其投标报价扣除6%后参与评审。</w:t>
      </w:r>
    </w:p>
    <w:p>
      <w:pPr>
        <w:pStyle w:val="11"/>
        <w:ind w:left="0" w:leftChars="0" w:firstLine="400" w:firstLineChars="200"/>
        <w:rPr>
          <w:rFonts w:ascii="宋体" w:hAnsi="宋体" w:cs="宋体"/>
          <w:b/>
          <w:bCs/>
          <w:color w:val="FF0000"/>
          <w:sz w:val="28"/>
          <w:szCs w:val="28"/>
        </w:rPr>
      </w:pPr>
      <w:r>
        <w:rPr>
          <w:rFonts w:hint="eastAsia" w:ascii="宋体" w:hAnsi="宋体"/>
          <w:b/>
          <w:bCs/>
          <w:color w:val="000000" w:themeColor="text1"/>
          <w:spacing w:val="10"/>
          <w:sz w:val="18"/>
          <w:szCs w:val="18"/>
          <w14:textFill>
            <w14:solidFill>
              <w14:schemeClr w14:val="tx1"/>
            </w14:solidFill>
          </w14:textFill>
        </w:rPr>
        <w:t>二、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三、拟成交供应商确定的原则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磋商小组应根据综合评分情况，按照评审得分由高到低顺序确定成交供应商，评审得分相同的，按照最后报价最高者优先确定，评审得分且最后报价相同的，按照技术指标优者优先确定。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四、拟成交供应商的确定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招标方授权磋商小组直接确定成交供应商。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招标方原则上在确定评审得分最高的前提下，确定拟成交供应商。当评审得分最高的供应商放弃成交、或因不可抗力提出不能履行合同或磋商小组一致认为评分畸高、畸低的供应商，招标方应重新开展招标活动。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拟成交供应商确定后，由招标方以公告的方式向拟成交供应商以及其他采购当事人发出拟成交公告，拟成交公示届满后，由招标方向成交供应商发出成交通知书，并要求其与招标人签订合同。</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五、合同的授予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（一）成交通知书</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根据磋商小组的评审结果，公布拟成交结果。在法定公示时间后且无质疑的情况下，该结果将做为是正式成交或签订合同的凭据，招标方将以书面形式通知成交供应商。在该通知书中将给出成交供应商应按本合同实施、完成和维护项目的成交价格(合同条件中称为“合同价格”)以及其他相关事项。</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成交通知书将成为合同的组成部分。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（二）合同授予原则</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招标方将把合同授予经磋商小组评审推荐，在法定公示时间后 , 收到成交通知书的供应商为最终成交供应商。</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（三）合同的签署</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成交供应商按成交通知书中规定的时间和地点，由法定代表人或被授权人与需方签订合同。需方与成交供应商是合同权利与义务的直接、全部责任承担人。招标方所发出的成交通知书对需方和成 交供应商具有同等法律效力。</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成交通知书发出后，需方拒绝签订供货合同或擅自改变成交内容，按照《中华人民共和国合同法》定金罚则及损害赔偿的原则处罚并办理。若成交供应商不能在规定时间内与需方签订合同，或变相签订合同，招标方可采取取消其成交资格并没收其谈判保证金等措施，并可按照财政部令[2004]18号第六十八条、第七十五条、第七十六条规定办理。拒绝签订政府采购合同的成交供应商不得参加对该项目重新开展的采购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六、成交未果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在磋商招标中，出现下列情形之一的，宣布成交未果：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依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采购过程中符合要求的供应商(社会资本)只有1家的 , 采购人(项目实施机构)或者采购代理机构应当终止竞争性磋商采购活动，发布项目终止公告并说明原因，重新开展采购活动；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2)出现影响招标公正的违法、违规行为的；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3)供应商的报价均超过了招标预算，需方不能支付的；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4)因情况变化，不再符合规定的竞争性磋商招标方式适用情形的；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5)因重大变故，招标任务取消的。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宣布成交未果后，招标方应当将成交未果理由通知所有招标当事人。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center"/>
        <w:textAlignment w:val="auto"/>
        <w:rPr>
          <w:rFonts w:hint="eastAsia"/>
          <w:b/>
          <w:bCs/>
        </w:rPr>
      </w:pPr>
      <w:r>
        <w:rPr>
          <w:rFonts w:hint="eastAsia"/>
          <w:b/>
          <w:bCs/>
        </w:rPr>
        <w:t>七、磋商无效响应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遇到下列情况之一时,供应商递交的磋商响应性文件将被视为无效响应: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（1）磋商响应性文件未按规定编制、标注、密封、封装的；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（2）超出供应商经营范围参与磋商的；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（3）磋商响应性文件中无供应商公章和法人或者法人授权代理人的印章或签字的；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（4）磋商函、法人授权函、投标报价表及投标货物偏离表未按规定格式填报的；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（5）供应商未能提供法人授权函等证明文件和资料的，或提供的证件不齐或无效；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（6）磋商响应性文件未按照磋商文件规定的格式填写，或者填写的内容不全，或者辨认不清产生歧义，或者涂改处未加盖投标人公章及法人或法人授权的代理人的印章或签字的；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（7）磋商响应性文件中每包以两个及两个以上的方案参与竞争性磋商的(磋商文件另有规定的除外)；</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（8）磋商响应性文件未能对磋商文件提出的要求和条件作出实质性响应的；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（9）供应商资格条件不符合国家有关规定和谈判文件要求的，或者拒不按照要求对磋商响应性文件进行澄清、说明或者补正的；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（10）磋商响应性文件附有招标方不能接受的条件的；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（11）参与磋商的产品(同一品牌、型号)，在同一地区同一时间段内成交供应商不能保证其实际成交价格低于其他任何非政府招标价格的；其中：</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①磋商阶段应视为无效响应；</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②已成交而无供货的视为成交无效；</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③已供货者，成交供应商应承担由此给需方造成的损失。</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（12）经评审委员会认定，认为生产制造企业通过控制授权函等方式，恶意抬高其产品价格。降低服务质量，价格明显高于在同一地区同一时间段内任何政府招标价格的；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（13）磋商有效期不足60天的；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（14）在磋商过程中，如果供应商试图在审查、澄清、比较及授予合同方面向招标方施加任何影响的；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（15）供应商以他人名义参加谈判、串通参加谈判、以行贿手段谋取成交或者以弄虚作假等方式谋取成交的；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（16）对于同一品牌同一型号产品生产制造商总部委托两家及两家以上代理商参加磋商的；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（17）违反《中华人民共和国招投标法》的；</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（18）磋商文件规定的其它无效响应条件。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本磋商文件由招标方负责解释，未尽事宜另行商定。</w:t>
      </w:r>
    </w:p>
    <w:p/>
    <w:p>
      <w:pPr>
        <w:rPr>
          <w:rFonts w:hint="eastAsia"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br w:type="page"/>
      </w:r>
    </w:p>
    <w:p>
      <w:pPr>
        <w:autoSpaceDE w:val="0"/>
        <w:autoSpaceDN w:val="0"/>
        <w:adjustRightInd w:val="0"/>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六</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r>
        <w:rPr>
          <w:rFonts w:hint="eastAsia" w:ascii="宋体" w:hAnsi="宋体" w:cs="宋体"/>
          <w:b/>
          <w:bCs/>
          <w:color w:val="000000" w:themeColor="text1"/>
          <w:kern w:val="0"/>
          <w:sz w:val="32"/>
          <w:szCs w:val="32"/>
          <w14:textFill>
            <w14:solidFill>
              <w14:schemeClr w14:val="tx1"/>
            </w14:solidFill>
          </w14:textFill>
        </w:rPr>
        <w:t xml:space="preserve"> 政府采购合同（仅供参考具体由甲乙双方协商）</w:t>
      </w:r>
    </w:p>
    <w:p>
      <w:pPr>
        <w:pStyle w:val="135"/>
        <w:jc w:val="center"/>
        <w:rPr>
          <w:rFonts w:hAnsi="宋体"/>
          <w:b/>
          <w:color w:val="000000" w:themeColor="text1"/>
          <w:sz w:val="21"/>
          <w:szCs w:val="21"/>
          <w14:textFill>
            <w14:solidFill>
              <w14:schemeClr w14:val="tx1"/>
            </w14:solidFill>
          </w14:textFill>
        </w:rPr>
      </w:pPr>
      <w:r>
        <w:rPr>
          <w:rFonts w:hint="eastAsia" w:hAnsi="宋体" w:cs="黑体"/>
          <w:b/>
          <w:color w:val="000000" w:themeColor="text1"/>
          <w:sz w:val="21"/>
          <w:szCs w:val="21"/>
          <w14:textFill>
            <w14:solidFill>
              <w14:schemeClr w14:val="tx1"/>
            </w14:solidFill>
          </w14:textFill>
        </w:rPr>
        <w:t>一、合同格式条款</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 </w:t>
      </w:r>
      <w:r>
        <w:rPr>
          <w:rFonts w:hint="eastAsia" w:ascii="宋体" w:hAnsi="宋体"/>
          <w:b/>
          <w:color w:val="000000" w:themeColor="text1"/>
          <w:szCs w:val="21"/>
          <w14:textFill>
            <w14:solidFill>
              <w14:schemeClr w14:val="tx1"/>
            </w14:solidFill>
          </w14:textFill>
        </w:rPr>
        <w:t>定义</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 </w:t>
      </w:r>
      <w:r>
        <w:rPr>
          <w:rFonts w:hint="eastAsia" w:ascii="宋体" w:hAnsi="宋体"/>
          <w:color w:val="000000" w:themeColor="text1"/>
          <w:szCs w:val="21"/>
          <w14:textFill>
            <w14:solidFill>
              <w14:schemeClr w14:val="tx1"/>
            </w14:solidFill>
          </w14:textFill>
        </w:rPr>
        <w:t>合同当事人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以下称甲方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是指使用财政性资金，通过政府采购程序向供应商购买货物、服务的国家机关、事业单位、团体组织。</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以下称乙方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是指参加政府采购活动而取得中标结果，并向采购人提供货物、服务的法人、其他组织或者自然人。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 </w:t>
      </w:r>
      <w:r>
        <w:rPr>
          <w:rFonts w:hint="eastAsia" w:ascii="宋体" w:hAnsi="宋体"/>
          <w:color w:val="000000" w:themeColor="text1"/>
          <w:szCs w:val="21"/>
          <w14:textFill>
            <w14:solidFill>
              <w14:schemeClr w14:val="tx1"/>
            </w14:solidFill>
          </w14:textFill>
        </w:rPr>
        <w:t>本合同下列术语应解释为：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）“合同”系指甲乙双方签署的、政府采购合同协议书中载明的甲乙双方所达成的协议，包括所有的附件、附录和上述文件所提到的构成合同的所有文件。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）“合同价”系指根据本合同规定乙方在正确地完全履行合同义务后甲方应支付给乙方的价款。</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）“货物”系指乙方根据本合同规定须向甲方提供的各种形态和种类的物品，包括原材料、设备、产品</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包括软件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及相关的备品备件、工具、手册及其它技术资料和材料。</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）“伴随服务”系指根据本合同规定乙方承担与供货有关的辅助服务，如运输、保险以及其它的伴随服务，例如安装、调试、提供技术协助、培训和合同中规定乙方应承担的其它义务。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）“合同条款”系指本合同条款。</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 </w:t>
      </w:r>
      <w:r>
        <w:rPr>
          <w:rFonts w:hint="eastAsia" w:ascii="宋体" w:hAnsi="宋体"/>
          <w:b/>
          <w:color w:val="000000" w:themeColor="text1"/>
          <w:szCs w:val="21"/>
          <w14:textFill>
            <w14:solidFill>
              <w14:schemeClr w14:val="tx1"/>
            </w14:solidFill>
          </w14:textFill>
        </w:rPr>
        <w:t>合同的适用范围</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 </w:t>
      </w:r>
      <w:r>
        <w:rPr>
          <w:rFonts w:hint="eastAsia" w:ascii="宋体" w:hAnsi="宋体"/>
          <w:color w:val="000000" w:themeColor="text1"/>
          <w:szCs w:val="21"/>
          <w14:textFill>
            <w14:solidFill>
              <w14:schemeClr w14:val="tx1"/>
            </w14:solidFill>
          </w14:textFill>
        </w:rPr>
        <w:t>本合同条款适用于没有被本合同其他部分的条款所取代的范围。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 </w:t>
      </w:r>
      <w:r>
        <w:rPr>
          <w:rFonts w:hint="eastAsia" w:ascii="宋体" w:hAnsi="宋体"/>
          <w:color w:val="000000" w:themeColor="text1"/>
          <w:szCs w:val="21"/>
          <w14:textFill>
            <w14:solidFill>
              <w14:schemeClr w14:val="tx1"/>
            </w14:solidFill>
          </w14:textFill>
        </w:rPr>
        <w:t>合同内容根据磋商文件、磋商响应文件而确定。</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3. </w:t>
      </w:r>
      <w:r>
        <w:rPr>
          <w:rFonts w:hint="eastAsia" w:ascii="宋体" w:hAnsi="宋体"/>
          <w:b/>
          <w:color w:val="000000" w:themeColor="text1"/>
          <w:szCs w:val="21"/>
          <w14:textFill>
            <w14:solidFill>
              <w14:schemeClr w14:val="tx1"/>
            </w14:solidFill>
          </w14:textFill>
        </w:rPr>
        <w:t>合同标的及金额</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合同标的及金额应与中标结果一致。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4. </w:t>
      </w:r>
      <w:r>
        <w:rPr>
          <w:rFonts w:hint="eastAsia" w:ascii="宋体" w:hAnsi="宋体"/>
          <w:b/>
          <w:color w:val="000000" w:themeColor="text1"/>
          <w:szCs w:val="21"/>
          <w14:textFill>
            <w14:solidFill>
              <w14:schemeClr w14:val="tx1"/>
            </w14:solidFill>
          </w14:textFill>
        </w:rPr>
        <w:t>合同价款</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4.1. </w:t>
      </w:r>
      <w:r>
        <w:rPr>
          <w:rFonts w:hint="eastAsia" w:ascii="宋体" w:hAnsi="宋体"/>
          <w:color w:val="000000" w:themeColor="text1"/>
          <w:szCs w:val="21"/>
          <w14:textFill>
            <w14:solidFill>
              <w14:schemeClr w14:val="tx1"/>
            </w14:solidFill>
          </w14:textFill>
        </w:rPr>
        <w:t>乙方为履行本合同而发生的所有费用均应包含在合同价款中，甲方不再另行支付其它任何费用。</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5. </w:t>
      </w:r>
      <w:r>
        <w:rPr>
          <w:rFonts w:hint="eastAsia" w:ascii="宋体" w:hAnsi="宋体"/>
          <w:b/>
          <w:color w:val="000000" w:themeColor="text1"/>
          <w:szCs w:val="21"/>
          <w14:textFill>
            <w14:solidFill>
              <w14:schemeClr w14:val="tx1"/>
            </w14:solidFill>
          </w14:textFill>
        </w:rPr>
        <w:t>履行合同的时间、地点和方式</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5.1. </w:t>
      </w:r>
      <w:r>
        <w:rPr>
          <w:rFonts w:hint="eastAsia" w:ascii="宋体" w:hAnsi="宋体"/>
          <w:color w:val="000000" w:themeColor="text1"/>
          <w:szCs w:val="21"/>
          <w14:textFill>
            <w14:solidFill>
              <w14:schemeClr w14:val="tx1"/>
            </w14:solidFill>
          </w14:textFill>
        </w:rPr>
        <w:t>乙方应当在甲方确定的时间、指定的地点履行合同。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5.2. </w:t>
      </w:r>
      <w:r>
        <w:rPr>
          <w:rFonts w:hint="eastAsia" w:ascii="宋体" w:hAnsi="宋体"/>
          <w:color w:val="000000" w:themeColor="text1"/>
          <w:szCs w:val="21"/>
          <w14:textFill>
            <w14:solidFill>
              <w14:schemeClr w14:val="tx1"/>
            </w14:solidFill>
          </w14:textFill>
        </w:rPr>
        <w:t>乙方提供服务的应当在甲方指定的地点完成服务项目。</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6. </w:t>
      </w:r>
      <w:r>
        <w:rPr>
          <w:rFonts w:hint="eastAsia" w:ascii="宋体" w:hAnsi="宋体"/>
          <w:b/>
          <w:color w:val="000000" w:themeColor="text1"/>
          <w:szCs w:val="21"/>
          <w14:textFill>
            <w14:solidFill>
              <w14:schemeClr w14:val="tx1"/>
            </w14:solidFill>
          </w14:textFill>
        </w:rPr>
        <w:t>货物的验收</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6.1. </w:t>
      </w:r>
      <w:r>
        <w:rPr>
          <w:rFonts w:hint="eastAsia" w:ascii="宋体" w:hAnsi="宋体"/>
          <w:color w:val="000000" w:themeColor="text1"/>
          <w:szCs w:val="21"/>
          <w14:textFill>
            <w14:solidFill>
              <w14:schemeClr w14:val="tx1"/>
            </w14:solidFill>
          </w14:textFill>
        </w:rPr>
        <w:t>甲方在收到乙方交付的货物后应当及时组织验收。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6.2. </w:t>
      </w:r>
      <w:r>
        <w:rPr>
          <w:rFonts w:hint="eastAsia" w:ascii="宋体" w:hAnsi="宋体"/>
          <w:color w:val="000000" w:themeColor="text1"/>
          <w:szCs w:val="21"/>
          <w14:textFill>
            <w14:solidFill>
              <w14:schemeClr w14:val="tx1"/>
            </w14:solidFill>
          </w14:textFill>
        </w:rPr>
        <w:t>货物的表面瑕疵，甲方应在验收时当面提出；对质量问题有异议的应在安装调试后十个工作日内提出。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6.3. </w:t>
      </w:r>
      <w:r>
        <w:rPr>
          <w:rFonts w:hint="eastAsia" w:ascii="宋体" w:hAnsi="宋体"/>
          <w:color w:val="000000" w:themeColor="text1"/>
          <w:szCs w:val="21"/>
          <w14:textFill>
            <w14:solidFill>
              <w14:schemeClr w14:val="tx1"/>
            </w14:solidFill>
          </w14:textFill>
        </w:rPr>
        <w:t>在验收过程中发现数量不足或有质量、技术等问题，乙方应负责按照甲方的要求采取补足、更换或退货等处理措施，并承担由此发生的一切费用和损失。</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6.4. </w:t>
      </w:r>
      <w:r>
        <w:rPr>
          <w:rFonts w:hint="eastAsia" w:ascii="宋体" w:hAnsi="宋体"/>
          <w:color w:val="000000" w:themeColor="text1"/>
          <w:szCs w:val="21"/>
          <w14:textFill>
            <w14:solidFill>
              <w14:schemeClr w14:val="tx1"/>
            </w14:solidFill>
          </w14:textFill>
        </w:rPr>
        <w:t>甲方在乙方按合同规定交货或安装、调试后，无正当理由而拖延接收、验收或拒绝接收、验收的，应承担因此给乙方造成的直接损失。</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6.5. </w:t>
      </w:r>
      <w:r>
        <w:rPr>
          <w:rFonts w:hint="eastAsia" w:ascii="宋体" w:hAnsi="宋体"/>
          <w:color w:val="000000" w:themeColor="text1"/>
          <w:szCs w:val="21"/>
          <w14:textFill>
            <w14:solidFill>
              <w14:schemeClr w14:val="tx1"/>
            </w14:solidFill>
          </w14:textFill>
        </w:rPr>
        <w:t>甲方对货物进行检查验收合格后，应当收取发票并在《交货验收单》上签署验收意见及加盖单位印章。</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6.6. </w:t>
      </w:r>
      <w:r>
        <w:rPr>
          <w:rFonts w:hint="eastAsia" w:ascii="宋体" w:hAnsi="宋体"/>
          <w:color w:val="000000" w:themeColor="text1"/>
          <w:szCs w:val="21"/>
          <w14:textFill>
            <w14:solidFill>
              <w14:schemeClr w14:val="tx1"/>
            </w14:solidFill>
          </w14:textFill>
        </w:rPr>
        <w:t>大型或者复杂的货物采购项目，甲方可以邀请国家认可的质量检测机构参加验收工作，并由其出具验收报告单。</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6.7. </w:t>
      </w:r>
      <w:r>
        <w:rPr>
          <w:rFonts w:hint="eastAsia" w:ascii="宋体" w:hAnsi="宋体"/>
          <w:color w:val="000000" w:themeColor="text1"/>
          <w:szCs w:val="21"/>
          <w14:textFill>
            <w14:solidFill>
              <w14:schemeClr w14:val="tx1"/>
            </w14:solidFill>
          </w14:textFill>
        </w:rPr>
        <w:t>乙方提供的进口产品，乙方应出示中华人民共和国进出口商品检验部门出具的检验证书（磋商文件</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“技术规格、参数及要求”另有约定的除外）。</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7. </w:t>
      </w:r>
      <w:r>
        <w:rPr>
          <w:rFonts w:hint="eastAsia" w:ascii="宋体" w:hAnsi="宋体"/>
          <w:b/>
          <w:color w:val="000000" w:themeColor="text1"/>
          <w:szCs w:val="21"/>
          <w14:textFill>
            <w14:solidFill>
              <w14:schemeClr w14:val="tx1"/>
            </w14:solidFill>
          </w14:textFill>
        </w:rPr>
        <w:t>货物包装要求</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7.1. </w:t>
      </w:r>
      <w:r>
        <w:rPr>
          <w:rFonts w:hint="eastAsia" w:ascii="宋体" w:hAnsi="宋体"/>
          <w:color w:val="000000" w:themeColor="text1"/>
          <w:szCs w:val="21"/>
          <w14:textFill>
            <w14:solidFill>
              <w14:schemeClr w14:val="tx1"/>
            </w14:solidFill>
          </w14:textFill>
        </w:rPr>
        <w:t>乙方所出售的全部货物均应按标准保护措施进行包装，包装应适应于远距离运输、防潮、防震、防锈和防野蛮装卸等要求，以确保货物安全无损地运抵指定现场。由于包装防护措施不妥而引起的损坏、丢失由乙方负责。</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7.2. </w:t>
      </w:r>
      <w:r>
        <w:rPr>
          <w:rFonts w:hint="eastAsia" w:ascii="宋体" w:hAnsi="宋体"/>
          <w:color w:val="000000" w:themeColor="text1"/>
          <w:szCs w:val="21"/>
          <w14:textFill>
            <w14:solidFill>
              <w14:schemeClr w14:val="tx1"/>
            </w14:solidFill>
          </w14:textFill>
        </w:rPr>
        <w:t>每一个包装箱内应附一份详细装箱单、质量证书和保修保养证书。</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8. </w:t>
      </w:r>
      <w:r>
        <w:rPr>
          <w:rFonts w:hint="eastAsia" w:ascii="宋体" w:hAnsi="宋体"/>
          <w:b/>
          <w:color w:val="000000" w:themeColor="text1"/>
          <w:szCs w:val="21"/>
          <w14:textFill>
            <w14:solidFill>
              <w14:schemeClr w14:val="tx1"/>
            </w14:solidFill>
          </w14:textFill>
        </w:rPr>
        <w:t>运输和保险</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8.1. </w:t>
      </w:r>
      <w:r>
        <w:rPr>
          <w:rFonts w:hint="eastAsia" w:ascii="宋体" w:hAnsi="宋体"/>
          <w:color w:val="000000" w:themeColor="text1"/>
          <w:szCs w:val="21"/>
          <w14:textFill>
            <w14:solidFill>
              <w14:schemeClr w14:val="tx1"/>
            </w14:solidFill>
          </w14:textFill>
        </w:rPr>
        <w:t>乙方负责办理将货物运抵交货地点的一切运输和保险事项，相关费用应包括在合同总价中。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9. </w:t>
      </w:r>
      <w:r>
        <w:rPr>
          <w:rFonts w:hint="eastAsia" w:ascii="宋体" w:hAnsi="宋体"/>
          <w:b/>
          <w:color w:val="000000" w:themeColor="text1"/>
          <w:szCs w:val="21"/>
          <w14:textFill>
            <w14:solidFill>
              <w14:schemeClr w14:val="tx1"/>
            </w14:solidFill>
          </w14:textFill>
        </w:rPr>
        <w:t>质量标准和保证</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9.1. </w:t>
      </w:r>
      <w:r>
        <w:rPr>
          <w:rFonts w:hint="eastAsia" w:ascii="宋体" w:hAnsi="宋体"/>
          <w:color w:val="000000" w:themeColor="text1"/>
          <w:szCs w:val="21"/>
          <w14:textFill>
            <w14:solidFill>
              <w14:schemeClr w14:val="tx1"/>
            </w14:solidFill>
          </w14:textFill>
        </w:rPr>
        <w:t>质量标准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）本合同下交付的货物应符合</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“技术规格、参数与要求”所述的标准。如果没有提及适用标准，则应符合中华人民共和国有关机构发布的最新版本的标准。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）采用中华人民共和国法定计量单位。</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）乙方所出售的货物还应符合国家有关安全、环保、卫生之规定。</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9.2. </w:t>
      </w:r>
      <w:r>
        <w:rPr>
          <w:rFonts w:hint="eastAsia" w:ascii="宋体" w:hAnsi="宋体"/>
          <w:color w:val="000000" w:themeColor="text1"/>
          <w:szCs w:val="21"/>
          <w14:textFill>
            <w14:solidFill>
              <w14:schemeClr w14:val="tx1"/>
            </w14:solidFill>
          </w14:textFill>
        </w:rPr>
        <w:t>保证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磋商文件规定或乙方承诺（两者以较长的为准）的质量保证期内，本保证保持有效。</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）在质量保证期内所发现的缺陷，甲方应尽快以书面形式通知乙方。</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）乙方收到通知后应在磋商文件规定或乙方承诺（两者以较长的为准）的响应时间内以合理的速度免费维修或更换有缺陷的货物或部件。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）在质量保证期内，如果货物的质量或规格与合同不符，或证实货物是有缺陷的，包括潜在的缺陷或使用不符合要求的材料等，甲方可以根据本合同第</w:t>
      </w:r>
      <w:r>
        <w:rPr>
          <w:rFonts w:ascii="宋体" w:hAnsi="宋体"/>
          <w:color w:val="000000" w:themeColor="text1"/>
          <w:szCs w:val="21"/>
          <w14:textFill>
            <w14:solidFill>
              <w14:schemeClr w14:val="tx1"/>
            </w14:solidFill>
          </w14:textFill>
        </w:rPr>
        <w:t>15.1</w:t>
      </w:r>
      <w:r>
        <w:rPr>
          <w:rFonts w:hint="eastAsia" w:ascii="宋体" w:hAnsi="宋体"/>
          <w:color w:val="000000" w:themeColor="text1"/>
          <w:szCs w:val="21"/>
          <w14:textFill>
            <w14:solidFill>
              <w14:schemeClr w14:val="tx1"/>
            </w14:solidFill>
          </w14:textFill>
        </w:rPr>
        <w:t>条规定以书面形式向乙方提出补救措施或索赔。</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）乙方在约定的时间内未能弥补缺陷，甲方可采取必要的补救措施，但其风险和费用将由乙方承担，甲方根据合同规定对乙方行使的其他权利不受影响。</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（6）乙方向甲方缴纳5%的质量保证金</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10. </w:t>
      </w:r>
      <w:r>
        <w:rPr>
          <w:rFonts w:hint="eastAsia" w:ascii="宋体" w:hAnsi="宋体"/>
          <w:b/>
          <w:color w:val="000000" w:themeColor="text1"/>
          <w:szCs w:val="21"/>
          <w14:textFill>
            <w14:solidFill>
              <w14:schemeClr w14:val="tx1"/>
            </w14:solidFill>
          </w14:textFill>
        </w:rPr>
        <w:t>权利瑕疵担保</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10.1. </w:t>
      </w:r>
      <w:r>
        <w:rPr>
          <w:rFonts w:hint="eastAsia" w:ascii="宋体" w:hAnsi="宋体"/>
          <w:color w:val="000000" w:themeColor="text1"/>
          <w:szCs w:val="21"/>
          <w14:textFill>
            <w14:solidFill>
              <w14:schemeClr w14:val="tx1"/>
            </w14:solidFill>
          </w14:textFill>
        </w:rPr>
        <w:t>乙方保证对其出售的货物享有合法的权利。</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10.2. </w:t>
      </w:r>
      <w:r>
        <w:rPr>
          <w:rFonts w:hint="eastAsia" w:ascii="宋体" w:hAnsi="宋体"/>
          <w:color w:val="000000" w:themeColor="text1"/>
          <w:szCs w:val="21"/>
          <w14:textFill>
            <w14:solidFill>
              <w14:schemeClr w14:val="tx1"/>
            </w14:solidFill>
          </w14:textFill>
        </w:rPr>
        <w:t>乙方保证在其出售的货物上不存在任何未曾向甲方透露的担保物权，如抵押权、质押权、留置权等。</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10.3. </w:t>
      </w:r>
      <w:r>
        <w:rPr>
          <w:rFonts w:hint="eastAsia" w:ascii="宋体" w:hAnsi="宋体"/>
          <w:color w:val="000000" w:themeColor="text1"/>
          <w:szCs w:val="21"/>
          <w14:textFill>
            <w14:solidFill>
              <w14:schemeClr w14:val="tx1"/>
            </w14:solidFill>
          </w14:textFill>
        </w:rPr>
        <w:t>如甲方使用该货物构成上述侵权的，则由乙方承担全部责任。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11. </w:t>
      </w:r>
      <w:r>
        <w:rPr>
          <w:rFonts w:hint="eastAsia" w:ascii="宋体" w:hAnsi="宋体"/>
          <w:b/>
          <w:color w:val="000000" w:themeColor="text1"/>
          <w:szCs w:val="21"/>
          <w14:textFill>
            <w14:solidFill>
              <w14:schemeClr w14:val="tx1"/>
            </w14:solidFill>
          </w14:textFill>
        </w:rPr>
        <w:t>知识产权保护</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11.1. </w:t>
      </w:r>
      <w:r>
        <w:rPr>
          <w:rFonts w:hint="eastAsia" w:ascii="宋体" w:hAnsi="宋体"/>
          <w:color w:val="000000" w:themeColor="text1"/>
          <w:szCs w:val="21"/>
          <w14:textFill>
            <w14:solidFill>
              <w14:schemeClr w14:val="tx1"/>
            </w14:solidFill>
          </w14:textFill>
        </w:rPr>
        <w:t>乙方对其所销售的货物应当享有知识产权或经权利人合法授权，保证没有侵犯任何第三人的知识产权和商业秘密等权利。</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11.2. </w:t>
      </w:r>
      <w:r>
        <w:rPr>
          <w:rFonts w:hint="eastAsia" w:ascii="宋体" w:hAnsi="宋体"/>
          <w:color w:val="000000" w:themeColor="text1"/>
          <w:szCs w:val="21"/>
          <w14:textFill>
            <w14:solidFill>
              <w14:schemeClr w14:val="tx1"/>
            </w14:solidFill>
          </w14:textFill>
        </w:rPr>
        <w:t>甲方使用乙方提供的货物对第三人构成侵权的，应当由乙方承担全部法律责任，给甲方造成损害的，乙方应当承担赔偿责任。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11.3. </w:t>
      </w:r>
      <w:r>
        <w:rPr>
          <w:rFonts w:hint="eastAsia" w:ascii="宋体" w:hAnsi="宋体"/>
          <w:color w:val="000000" w:themeColor="text1"/>
          <w:szCs w:val="21"/>
          <w14:textFill>
            <w14:solidFill>
              <w14:schemeClr w14:val="tx1"/>
            </w14:solidFill>
          </w14:textFill>
        </w:rPr>
        <w:t>甲方委托乙方开发的产品，甲方享有知识产权，未经甲方许可不得转让任何第三人。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12. </w:t>
      </w:r>
      <w:r>
        <w:rPr>
          <w:rFonts w:hint="eastAsia" w:ascii="宋体" w:hAnsi="宋体"/>
          <w:b/>
          <w:color w:val="000000" w:themeColor="text1"/>
          <w:szCs w:val="21"/>
          <w14:textFill>
            <w14:solidFill>
              <w14:schemeClr w14:val="tx1"/>
            </w14:solidFill>
          </w14:textFill>
        </w:rPr>
        <w:t>保密义务</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12.1. </w:t>
      </w:r>
      <w:r>
        <w:rPr>
          <w:rFonts w:hint="eastAsia" w:ascii="宋体" w:hAnsi="宋体"/>
          <w:color w:val="000000" w:themeColor="text1"/>
          <w:szCs w:val="21"/>
          <w14:textFill>
            <w14:solidFill>
              <w14:schemeClr w14:val="tx1"/>
            </w14:solidFill>
          </w14:textFill>
        </w:rPr>
        <w:t>甲、乙双方在采购和履行合同过程中所获悉的对方属于保密的内容，双方均有保密义务</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13. </w:t>
      </w:r>
      <w:r>
        <w:rPr>
          <w:rFonts w:hint="eastAsia" w:ascii="宋体" w:hAnsi="宋体"/>
          <w:b/>
          <w:color w:val="000000" w:themeColor="text1"/>
          <w:szCs w:val="21"/>
          <w14:textFill>
            <w14:solidFill>
              <w14:schemeClr w14:val="tx1"/>
            </w14:solidFill>
          </w14:textFill>
        </w:rPr>
        <w:t>合同价款支付</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13.1. </w:t>
      </w:r>
      <w:r>
        <w:rPr>
          <w:rFonts w:hint="eastAsia" w:ascii="宋体" w:hAnsi="宋体"/>
          <w:color w:val="000000" w:themeColor="text1"/>
          <w:szCs w:val="21"/>
          <w14:textFill>
            <w14:solidFill>
              <w14:schemeClr w14:val="tx1"/>
            </w14:solidFill>
          </w14:textFill>
        </w:rPr>
        <w:t>验收合格后，乙方出具正规发票给甲方，凭甲方开具的《政府采购合同验收报告单》办理合同价款结算手续。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13.2. </w:t>
      </w:r>
      <w:r>
        <w:rPr>
          <w:rFonts w:hint="eastAsia" w:ascii="宋体" w:hAnsi="宋体"/>
          <w:color w:val="000000" w:themeColor="text1"/>
          <w:szCs w:val="21"/>
          <w14:textFill>
            <w14:solidFill>
              <w14:schemeClr w14:val="tx1"/>
            </w14:solidFill>
          </w14:textFill>
        </w:rPr>
        <w:t>支付合同价款时，一律不向乙方以外的任何第三方办理付款手续。开户行和帐号以签订的政府采购合同为准，如果乙方要求变更，则乙方必须提供加盖了财务专用章、法定代表人签字的证明文件，报经甲方审查同意。</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14. </w:t>
      </w:r>
      <w:r>
        <w:rPr>
          <w:rFonts w:hint="eastAsia" w:ascii="宋体" w:hAnsi="宋体"/>
          <w:b/>
          <w:color w:val="000000" w:themeColor="text1"/>
          <w:szCs w:val="21"/>
          <w14:textFill>
            <w14:solidFill>
              <w14:schemeClr w14:val="tx1"/>
            </w14:solidFill>
          </w14:textFill>
        </w:rPr>
        <w:t>伴随服务</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14.1. </w:t>
      </w:r>
      <w:r>
        <w:rPr>
          <w:rFonts w:hint="eastAsia" w:ascii="宋体" w:hAnsi="宋体"/>
          <w:color w:val="000000" w:themeColor="text1"/>
          <w:szCs w:val="21"/>
          <w14:textFill>
            <w14:solidFill>
              <w14:schemeClr w14:val="tx1"/>
            </w14:solidFill>
          </w14:textFill>
        </w:rPr>
        <w:t>乙方应向甲方提交所提供货物的技术文件，包括相应的中文技术文件，如：产品目录、图纸、操作手册、使用说明、维护手册或服务指南。这些文件应包装好随同货物一起发运。</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14.2. </w:t>
      </w:r>
      <w:r>
        <w:rPr>
          <w:rFonts w:hint="eastAsia" w:ascii="宋体" w:hAnsi="宋体"/>
          <w:color w:val="000000" w:themeColor="text1"/>
          <w:szCs w:val="21"/>
          <w14:textFill>
            <w14:solidFill>
              <w14:schemeClr w14:val="tx1"/>
            </w14:solidFill>
          </w14:textFill>
        </w:rPr>
        <w:t>乙方还应提供下列服务：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）货物的现场移动、安装、调试、启动监督及技术支持；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）提供货物组装和维修所需的专用工具和辅助材料；</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）在合同各方商定的一定期限内对所有的货物实施运行监督、维修，但前提条件是该服务并不能免除乙方在质量保证期内所承担的义务；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）在制造商或项目现场就货物的安装、启动、运营、维护对甲方操作人员进行培训。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14.3. </w:t>
      </w:r>
      <w:r>
        <w:rPr>
          <w:rFonts w:hint="eastAsia" w:ascii="宋体" w:hAnsi="宋体"/>
          <w:color w:val="000000" w:themeColor="text1"/>
          <w:szCs w:val="21"/>
          <w14:textFill>
            <w14:solidFill>
              <w14:schemeClr w14:val="tx1"/>
            </w14:solidFill>
          </w14:textFill>
        </w:rPr>
        <w:t>乙方提供的伴随服务的费用应包含在合同价款中，甲方不再另行支付。</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15. </w:t>
      </w:r>
      <w:r>
        <w:rPr>
          <w:rFonts w:hint="eastAsia" w:ascii="宋体" w:hAnsi="宋体"/>
          <w:b/>
          <w:color w:val="000000" w:themeColor="text1"/>
          <w:szCs w:val="21"/>
          <w14:textFill>
            <w14:solidFill>
              <w14:schemeClr w14:val="tx1"/>
            </w14:solidFill>
          </w14:textFill>
        </w:rPr>
        <w:t>违约责任</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15.1. </w:t>
      </w:r>
      <w:r>
        <w:rPr>
          <w:rFonts w:hint="eastAsia" w:ascii="宋体" w:hAnsi="宋体"/>
          <w:color w:val="000000" w:themeColor="text1"/>
          <w:szCs w:val="21"/>
          <w14:textFill>
            <w14:solidFill>
              <w14:schemeClr w14:val="tx1"/>
            </w14:solidFill>
          </w14:textFill>
        </w:rPr>
        <w:t>质量瑕疵的补救措施和索赔</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）如果乙方提供的产品不符合质量标准或存在产品质量缺陷，而甲方在合同条款第</w:t>
      </w: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条或合同的其他条款规定的检验、安装、调试、验收和质量保证期内，根据法定质量检测部门出具的检验证书向乙方提出了索赔，乙方应按照甲方同意的下列一种或几种方式结合起来解决索赔事宜：</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①乙方同意退货并将货款退还给甲方，由此发生的一切费用和损失由乙方承担。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②根据货物的质量状况以及甲方所遭受的损失，经过甲乙双方商定降低货物的价格。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③乙方应在接到甲方通知后七日内负责采用符合合同规定的规格、质量和性能要求的新零件、部件和设备来更换有缺陷的部分或修补缺陷部分，其费用由乙方负担。</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同时，乙方应在约定的质量保证期基础上相应延长修补和更换件的质量保证期。</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15.2. </w:t>
      </w:r>
      <w:r>
        <w:rPr>
          <w:rFonts w:hint="eastAsia" w:ascii="宋体" w:hAnsi="宋体"/>
          <w:color w:val="000000" w:themeColor="text1"/>
          <w:szCs w:val="21"/>
          <w14:textFill>
            <w14:solidFill>
              <w14:schemeClr w14:val="tx1"/>
            </w14:solidFill>
          </w14:textFill>
        </w:rPr>
        <w:t>迟延交货的违约责任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）除本合同第</w:t>
      </w: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条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w:t>
      </w:r>
      <w:r>
        <w:rPr>
          <w:rFonts w:ascii="宋体" w:hAnsi="宋体"/>
          <w:color w:val="000000" w:themeColor="text1"/>
          <w:szCs w:val="21"/>
          <w14:textFill>
            <w14:solidFill>
              <w14:schemeClr w14:val="tx1"/>
            </w14:solidFill>
          </w14:textFill>
        </w:rPr>
        <w:t>0.5%</w:t>
      </w:r>
      <w:r>
        <w:rPr>
          <w:rFonts w:hint="eastAsia" w:ascii="宋体" w:hAnsi="宋体"/>
          <w:color w:val="000000" w:themeColor="text1"/>
          <w:szCs w:val="21"/>
          <w14:textFill>
            <w14:solidFill>
              <w14:schemeClr w14:val="tx1"/>
            </w14:solidFill>
          </w14:textFill>
        </w:rPr>
        <w:t>）计收，直至交货或提供服务为止。但误期赔偿费的最高限额不超过合同价的百分之五（</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）。一旦达到误期赔偿的最高限额，甲方可以终止合同。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）如果乙方迟延交货，甲方有权终止全部或部分合同，并依其认为适当的条件和方法购买与未交货物类似的货物，乙方应对购买类似货物所超出的那部分费用负责。但是，乙方应继续执行合同中未终止的部分。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16. </w:t>
      </w:r>
      <w:r>
        <w:rPr>
          <w:rFonts w:hint="eastAsia" w:ascii="宋体" w:hAnsi="宋体"/>
          <w:b/>
          <w:color w:val="000000" w:themeColor="text1"/>
          <w:szCs w:val="21"/>
          <w14:textFill>
            <w14:solidFill>
              <w14:schemeClr w14:val="tx1"/>
            </w14:solidFill>
          </w14:textFill>
        </w:rPr>
        <w:t>合同的变更</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16.1. </w:t>
      </w:r>
      <w:r>
        <w:rPr>
          <w:rFonts w:hint="eastAsia" w:ascii="宋体" w:hAnsi="宋体"/>
          <w:color w:val="000000" w:themeColor="text1"/>
          <w:szCs w:val="21"/>
          <w14:textFill>
            <w14:solidFill>
              <w14:schemeClr w14:val="tx1"/>
            </w14:solidFill>
          </w14:textFill>
        </w:rPr>
        <w:t>在合同履行过程中，甲、乙双方可就合同履行的时间、地点和方式等协商进行变更。协商一致后，双方应签订书面的补充协议。</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16.2. </w:t>
      </w:r>
      <w:r>
        <w:rPr>
          <w:rFonts w:hint="eastAsia" w:ascii="宋体" w:hAnsi="宋体"/>
          <w:color w:val="000000" w:themeColor="text1"/>
          <w:szCs w:val="21"/>
          <w14:textFill>
            <w14:solidFill>
              <w14:schemeClr w14:val="tx1"/>
            </w14:solidFill>
          </w14:textFill>
        </w:rPr>
        <w:t>在不改变合同其他条款的前提下，甲方有权在合同价款百分之十的范围内追加与合同标的相同的货物或服务，并就此与乙方签订补充合同，乙方不得拒绝。</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16.3. </w:t>
      </w:r>
      <w:r>
        <w:rPr>
          <w:rFonts w:hint="eastAsia" w:ascii="宋体" w:hAnsi="宋体"/>
          <w:color w:val="000000" w:themeColor="text1"/>
          <w:szCs w:val="21"/>
          <w14:textFill>
            <w14:solidFill>
              <w14:schemeClr w14:val="tx1"/>
            </w14:solidFill>
          </w14:textFill>
        </w:rPr>
        <w:t>除双方签署书面协议，并成为合同不可分割的一部分外，本合同条件不得有任何变更。</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17. </w:t>
      </w:r>
      <w:r>
        <w:rPr>
          <w:rFonts w:hint="eastAsia" w:ascii="宋体" w:hAnsi="宋体"/>
          <w:b/>
          <w:color w:val="000000" w:themeColor="text1"/>
          <w:szCs w:val="21"/>
          <w14:textFill>
            <w14:solidFill>
              <w14:schemeClr w14:val="tx1"/>
            </w14:solidFill>
          </w14:textFill>
        </w:rPr>
        <w:t>合同中止与终止</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17.1. </w:t>
      </w:r>
      <w:r>
        <w:rPr>
          <w:rFonts w:hint="eastAsia" w:ascii="宋体" w:hAnsi="宋体"/>
          <w:color w:val="000000" w:themeColor="text1"/>
          <w:szCs w:val="21"/>
          <w14:textFill>
            <w14:solidFill>
              <w14:schemeClr w14:val="tx1"/>
            </w14:solidFill>
          </w14:textFill>
        </w:rPr>
        <w:t>合同的中止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）合同在履行过程中，因采购计划调整，甲方可以要求中止履行，待计划确定后继续履行；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）合同履行过程中因供应商就采购过程或结果提起投诉的，甲方认为有必要或财政部门责令中止的，应当中止合同的履行。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17.2. </w:t>
      </w:r>
      <w:r>
        <w:rPr>
          <w:rFonts w:hint="eastAsia" w:ascii="宋体" w:hAnsi="宋体"/>
          <w:color w:val="000000" w:themeColor="text1"/>
          <w:szCs w:val="21"/>
          <w14:textFill>
            <w14:solidFill>
              <w14:schemeClr w14:val="tx1"/>
            </w14:solidFill>
          </w14:textFill>
        </w:rPr>
        <w:t>合同的终止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）合同因有效期限届满而终止；</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）乙方未能依照本合同约定条件履行合同，已构成根本性违约的，甲方有权终止本合同，并追究乙方的违约责任。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）如果乙方丧失履约能力或被宣告破产，甲方可在任何时候以书面形式通知乙方终止合同而不给乙方补偿。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）如果乙方在履行合同过程中有不正当竞争行为，甲方有权解除合同，并按《中华人民共和国反不正当竞争法》规定由有关部门追究其法律责任。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）如果合同的履行将损害国家利益或社会公共利益，甲方有权终止合同的履行，给乙方造成损失的予以相应补偿。</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18. </w:t>
      </w:r>
      <w:r>
        <w:rPr>
          <w:rFonts w:hint="eastAsia" w:ascii="宋体" w:hAnsi="宋体"/>
          <w:b/>
          <w:color w:val="000000" w:themeColor="text1"/>
          <w:szCs w:val="21"/>
          <w14:textFill>
            <w14:solidFill>
              <w14:schemeClr w14:val="tx1"/>
            </w14:solidFill>
          </w14:textFill>
        </w:rPr>
        <w:t>合同转让和分包</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18.1. </w:t>
      </w:r>
      <w:r>
        <w:rPr>
          <w:rFonts w:hint="eastAsia" w:ascii="宋体" w:hAnsi="宋体"/>
          <w:color w:val="000000" w:themeColor="text1"/>
          <w:szCs w:val="21"/>
          <w14:textFill>
            <w14:solidFill>
              <w14:schemeClr w14:val="tx1"/>
            </w14:solidFill>
          </w14:textFill>
        </w:rPr>
        <w:t>乙方不得以任何形式将合同转包。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18.2. </w:t>
      </w:r>
      <w:r>
        <w:rPr>
          <w:rFonts w:hint="eastAsia" w:ascii="宋体" w:hAnsi="宋体"/>
          <w:color w:val="000000" w:themeColor="text1"/>
          <w:szCs w:val="21"/>
          <w14:textFill>
            <w14:solidFill>
              <w14:schemeClr w14:val="tx1"/>
            </w14:solidFill>
          </w14:textFill>
        </w:rPr>
        <w:t>乙方未在磋商响应文件中说明，不得将合同的非主体、非关键性工作分包给他人。</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18.3. </w:t>
      </w:r>
      <w:r>
        <w:rPr>
          <w:rFonts w:hint="eastAsia" w:ascii="宋体" w:hAnsi="宋体"/>
          <w:color w:val="000000" w:themeColor="text1"/>
          <w:szCs w:val="21"/>
          <w14:textFill>
            <w14:solidFill>
              <w14:schemeClr w14:val="tx1"/>
            </w14:solidFill>
          </w14:textFill>
        </w:rPr>
        <w:t>根据政府采购支持中小企业发展政策规定，经甲方同意，获得政府采购合同的大型企业可依法向中小企业分包。</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19. </w:t>
      </w:r>
      <w:r>
        <w:rPr>
          <w:rFonts w:hint="eastAsia" w:ascii="宋体" w:hAnsi="宋体"/>
          <w:b/>
          <w:color w:val="000000" w:themeColor="text1"/>
          <w:szCs w:val="21"/>
          <w14:textFill>
            <w14:solidFill>
              <w14:schemeClr w14:val="tx1"/>
            </w14:solidFill>
          </w14:textFill>
        </w:rPr>
        <w:t>不可抗力</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19.1. </w:t>
      </w:r>
      <w:r>
        <w:rPr>
          <w:rFonts w:hint="eastAsia" w:ascii="宋体" w:hAnsi="宋体"/>
          <w:color w:val="000000" w:themeColor="text1"/>
          <w:szCs w:val="21"/>
          <w14:textFill>
            <w14:solidFill>
              <w14:schemeClr w14:val="tx1"/>
            </w14:solidFill>
          </w14:textFill>
        </w:rPr>
        <w:t>不可抗力是指合同双方不可预见、不可避免、不可克服的自然灾害和社会事件。</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19.2. </w:t>
      </w:r>
      <w:r>
        <w:rPr>
          <w:rFonts w:hint="eastAsia" w:ascii="宋体" w:hAnsi="宋体"/>
          <w:color w:val="000000" w:themeColor="text1"/>
          <w:szCs w:val="21"/>
          <w14:textFill>
            <w14:solidFill>
              <w14:schemeClr w14:val="tx1"/>
            </w14:solidFill>
          </w14:textFill>
        </w:rPr>
        <w:t>任何一方对由于不可抗力造成的部分或全部不能履行合同不承担违约责任。但迟延履行后发生不可抗力的，不能免除责任。</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19.3. </w:t>
      </w:r>
      <w:r>
        <w:rPr>
          <w:rFonts w:hint="eastAsia" w:ascii="宋体" w:hAnsi="宋体"/>
          <w:color w:val="000000" w:themeColor="text1"/>
          <w:szCs w:val="21"/>
          <w14:textFill>
            <w14:solidFill>
              <w14:schemeClr w14:val="tx1"/>
            </w14:solidFill>
          </w14:textFill>
        </w:rPr>
        <w:t>遇有不可抗力的一方，应在三日内将事件的情况以书面形式通知另一方，并在事件发生后十日内，向另一方提交合同不能履行或部分不能履行或需要延期履行理由的报告。</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20. </w:t>
      </w:r>
      <w:r>
        <w:rPr>
          <w:rFonts w:hint="eastAsia" w:ascii="宋体" w:hAnsi="宋体"/>
          <w:b/>
          <w:color w:val="000000" w:themeColor="text1"/>
          <w:szCs w:val="21"/>
          <w14:textFill>
            <w14:solidFill>
              <w14:schemeClr w14:val="tx1"/>
            </w14:solidFill>
          </w14:textFill>
        </w:rPr>
        <w:t>解决争议的方法</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20.1. </w:t>
      </w:r>
      <w:r>
        <w:rPr>
          <w:rFonts w:hint="eastAsia" w:ascii="宋体" w:hAnsi="宋体"/>
          <w:color w:val="000000" w:themeColor="text1"/>
          <w:szCs w:val="21"/>
          <w14:textFill>
            <w14:solidFill>
              <w14:schemeClr w14:val="tx1"/>
            </w14:solidFill>
          </w14:textFill>
        </w:rPr>
        <w:t>合同各方应通过友好协商，解决在执行合同过程中所发生的或与合同有关的一切争端。如从协商开始后十日内仍不能解决，可以向财政部门提请调解。</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20.2. </w:t>
      </w:r>
      <w:r>
        <w:rPr>
          <w:rFonts w:hint="eastAsia" w:ascii="宋体" w:hAnsi="宋体"/>
          <w:color w:val="000000" w:themeColor="text1"/>
          <w:szCs w:val="21"/>
          <w14:textFill>
            <w14:solidFill>
              <w14:schemeClr w14:val="tx1"/>
            </w14:solidFill>
          </w14:textFill>
        </w:rPr>
        <w:t>调解不成可以按下列方式之一提起仲裁或诉讼：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）向甲方所在地仲裁机构提起仲裁；</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）向甲方所在地人民法院提起诉讼。</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20.3. </w:t>
      </w:r>
      <w:r>
        <w:rPr>
          <w:rFonts w:hint="eastAsia" w:ascii="宋体" w:hAnsi="宋体"/>
          <w:color w:val="000000" w:themeColor="text1"/>
          <w:szCs w:val="21"/>
          <w14:textFill>
            <w14:solidFill>
              <w14:schemeClr w14:val="tx1"/>
            </w14:solidFill>
          </w14:textFill>
        </w:rPr>
        <w:t>如仲裁或诉讼事项不影响合同其它部分的履行，则在仲裁或诉讼期间，除正在进行仲裁或诉讼的部分外，合同的其它部分应继续执行。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21. </w:t>
      </w:r>
      <w:r>
        <w:rPr>
          <w:rFonts w:hint="eastAsia" w:ascii="宋体" w:hAnsi="宋体"/>
          <w:b/>
          <w:color w:val="000000" w:themeColor="text1"/>
          <w:szCs w:val="21"/>
          <w14:textFill>
            <w14:solidFill>
              <w14:schemeClr w14:val="tx1"/>
            </w14:solidFill>
          </w14:textFill>
        </w:rPr>
        <w:t>法律适用</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21.1. </w:t>
      </w:r>
      <w:r>
        <w:rPr>
          <w:rFonts w:hint="eastAsia" w:ascii="宋体" w:hAnsi="宋体"/>
          <w:color w:val="000000" w:themeColor="text1"/>
          <w:szCs w:val="21"/>
          <w14:textFill>
            <w14:solidFill>
              <w14:schemeClr w14:val="tx1"/>
            </w14:solidFill>
          </w14:textFill>
        </w:rPr>
        <w:t>本合同适用中华人民共和国现行法律、行政法规和规章，如合同条款与法律、行政法规和规章不一致的，按照法律、行政法规和规章修改本合同。</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22. </w:t>
      </w:r>
      <w:r>
        <w:rPr>
          <w:rFonts w:hint="eastAsia" w:ascii="宋体" w:hAnsi="宋体"/>
          <w:b/>
          <w:color w:val="000000" w:themeColor="text1"/>
          <w:szCs w:val="21"/>
          <w14:textFill>
            <w14:solidFill>
              <w14:schemeClr w14:val="tx1"/>
            </w14:solidFill>
          </w14:textFill>
        </w:rPr>
        <w:t>通知</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 </w:t>
      </w:r>
      <w:r>
        <w:rPr>
          <w:rFonts w:hint="eastAsia" w:ascii="宋体" w:hAnsi="宋体"/>
          <w:color w:val="000000" w:themeColor="text1"/>
          <w:szCs w:val="21"/>
          <w14:textFill>
            <w14:solidFill>
              <w14:schemeClr w14:val="tx1"/>
            </w14:solidFill>
          </w14:textFill>
        </w:rPr>
        <w:t>本合同一方给另一方的通知均应采用书面形式，传真或快递送到对方的地址和办理签收手续。</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22.2. </w:t>
      </w:r>
      <w:r>
        <w:rPr>
          <w:rFonts w:hint="eastAsia" w:ascii="宋体" w:hAnsi="宋体"/>
          <w:color w:val="000000" w:themeColor="text1"/>
          <w:szCs w:val="21"/>
          <w14:textFill>
            <w14:solidFill>
              <w14:schemeClr w14:val="tx1"/>
            </w14:solidFill>
          </w14:textFill>
        </w:rPr>
        <w:t>通知以送到之日或通知书中规定的生效之日起生效，两者中以较迟之日为准。</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23. </w:t>
      </w:r>
      <w:r>
        <w:rPr>
          <w:rFonts w:hint="eastAsia" w:ascii="宋体" w:hAnsi="宋体"/>
          <w:b/>
          <w:color w:val="000000" w:themeColor="text1"/>
          <w:szCs w:val="21"/>
          <w14:textFill>
            <w14:solidFill>
              <w14:schemeClr w14:val="tx1"/>
            </w14:solidFill>
          </w14:textFill>
        </w:rPr>
        <w:t>合同生效</w:t>
      </w:r>
      <w:r>
        <w:rPr>
          <w:rFonts w:ascii="宋体" w:hAnsi="宋体"/>
          <w:b/>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23.1. </w:t>
      </w:r>
      <w:r>
        <w:rPr>
          <w:rFonts w:hint="eastAsia" w:ascii="宋体" w:hAnsi="宋体"/>
          <w:color w:val="000000" w:themeColor="text1"/>
          <w:szCs w:val="21"/>
          <w14:textFill>
            <w14:solidFill>
              <w14:schemeClr w14:val="tx1"/>
            </w14:solidFill>
          </w14:textFill>
        </w:rPr>
        <w:t>本合同在甲乙双方共同签字盖章后生效。</w:t>
      </w:r>
      <w:r>
        <w:rPr>
          <w:rFonts w:ascii="宋体" w:hAnsi="宋体" w:cs="宋体"/>
          <w:color w:val="000000" w:themeColor="text1"/>
          <w:kern w:val="0"/>
          <w:szCs w:val="21"/>
          <w14:textFill>
            <w14:solidFill>
              <w14:schemeClr w14:val="tx1"/>
            </w14:solidFill>
          </w14:textFill>
        </w:rPr>
        <w:t xml:space="preserve"> </w:t>
      </w:r>
    </w:p>
    <w:p>
      <w:pPr>
        <w:pStyle w:val="135"/>
        <w:jc w:val="both"/>
        <w:rPr>
          <w:rFonts w:hAnsi="宋体" w:cs="黑体"/>
          <w:b/>
          <w:color w:val="000000" w:themeColor="text1"/>
          <w:sz w:val="21"/>
          <w:szCs w:val="21"/>
          <w14:textFill>
            <w14:solidFill>
              <w14:schemeClr w14:val="tx1"/>
            </w14:solidFill>
          </w14:textFill>
        </w:rPr>
      </w:pPr>
    </w:p>
    <w:p>
      <w:pPr>
        <w:pStyle w:val="135"/>
        <w:jc w:val="center"/>
        <w:rPr>
          <w:rFonts w:hAnsi="宋体" w:cs="黑体"/>
          <w:b/>
          <w:color w:val="000000" w:themeColor="text1"/>
          <w:sz w:val="21"/>
          <w:szCs w:val="21"/>
          <w14:textFill>
            <w14:solidFill>
              <w14:schemeClr w14:val="tx1"/>
            </w14:solidFill>
          </w14:textFill>
        </w:rPr>
      </w:pPr>
    </w:p>
    <w:p>
      <w:pPr>
        <w:rPr>
          <w:rFonts w:hAnsi="宋体" w:cs="黑体"/>
          <w:b/>
          <w:color w:val="000000" w:themeColor="text1"/>
          <w:sz w:val="21"/>
          <w:szCs w:val="21"/>
          <w14:textFill>
            <w14:solidFill>
              <w14:schemeClr w14:val="tx1"/>
            </w14:solidFill>
          </w14:textFill>
        </w:rPr>
      </w:pPr>
      <w:r>
        <w:rPr>
          <w:rFonts w:hAnsi="宋体" w:cs="黑体"/>
          <w:b/>
          <w:color w:val="000000" w:themeColor="text1"/>
          <w:sz w:val="21"/>
          <w:szCs w:val="21"/>
          <w14:textFill>
            <w14:solidFill>
              <w14:schemeClr w14:val="tx1"/>
            </w14:solidFill>
          </w14:textFill>
        </w:rPr>
        <w:br w:type="page"/>
      </w:r>
    </w:p>
    <w:p>
      <w:pPr>
        <w:pStyle w:val="135"/>
        <w:jc w:val="center"/>
        <w:rPr>
          <w:rFonts w:hAnsi="宋体" w:cs="黑体"/>
          <w:b/>
          <w:color w:val="000000" w:themeColor="text1"/>
          <w:sz w:val="21"/>
          <w:szCs w:val="21"/>
          <w14:textFill>
            <w14:solidFill>
              <w14:schemeClr w14:val="tx1"/>
            </w14:solidFill>
          </w14:textFill>
        </w:rPr>
      </w:pPr>
    </w:p>
    <w:p>
      <w:pPr>
        <w:pStyle w:val="135"/>
        <w:jc w:val="center"/>
        <w:rPr>
          <w:rFonts w:hAnsi="宋体"/>
          <w:color w:val="000000" w:themeColor="text1"/>
          <w:sz w:val="21"/>
          <w:szCs w:val="21"/>
          <w14:textFill>
            <w14:solidFill>
              <w14:schemeClr w14:val="tx1"/>
            </w14:solidFill>
          </w14:textFill>
        </w:rPr>
      </w:pPr>
      <w:r>
        <w:rPr>
          <w:rFonts w:hint="eastAsia" w:hAnsi="宋体" w:cs="黑体"/>
          <w:b/>
          <w:color w:val="000000" w:themeColor="text1"/>
          <w:sz w:val="21"/>
          <w:szCs w:val="21"/>
          <w14:textFill>
            <w14:solidFill>
              <w14:schemeClr w14:val="tx1"/>
            </w14:solidFill>
          </w14:textFill>
        </w:rPr>
        <w:t>二、政府采购合同</w:t>
      </w:r>
    </w:p>
    <w:p>
      <w:pPr>
        <w:pStyle w:val="135"/>
        <w:spacing w:line="490" w:lineRule="exact"/>
        <w:ind w:firstLine="420" w:firstLineChars="200"/>
        <w:rPr>
          <w:rFonts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采购人（全称）：</w:t>
      </w:r>
      <w:r>
        <w:rPr>
          <w:rFonts w:hAnsi="宋体" w:cs="Times New Roman"/>
          <w:color w:val="000000" w:themeColor="text1"/>
          <w:kern w:val="2"/>
          <w:sz w:val="21"/>
          <w:szCs w:val="21"/>
          <w:u w:val="single"/>
          <w14:textFill>
            <w14:solidFill>
              <w14:schemeClr w14:val="tx1"/>
            </w14:solidFill>
          </w14:textFill>
        </w:rPr>
        <w:t xml:space="preserve">                    </w:t>
      </w:r>
      <w:r>
        <w:rPr>
          <w:rFonts w:hint="eastAsia" w:hAnsi="宋体" w:cs="Times New Roman"/>
          <w:color w:val="000000" w:themeColor="text1"/>
          <w:kern w:val="2"/>
          <w:sz w:val="21"/>
          <w:szCs w:val="21"/>
          <w14:textFill>
            <w14:solidFill>
              <w14:schemeClr w14:val="tx1"/>
            </w14:solidFill>
          </w14:textFill>
        </w:rPr>
        <w:t>（甲方）</w:t>
      </w:r>
      <w:r>
        <w:rPr>
          <w:rFonts w:hAnsi="宋体" w:cs="Times New Roman"/>
          <w:color w:val="000000" w:themeColor="text1"/>
          <w:kern w:val="2"/>
          <w:sz w:val="21"/>
          <w:szCs w:val="21"/>
          <w14:textFill>
            <w14:solidFill>
              <w14:schemeClr w14:val="tx1"/>
            </w14:solidFill>
          </w14:textFill>
        </w:rPr>
        <w:t xml:space="preserve"> </w:t>
      </w:r>
    </w:p>
    <w:p>
      <w:pPr>
        <w:pStyle w:val="135"/>
        <w:spacing w:line="400" w:lineRule="exact"/>
        <w:ind w:firstLine="420" w:firstLineChars="200"/>
        <w:rPr>
          <w:rFonts w:hint="eastAsia"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供应商（全称）：</w:t>
      </w:r>
      <w:r>
        <w:rPr>
          <w:rFonts w:hAnsi="宋体" w:cs="Times New Roman"/>
          <w:color w:val="000000" w:themeColor="text1"/>
          <w:kern w:val="2"/>
          <w:sz w:val="21"/>
          <w:szCs w:val="21"/>
          <w:u w:val="single"/>
          <w14:textFill>
            <w14:solidFill>
              <w14:schemeClr w14:val="tx1"/>
            </w14:solidFill>
          </w14:textFill>
        </w:rPr>
        <w:t xml:space="preserve">                    </w:t>
      </w:r>
      <w:r>
        <w:rPr>
          <w:rFonts w:hint="eastAsia" w:hAnsi="宋体" w:cs="Times New Roman"/>
          <w:color w:val="000000" w:themeColor="text1"/>
          <w:kern w:val="2"/>
          <w:sz w:val="21"/>
          <w:szCs w:val="21"/>
          <w14:textFill>
            <w14:solidFill>
              <w14:schemeClr w14:val="tx1"/>
            </w14:solidFill>
          </w14:textFill>
        </w:rPr>
        <w:t>（乙方）</w:t>
      </w:r>
    </w:p>
    <w:p>
      <w:pPr>
        <w:pStyle w:val="135"/>
        <w:spacing w:line="400" w:lineRule="exact"/>
        <w:ind w:firstLine="420" w:firstLineChars="200"/>
        <w:rPr>
          <w:rFonts w:hAnsi="宋体" w:cs="Times New Roman"/>
          <w:color w:val="000000" w:themeColor="text1"/>
          <w:kern w:val="2"/>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为了保护甲、乙双方合法权益，根据《中华人民共和国合同法》、《中华人民共和国政府采购法》及其他有关法律、法规、规章，双方签订本合同。</w:t>
      </w:r>
      <w:r>
        <w:rPr>
          <w:rFonts w:hAnsi="宋体" w:cs="Times New Roman"/>
          <w:color w:val="000000" w:themeColor="text1"/>
          <w:kern w:val="2"/>
          <w:sz w:val="21"/>
          <w:szCs w:val="21"/>
          <w14:textFill>
            <w14:solidFill>
              <w14:schemeClr w14:val="tx1"/>
            </w14:solidFill>
          </w14:textFill>
        </w:rPr>
        <w:t xml:space="preserve"> </w:t>
      </w:r>
    </w:p>
    <w:p>
      <w:pPr>
        <w:pStyle w:val="135"/>
        <w:spacing w:line="400" w:lineRule="exact"/>
        <w:ind w:firstLine="210" w:firstLineChars="100"/>
        <w:rPr>
          <w:rFonts w:hAnsi="宋体" w:cs="Times New Roman"/>
          <w:b/>
          <w:color w:val="000000" w:themeColor="text1"/>
          <w:kern w:val="2"/>
          <w:sz w:val="21"/>
          <w:szCs w:val="21"/>
          <w14:textFill>
            <w14:solidFill>
              <w14:schemeClr w14:val="tx1"/>
            </w14:solidFill>
          </w14:textFill>
        </w:rPr>
      </w:pPr>
      <w:r>
        <w:rPr>
          <w:rFonts w:hAnsi="宋体" w:cs="Times New Roman"/>
          <w:b/>
          <w:color w:val="000000" w:themeColor="text1"/>
          <w:kern w:val="2"/>
          <w:sz w:val="21"/>
          <w:szCs w:val="21"/>
          <w14:textFill>
            <w14:solidFill>
              <w14:schemeClr w14:val="tx1"/>
            </w14:solidFill>
          </w14:textFill>
        </w:rPr>
        <w:t>1.</w:t>
      </w:r>
      <w:r>
        <w:rPr>
          <w:rFonts w:hint="eastAsia" w:hAnsi="宋体" w:cs="Times New Roman"/>
          <w:b/>
          <w:color w:val="000000" w:themeColor="text1"/>
          <w:kern w:val="2"/>
          <w:sz w:val="21"/>
          <w:szCs w:val="21"/>
          <w14:textFill>
            <w14:solidFill>
              <w14:schemeClr w14:val="tx1"/>
            </w14:solidFill>
          </w14:textFill>
        </w:rPr>
        <w:t>合同标的及金额</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24"/>
        <w:gridCol w:w="1224"/>
        <w:gridCol w:w="1224"/>
        <w:gridCol w:w="1225"/>
        <w:gridCol w:w="1225"/>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序号</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标的名称</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型号规格</w:t>
            </w:r>
          </w:p>
        </w:tc>
        <w:tc>
          <w:tcPr>
            <w:tcW w:w="1224"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数量</w:t>
            </w:r>
          </w:p>
        </w:tc>
        <w:tc>
          <w:tcPr>
            <w:tcW w:w="1225"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单价</w:t>
            </w:r>
          </w:p>
        </w:tc>
        <w:tc>
          <w:tcPr>
            <w:tcW w:w="1225"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总价</w:t>
            </w:r>
          </w:p>
        </w:tc>
        <w:tc>
          <w:tcPr>
            <w:tcW w:w="1226" w:type="dxa"/>
            <w:vAlign w:val="center"/>
          </w:tcPr>
          <w:p>
            <w:pPr>
              <w:pStyle w:val="135"/>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6"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4"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5"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c>
          <w:tcPr>
            <w:tcW w:w="1226" w:type="dxa"/>
          </w:tcPr>
          <w:p>
            <w:pPr>
              <w:autoSpaceDE w:val="0"/>
              <w:autoSpaceDN w:val="0"/>
              <w:adjustRightInd w:val="0"/>
              <w:spacing w:line="400" w:lineRule="exact"/>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572" w:type="dxa"/>
            <w:gridSpan w:val="7"/>
            <w:vAlign w:val="center"/>
          </w:tcPr>
          <w:p>
            <w:pPr>
              <w:pStyle w:val="135"/>
              <w:spacing w:line="400" w:lineRule="exact"/>
              <w:jc w:val="both"/>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合同金额小写：</w:t>
            </w:r>
            <w:r>
              <w:rPr>
                <w:rFonts w:hAnsi="宋体"/>
                <w:color w:val="000000" w:themeColor="text1"/>
                <w:sz w:val="21"/>
                <w:szCs w:val="21"/>
                <w:u w:val="single"/>
                <w14:textFill>
                  <w14:solidFill>
                    <w14:schemeClr w14:val="tx1"/>
                  </w14:solidFill>
                </w14:textFill>
              </w:rPr>
              <w:t xml:space="preserve">                           </w:t>
            </w:r>
          </w:p>
          <w:p>
            <w:pPr>
              <w:autoSpaceDE w:val="0"/>
              <w:autoSpaceDN w:val="0"/>
              <w:adjustRightInd w:val="0"/>
              <w:spacing w:line="400" w:lineRule="exact"/>
              <w:ind w:firstLine="840" w:firstLineChars="4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大写：</w:t>
            </w:r>
            <w:r>
              <w:rPr>
                <w:rFonts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14:textFill>
                  <w14:solidFill>
                    <w14:schemeClr w14:val="tx1"/>
                  </w14:solidFill>
                </w14:textFill>
              </w:rPr>
              <w:t xml:space="preserve">      </w:t>
            </w:r>
          </w:p>
        </w:tc>
      </w:tr>
    </w:tbl>
    <w:p>
      <w:pPr>
        <w:spacing w:line="400" w:lineRule="exact"/>
        <w:ind w:firstLine="315" w:firstLineChars="150"/>
        <w:rPr>
          <w:rFonts w:ascii="宋体" w:hAnsi="宋体"/>
          <w:b/>
          <w:color w:val="000000" w:themeColor="text1"/>
          <w:szCs w:val="21"/>
          <w:u w:val="single"/>
          <w14:textFill>
            <w14:solidFill>
              <w14:schemeClr w14:val="tx1"/>
            </w14:solidFill>
          </w14:textFill>
        </w:rPr>
      </w:pPr>
      <w:r>
        <w:rPr>
          <w:rFonts w:ascii="宋体" w:hAnsi="宋体"/>
          <w:b/>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履行合同的时间、地点及方式：</w:t>
      </w:r>
      <w:r>
        <w:rPr>
          <w:rFonts w:ascii="宋体" w:hAnsi="宋体"/>
          <w:b/>
          <w:color w:val="000000" w:themeColor="text1"/>
          <w:szCs w:val="21"/>
          <w:u w:val="single"/>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ascii="宋体" w:hAnsi="宋体"/>
          <w:b/>
          <w:color w:val="000000" w:themeColor="text1"/>
          <w:szCs w:val="21"/>
          <w14:textFill>
            <w14:solidFill>
              <w14:schemeClr w14:val="tx1"/>
            </w14:solidFill>
          </w14:textFill>
        </w:rPr>
        <w:t>3.</w:t>
      </w:r>
      <w:r>
        <w:rPr>
          <w:rFonts w:hint="eastAsia" w:ascii="宋体" w:hAnsi="宋体"/>
          <w:b/>
          <w:color w:val="000000" w:themeColor="text1"/>
          <w:szCs w:val="21"/>
          <w14:textFill>
            <w14:solidFill>
              <w14:schemeClr w14:val="tx1"/>
            </w14:solidFill>
          </w14:textFill>
        </w:rPr>
        <w:t>付款方式：</w:t>
      </w:r>
      <w:r>
        <w:rPr>
          <w:rFonts w:hint="eastAsia" w:ascii="宋体" w:hAnsi="宋体"/>
          <w:b/>
          <w:color w:val="000000" w:themeColor="text1"/>
          <w:szCs w:val="21"/>
          <w:u w:val="single"/>
          <w14:textFill>
            <w14:solidFill>
              <w14:schemeClr w14:val="tx1"/>
            </w14:solidFill>
          </w14:textFill>
        </w:rPr>
        <w:t xml:space="preserve">                                      </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4.</w:t>
      </w:r>
      <w:r>
        <w:rPr>
          <w:rFonts w:hint="eastAsia" w:ascii="宋体" w:hAnsi="宋体"/>
          <w:b/>
          <w:color w:val="000000" w:themeColor="text1"/>
          <w:szCs w:val="21"/>
          <w14:textFill>
            <w14:solidFill>
              <w14:schemeClr w14:val="tx1"/>
            </w14:solidFill>
          </w14:textFill>
        </w:rPr>
        <w:t>解决合同纠纷方式</w:t>
      </w:r>
      <w:r>
        <w:rPr>
          <w:rFonts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首先通过双方协商解决，协商解决不成，则通过以下途径之一解决纠纷：</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提请仲裁</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向人民法院提起诉讼</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5.</w:t>
      </w:r>
      <w:r>
        <w:rPr>
          <w:rFonts w:hint="eastAsia" w:ascii="宋体" w:hAnsi="宋体"/>
          <w:b/>
          <w:color w:val="000000" w:themeColor="text1"/>
          <w:szCs w:val="21"/>
          <w14:textFill>
            <w14:solidFill>
              <w14:schemeClr w14:val="tx1"/>
            </w14:solidFill>
          </w14:textFill>
        </w:rPr>
        <w:t>组成合同的文件</w:t>
      </w:r>
      <w:r>
        <w:rPr>
          <w:rFonts w:ascii="宋体" w:hAnsi="宋体"/>
          <w:b/>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合同由以下文件构成，如下述文件之间有任何抵触、矛盾或歧义，应按以下顺序解释：</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（1）在采购或合同履行过程中乙方作出的承诺以及双方协商达成的变更或补充协议；</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）本合同协议书</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）中标通知书</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）合同格式条款</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）磋商响应文件</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）磋商文件</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）标准、规范及有关技术文件</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合同订立时间：</w:t>
      </w:r>
      <w:r>
        <w:rPr>
          <w:rFonts w:ascii="宋体" w:hAnsi="宋体"/>
          <w:b/>
          <w:color w:val="000000" w:themeColor="text1"/>
          <w:szCs w:val="21"/>
          <w:u w:val="single"/>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合同订立地点：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方：（公章）</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真：</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账 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乙</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方：（公章）</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真：</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00" w:lineRule="exact"/>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账 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widowControl/>
        <w:jc w:val="left"/>
        <w:rPr>
          <w:rFonts w:ascii="宋体" w:hAnsi="宋体" w:cs="黑体"/>
          <w:b/>
          <w:color w:val="000000" w:themeColor="text1"/>
          <w:kern w:val="0"/>
          <w:szCs w:val="21"/>
          <w14:textFill>
            <w14:solidFill>
              <w14:schemeClr w14:val="tx1"/>
            </w14:solidFill>
          </w14:textFill>
        </w:rPr>
      </w:pPr>
      <w:r>
        <w:rPr>
          <w:rFonts w:ascii="宋体" w:hAnsi="宋体" w:cs="黑体"/>
          <w:b/>
          <w:color w:val="000000" w:themeColor="text1"/>
          <w:kern w:val="0"/>
          <w:szCs w:val="21"/>
          <w14:textFill>
            <w14:solidFill>
              <w14:schemeClr w14:val="tx1"/>
            </w14:solidFill>
          </w14:textFill>
        </w:rPr>
        <w:br w:type="page"/>
      </w:r>
    </w:p>
    <w:p>
      <w:pPr>
        <w:autoSpaceDE w:val="0"/>
        <w:autoSpaceDN w:val="0"/>
        <w:adjustRightInd w:val="0"/>
        <w:jc w:val="center"/>
        <w:outlineLvl w:val="0"/>
        <w:rPr>
          <w:rFonts w:ascii="宋体" w:hAnsi="宋体" w:cs="宋体"/>
          <w:b/>
          <w:bCs/>
          <w:color w:val="000000" w:themeColor="text1"/>
          <w:kern w:val="0"/>
          <w:sz w:val="32"/>
          <w:szCs w:val="32"/>
          <w14:textFill>
            <w14:solidFill>
              <w14:schemeClr w14:val="tx1"/>
            </w14:solidFill>
          </w14:textFill>
        </w:rPr>
      </w:pPr>
      <w:bookmarkStart w:id="10" w:name="_Toc19408"/>
      <w:bookmarkStart w:id="11" w:name="_Toc31493"/>
      <w:r>
        <w:rPr>
          <w:rFonts w:hint="eastAsia" w:ascii="宋体" w:hAnsi="宋体" w:cs="宋体"/>
          <w:b/>
          <w:bCs/>
          <w:color w:val="000000" w:themeColor="text1"/>
          <w:kern w:val="0"/>
          <w:sz w:val="32"/>
          <w:szCs w:val="32"/>
          <w14:textFill>
            <w14:solidFill>
              <w14:schemeClr w14:val="tx1"/>
            </w14:solidFill>
          </w14:textFill>
        </w:rPr>
        <w:t>第</w:t>
      </w:r>
      <w:r>
        <w:rPr>
          <w:rFonts w:hint="eastAsia" w:ascii="宋体" w:hAnsi="宋体" w:cs="宋体"/>
          <w:b/>
          <w:bCs/>
          <w:color w:val="000000" w:themeColor="text1"/>
          <w:kern w:val="0"/>
          <w:sz w:val="32"/>
          <w:szCs w:val="32"/>
          <w:lang w:val="en-US" w:eastAsia="zh-CN"/>
          <w14:textFill>
            <w14:solidFill>
              <w14:schemeClr w14:val="tx1"/>
            </w14:solidFill>
          </w14:textFill>
        </w:rPr>
        <w:t>七</w:t>
      </w:r>
      <w:r>
        <w:rPr>
          <w:rFonts w:hint="eastAsia" w:ascii="宋体" w:hAnsi="宋体" w:cs="宋体"/>
          <w:b/>
          <w:bCs/>
          <w:color w:val="000000" w:themeColor="text1"/>
          <w:kern w:val="0"/>
          <w:sz w:val="32"/>
          <w:szCs w:val="32"/>
          <w14:textFill>
            <w14:solidFill>
              <w14:schemeClr w14:val="tx1"/>
            </w14:solidFill>
          </w14:textFill>
        </w:rPr>
        <w:t>章</w:t>
      </w:r>
      <w:r>
        <w:rPr>
          <w:rFonts w:ascii="宋体" w:hAnsi="宋体" w:cs="宋体"/>
          <w:b/>
          <w:bCs/>
          <w:color w:val="000000" w:themeColor="text1"/>
          <w:kern w:val="0"/>
          <w:sz w:val="32"/>
          <w:szCs w:val="32"/>
          <w14:textFill>
            <w14:solidFill>
              <w14:schemeClr w14:val="tx1"/>
            </w14:solidFill>
          </w14:textFill>
        </w:rPr>
        <w:t xml:space="preserve"> </w:t>
      </w:r>
      <w:r>
        <w:rPr>
          <w:rFonts w:hint="eastAsia" w:ascii="宋体" w:hAnsi="宋体" w:cs="宋体"/>
          <w:b/>
          <w:bCs/>
          <w:color w:val="000000" w:themeColor="text1"/>
          <w:kern w:val="0"/>
          <w:sz w:val="32"/>
          <w:szCs w:val="32"/>
          <w14:textFill>
            <w14:solidFill>
              <w14:schemeClr w14:val="tx1"/>
            </w14:solidFill>
          </w14:textFill>
        </w:rPr>
        <w:t>磋商响应文件格式</w:t>
      </w:r>
      <w:bookmarkEnd w:id="10"/>
      <w:bookmarkEnd w:id="11"/>
    </w:p>
    <w:p>
      <w:pPr>
        <w:spacing w:line="490" w:lineRule="exact"/>
        <w:jc w:val="center"/>
        <w:outlineLvl w:val="1"/>
        <w:rPr>
          <w:rFonts w:ascii="宋体" w:hAnsi="宋体"/>
          <w:b/>
          <w:color w:val="000000" w:themeColor="text1"/>
          <w:szCs w:val="21"/>
          <w14:textFill>
            <w14:solidFill>
              <w14:schemeClr w14:val="tx1"/>
            </w14:solidFill>
          </w14:textFill>
        </w:rPr>
      </w:pPr>
      <w:bookmarkStart w:id="12" w:name="_Toc25008"/>
      <w:r>
        <w:rPr>
          <w:rFonts w:hint="eastAsia" w:ascii="宋体" w:hAnsi="宋体"/>
          <w:b/>
          <w:color w:val="000000" w:themeColor="text1"/>
          <w:szCs w:val="21"/>
          <w14:textFill>
            <w14:solidFill>
              <w14:schemeClr w14:val="tx1"/>
            </w14:solidFill>
          </w14:textFill>
        </w:rPr>
        <w:t>一、投标承诺书</w:t>
      </w:r>
      <w:bookmarkEnd w:id="12"/>
    </w:p>
    <w:p>
      <w:pPr>
        <w:spacing w:line="400" w:lineRule="exact"/>
        <w:ind w:firstLine="315" w:firstLineChars="150"/>
        <w:rPr>
          <w:rFonts w:ascii="宋体" w:hAnsi="宋体"/>
          <w:color w:val="000000" w:themeColor="text1"/>
          <w:szCs w:val="21"/>
          <w14:textFill>
            <w14:solidFill>
              <w14:schemeClr w14:val="tx1"/>
            </w14:solidFill>
          </w14:textFill>
        </w:rPr>
      </w:pP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根据贵方为</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（项目名称、包号）的投标邀请（招标编号：</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）的要求，为杜绝商业欺诈和商业贿赂行为，我公司在此庄严承诺：</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、在参与政府采购活动中遵纪守法、诚信经营、公平竞争。</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、不向采购人、招标代理机购和采购评审专家进行任何形式的商业贿赂以谋取交易机会。</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、不向采购人和招标代理机构提供虚假资格文件或采用虚假应标方式参与政府采购市场竞争并谋取中标、成交。</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、我公司磋商响应文件中所提供的货物和服务的参数都如实描述，无任何虚假情况。</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、不采取</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围标、陪标</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等商业欺诈手段获得政府采购定单。</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、不采取不正当手段诋毁、排挤其他供应商。</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、不在提供货物和服务时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偷梁换柱、以次充好</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损害采购人的合法权益。</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、不与采购人、招标代理机构和采购评审专家或其它供应商恶意串通，进行质疑和投诉，维护政府采购市场秩序。</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、尊重和接受政府采购监督管理部门的监督，承担因违规违约行为给采购人造成的损失。</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、不发生其他有悖于政府采购公平、公正和诚信原则的行为。</w:t>
      </w:r>
      <w:r>
        <w:rPr>
          <w:rFonts w:ascii="宋体" w:hAnsi="宋体"/>
          <w:color w:val="000000" w:themeColor="text1"/>
          <w:szCs w:val="21"/>
          <w14:textFill>
            <w14:solidFill>
              <w14:schemeClr w14:val="tx1"/>
            </w14:solidFill>
          </w14:textFill>
        </w:rPr>
        <w:t xml:space="preserve"> </w:t>
      </w: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以上承诺如有违反，除被没收投标保证金外，还自愿承担一切法律责任及后果。</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盖公章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法定代表人（负责人）或其授权的代理人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签字</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备注：对本投标承诺书的任何修改将被视为非实质性响应投标，在评标时将其视为无效投标。</w:t>
      </w:r>
    </w:p>
    <w:p>
      <w:pPr>
        <w:spacing w:line="400" w:lineRule="exact"/>
        <w:ind w:firstLine="315" w:firstLineChars="150"/>
        <w:rPr>
          <w:rFonts w:ascii="宋体" w:hAnsi="宋体"/>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headerReference r:id="rId3" w:type="default"/>
          <w:footerReference r:id="rId4" w:type="default"/>
          <w:pgSz w:w="11906" w:h="16838"/>
          <w:pgMar w:top="1440" w:right="1274" w:bottom="1440" w:left="1418" w:header="851" w:footer="992" w:gutter="0"/>
          <w:cols w:space="720" w:num="1"/>
          <w:docGrid w:type="linesAndChars" w:linePitch="312" w:charSpace="0"/>
        </w:sectPr>
      </w:pPr>
      <w:bookmarkStart w:id="13" w:name="_Toc16126"/>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二、投标函</w:t>
      </w:r>
      <w:bookmarkEnd w:id="13"/>
    </w:p>
    <w:p>
      <w:pPr>
        <w:spacing w:line="490" w:lineRule="exact"/>
        <w:rPr>
          <w:rFonts w:ascii="宋体" w:hAnsi="宋体"/>
          <w:color w:val="000000" w:themeColor="text1"/>
          <w:szCs w:val="21"/>
          <w14:textFill>
            <w14:solidFill>
              <w14:schemeClr w14:val="tx1"/>
            </w14:solidFill>
          </w14:textFill>
        </w:rPr>
      </w:pP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采购人</w:t>
      </w:r>
      <w:r>
        <w:rPr>
          <w:rFonts w:ascii="宋体" w:hAnsi="宋体"/>
          <w:color w:val="000000" w:themeColor="text1"/>
          <w:szCs w:val="21"/>
          <w14:textFill>
            <w14:solidFill>
              <w14:schemeClr w14:val="tx1"/>
            </w14:solidFill>
          </w14:textFill>
        </w:rPr>
        <w:t>)</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根据贵方为</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（项目名称、包号）的投标邀请（招标编号</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），签字代表</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（姓名、职务）经正式授权并代表供应商</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（供应商名称、地址）提交下述文件正本一份、副本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份并在此声明，所递交的磋商响应文件内容完整、真实。</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、商务文件：投标承诺书、投标函、开标报价一览表、分项价格表、供应商资格证明文件、商务响应说明书；</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、技术文件：投标方案说明书。</w:t>
      </w:r>
      <w:r>
        <w:rPr>
          <w:rFonts w:ascii="宋体" w:hAnsi="宋体"/>
          <w:color w:val="000000" w:themeColor="text1"/>
          <w:szCs w:val="21"/>
          <w14:textFill>
            <w14:solidFill>
              <w14:schemeClr w14:val="tx1"/>
            </w14:solidFill>
          </w14:textFill>
        </w:rPr>
        <w:t xml:space="preserve"> </w:t>
      </w:r>
    </w:p>
    <w:p>
      <w:pPr>
        <w:spacing w:line="49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在此，签字代表宣布同意如下：</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、所附投标价格表中规定的应提交和交付的货物和服务投标总价为：</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人民币大写</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、供应商将按磋商文件的规定履行合同责任和义务。</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、供应商已详细审查全部磋商文件。我们完全理解并同意放弃对这方面有不明及误解的权力。</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、本投标有效期为自磋商文件规定的提交磋商响应文件截止之日起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个日历天。在投标有效期内我方同意遵守本磋商响应文件中的承诺且在此期限期满之前磋商响应文件对我方具有法律约束力。</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、我方同意提供贵方可能要求的与其投标有关的一切数据或资料。</w:t>
      </w:r>
    </w:p>
    <w:p>
      <w:pPr>
        <w:spacing w:line="490" w:lineRule="exact"/>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、与本投标有关的一切正式往来信函请寄：</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邮编：</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电话：</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传真：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盖公章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法定代表人（负责人）或其授权的代理人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签字</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pacing w:line="49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备注：除可填报的部分外，对本投标函的任何修改将被视为非实质性响应投标，在评标时将其视为无效投标。</w:t>
      </w:r>
      <w:r>
        <w:rPr>
          <w:rFonts w:ascii="宋体" w:hAnsi="宋体"/>
          <w:color w:val="000000" w:themeColor="text1"/>
          <w:szCs w:val="21"/>
          <w14:textFill>
            <w14:solidFill>
              <w14:schemeClr w14:val="tx1"/>
            </w14:solidFill>
          </w14:textFill>
        </w:rPr>
        <w:t xml:space="preserve"> </w:t>
      </w: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4" w:name="_Toc25337"/>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三、开标报价一览表</w:t>
      </w:r>
      <w:bookmarkEnd w:id="14"/>
    </w:p>
    <w:p>
      <w:pPr>
        <w:pStyle w:val="135"/>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金额单位：人民币（元）</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809" w:type="dxa"/>
            <w:vAlign w:val="center"/>
          </w:tcPr>
          <w:p>
            <w:pPr>
              <w:pStyle w:val="135"/>
              <w:jc w:val="center"/>
              <w:rPr>
                <w:rFonts w:hAnsi="宋体"/>
                <w:sz w:val="21"/>
                <w:szCs w:val="21"/>
              </w:rPr>
            </w:pPr>
            <w:r>
              <w:rPr>
                <w:rFonts w:hint="eastAsia" w:hAnsi="宋体"/>
                <w:sz w:val="21"/>
                <w:szCs w:val="21"/>
              </w:rPr>
              <w:t>投标项目名称</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809" w:type="dxa"/>
            <w:vAlign w:val="center"/>
          </w:tcPr>
          <w:p>
            <w:pPr>
              <w:pStyle w:val="135"/>
              <w:jc w:val="center"/>
              <w:rPr>
                <w:rFonts w:hAnsi="宋体"/>
                <w:sz w:val="21"/>
                <w:szCs w:val="21"/>
              </w:rPr>
            </w:pPr>
            <w:r>
              <w:rPr>
                <w:rFonts w:hint="eastAsia" w:hAnsi="宋体"/>
                <w:sz w:val="21"/>
                <w:szCs w:val="21"/>
              </w:rPr>
              <w:t>投标有效期</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9" w:type="dxa"/>
            <w:vMerge w:val="restart"/>
            <w:vAlign w:val="center"/>
          </w:tcPr>
          <w:p>
            <w:pPr>
              <w:pStyle w:val="135"/>
              <w:jc w:val="center"/>
              <w:rPr>
                <w:rFonts w:hAnsi="宋体"/>
                <w:sz w:val="21"/>
                <w:szCs w:val="21"/>
              </w:rPr>
            </w:pPr>
            <w:r>
              <w:rPr>
                <w:rFonts w:hint="eastAsia" w:hAnsi="宋体"/>
                <w:sz w:val="21"/>
                <w:szCs w:val="21"/>
              </w:rPr>
              <w:t>投标报价</w:t>
            </w:r>
          </w:p>
        </w:tc>
        <w:tc>
          <w:tcPr>
            <w:tcW w:w="6663" w:type="dxa"/>
            <w:vAlign w:val="center"/>
          </w:tcPr>
          <w:p>
            <w:pPr>
              <w:pStyle w:val="135"/>
              <w:rPr>
                <w:rFonts w:hAnsi="宋体"/>
                <w:sz w:val="21"/>
                <w:szCs w:val="21"/>
              </w:rPr>
            </w:pPr>
            <w:r>
              <w:rPr>
                <w:rFonts w:hint="eastAsia" w:hAnsi="宋体"/>
                <w:sz w:val="21"/>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9" w:type="dxa"/>
            <w:vMerge w:val="continue"/>
            <w:vAlign w:val="center"/>
          </w:tcPr>
          <w:p>
            <w:pPr>
              <w:pStyle w:val="135"/>
              <w:jc w:val="center"/>
              <w:rPr>
                <w:rFonts w:hAnsi="宋体"/>
                <w:sz w:val="21"/>
                <w:szCs w:val="21"/>
              </w:rPr>
            </w:pPr>
          </w:p>
        </w:tc>
        <w:tc>
          <w:tcPr>
            <w:tcW w:w="6663" w:type="dxa"/>
            <w:vAlign w:val="center"/>
          </w:tcPr>
          <w:p>
            <w:pPr>
              <w:pStyle w:val="135"/>
              <w:rPr>
                <w:rFonts w:hAnsi="宋体"/>
                <w:sz w:val="21"/>
                <w:szCs w:val="21"/>
              </w:rPr>
            </w:pPr>
            <w:r>
              <w:rPr>
                <w:rFonts w:hint="eastAsia" w:hAnsi="宋体"/>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809" w:type="dxa"/>
            <w:vAlign w:val="center"/>
          </w:tcPr>
          <w:p>
            <w:pPr>
              <w:pStyle w:val="135"/>
              <w:jc w:val="center"/>
              <w:rPr>
                <w:rFonts w:hAnsi="宋体"/>
                <w:sz w:val="21"/>
                <w:szCs w:val="21"/>
              </w:rPr>
            </w:pPr>
            <w:r>
              <w:rPr>
                <w:rFonts w:hint="eastAsia" w:hAnsi="宋体"/>
                <w:sz w:val="21"/>
                <w:szCs w:val="21"/>
              </w:rPr>
              <w:t>联系人</w:t>
            </w:r>
          </w:p>
        </w:tc>
        <w:tc>
          <w:tcPr>
            <w:tcW w:w="6663"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809" w:type="dxa"/>
            <w:vAlign w:val="center"/>
          </w:tcPr>
          <w:p>
            <w:pPr>
              <w:pStyle w:val="135"/>
              <w:jc w:val="center"/>
              <w:rPr>
                <w:rFonts w:hAnsi="宋体"/>
                <w:sz w:val="21"/>
                <w:szCs w:val="21"/>
              </w:rPr>
            </w:pPr>
            <w:r>
              <w:rPr>
                <w:rFonts w:hint="eastAsia" w:hAnsi="宋体"/>
                <w:sz w:val="21"/>
                <w:szCs w:val="21"/>
              </w:rPr>
              <w:t>联系方式</w:t>
            </w:r>
          </w:p>
        </w:tc>
        <w:tc>
          <w:tcPr>
            <w:tcW w:w="6663" w:type="dxa"/>
            <w:vAlign w:val="center"/>
          </w:tcPr>
          <w:p>
            <w:pPr>
              <w:pStyle w:val="135"/>
              <w:jc w:val="center"/>
              <w:rPr>
                <w:rFonts w:hAnsi="宋体"/>
                <w:sz w:val="21"/>
                <w:szCs w:val="21"/>
              </w:rPr>
            </w:pPr>
          </w:p>
        </w:tc>
      </w:tr>
    </w:tbl>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、请严格按此“开标报价一览表”格式填写相关内容。</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、此表必须单独提交一份，装在一个小信封内，密封并盖章，在递交磋商响应文件时一并递交，用于开标时唱标。</w:t>
      </w: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spacing w:line="490" w:lineRule="exact"/>
        <w:outlineLvl w:val="1"/>
        <w:rPr>
          <w:rFonts w:ascii="宋体" w:hAnsi="宋体"/>
          <w:b/>
          <w:color w:val="000000" w:themeColor="text1"/>
          <w:szCs w:val="21"/>
          <w14:textFill>
            <w14:solidFill>
              <w14:schemeClr w14:val="tx1"/>
            </w14:solidFill>
          </w14:textFill>
        </w:rPr>
      </w:pPr>
      <w:bookmarkStart w:id="15" w:name="_Toc14665"/>
    </w:p>
    <w:p>
      <w:pPr>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br w:type="page"/>
      </w:r>
    </w:p>
    <w:p>
      <w:pPr>
        <w:spacing w:line="490" w:lineRule="exact"/>
        <w:jc w:val="center"/>
        <w:outlineLvl w:val="1"/>
        <w:rPr>
          <w:rFonts w:ascii="宋体" w:hAnsi="宋体" w:cs="宋体"/>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四、分项价格表</w:t>
      </w:r>
      <w:bookmarkEnd w:id="15"/>
    </w:p>
    <w:p>
      <w:pPr>
        <w:autoSpaceDE w:val="0"/>
        <w:autoSpaceDN w:val="0"/>
        <w:adjustRightInd w:val="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项目名称及包号：</w:t>
      </w:r>
      <w:r>
        <w:rPr>
          <w:rFonts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招标编号：</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金额单位：人民币（元）</w:t>
      </w:r>
      <w:r>
        <w:rPr>
          <w:rFonts w:hAnsi="宋体"/>
          <w:color w:val="000000" w:themeColor="text1"/>
          <w:sz w:val="21"/>
          <w:szCs w:val="21"/>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565"/>
        <w:gridCol w:w="1425"/>
        <w:gridCol w:w="1170"/>
        <w:gridCol w:w="145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56" w:type="dxa"/>
            <w:vAlign w:val="center"/>
          </w:tcPr>
          <w:p>
            <w:pPr>
              <w:pStyle w:val="135"/>
              <w:jc w:val="center"/>
              <w:rPr>
                <w:rFonts w:hAnsi="宋体"/>
                <w:sz w:val="21"/>
                <w:szCs w:val="21"/>
              </w:rPr>
            </w:pPr>
            <w:r>
              <w:rPr>
                <w:rFonts w:hint="eastAsia" w:hAnsi="宋体"/>
                <w:sz w:val="21"/>
                <w:szCs w:val="21"/>
              </w:rPr>
              <w:t>序号</w:t>
            </w:r>
          </w:p>
        </w:tc>
        <w:tc>
          <w:tcPr>
            <w:tcW w:w="2565" w:type="dxa"/>
            <w:vAlign w:val="center"/>
          </w:tcPr>
          <w:p>
            <w:pPr>
              <w:pStyle w:val="135"/>
              <w:jc w:val="center"/>
              <w:rPr>
                <w:rFonts w:hAnsi="宋体"/>
                <w:sz w:val="21"/>
                <w:szCs w:val="21"/>
              </w:rPr>
            </w:pPr>
            <w:r>
              <w:rPr>
                <w:rFonts w:hint="eastAsia" w:hAnsi="宋体"/>
                <w:sz w:val="21"/>
                <w:szCs w:val="21"/>
              </w:rPr>
              <w:t>货物品牌及型号</w:t>
            </w:r>
          </w:p>
        </w:tc>
        <w:tc>
          <w:tcPr>
            <w:tcW w:w="1425" w:type="dxa"/>
            <w:vAlign w:val="center"/>
          </w:tcPr>
          <w:p>
            <w:pPr>
              <w:pStyle w:val="135"/>
              <w:jc w:val="center"/>
              <w:rPr>
                <w:rFonts w:hAnsi="宋体"/>
                <w:sz w:val="21"/>
                <w:szCs w:val="21"/>
              </w:rPr>
            </w:pPr>
            <w:r>
              <w:rPr>
                <w:rFonts w:hint="eastAsia" w:hAnsi="宋体"/>
                <w:sz w:val="21"/>
                <w:szCs w:val="21"/>
              </w:rPr>
              <w:t>制造商</w:t>
            </w:r>
          </w:p>
        </w:tc>
        <w:tc>
          <w:tcPr>
            <w:tcW w:w="1170" w:type="dxa"/>
            <w:vAlign w:val="center"/>
          </w:tcPr>
          <w:p>
            <w:pPr>
              <w:pStyle w:val="135"/>
              <w:jc w:val="center"/>
              <w:rPr>
                <w:rFonts w:hAnsi="宋体"/>
                <w:sz w:val="21"/>
                <w:szCs w:val="21"/>
              </w:rPr>
            </w:pPr>
            <w:r>
              <w:rPr>
                <w:rFonts w:hint="eastAsia" w:hAnsi="宋体"/>
                <w:sz w:val="21"/>
                <w:szCs w:val="21"/>
              </w:rPr>
              <w:t>单位</w:t>
            </w:r>
          </w:p>
        </w:tc>
        <w:tc>
          <w:tcPr>
            <w:tcW w:w="1455" w:type="dxa"/>
            <w:vAlign w:val="center"/>
          </w:tcPr>
          <w:p>
            <w:pPr>
              <w:pStyle w:val="135"/>
              <w:jc w:val="center"/>
              <w:rPr>
                <w:rFonts w:hAnsi="宋体"/>
                <w:sz w:val="21"/>
                <w:szCs w:val="21"/>
              </w:rPr>
            </w:pPr>
            <w:r>
              <w:rPr>
                <w:rFonts w:hint="eastAsia" w:hAnsi="宋体"/>
                <w:sz w:val="21"/>
                <w:szCs w:val="21"/>
              </w:rPr>
              <w:t>单价</w:t>
            </w:r>
          </w:p>
        </w:tc>
        <w:tc>
          <w:tcPr>
            <w:tcW w:w="1170" w:type="dxa"/>
            <w:vAlign w:val="center"/>
          </w:tcPr>
          <w:p>
            <w:pPr>
              <w:pStyle w:val="135"/>
              <w:jc w:val="center"/>
              <w:rPr>
                <w:rFonts w:hAnsi="宋体"/>
                <w:sz w:val="21"/>
                <w:szCs w:val="21"/>
              </w:rPr>
            </w:pPr>
            <w:r>
              <w:rPr>
                <w:rFonts w:hint="eastAsia"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56" w:type="dxa"/>
            <w:vAlign w:val="center"/>
          </w:tcPr>
          <w:p>
            <w:pPr>
              <w:pStyle w:val="135"/>
              <w:jc w:val="center"/>
              <w:rPr>
                <w:rFonts w:hAnsi="宋体"/>
                <w:sz w:val="21"/>
                <w:szCs w:val="21"/>
              </w:rPr>
            </w:pPr>
            <w:r>
              <w:rPr>
                <w:rFonts w:hAnsi="宋体"/>
                <w:sz w:val="21"/>
                <w:szCs w:val="21"/>
              </w:rPr>
              <w:t>1</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6" w:type="dxa"/>
            <w:vAlign w:val="center"/>
          </w:tcPr>
          <w:p>
            <w:pPr>
              <w:pStyle w:val="135"/>
              <w:jc w:val="center"/>
              <w:rPr>
                <w:rFonts w:hAnsi="宋体"/>
                <w:sz w:val="21"/>
                <w:szCs w:val="21"/>
              </w:rPr>
            </w:pPr>
            <w:r>
              <w:rPr>
                <w:rFonts w:hAnsi="宋体"/>
                <w:sz w:val="21"/>
                <w:szCs w:val="21"/>
              </w:rPr>
              <w:t>2</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6" w:type="dxa"/>
            <w:vAlign w:val="center"/>
          </w:tcPr>
          <w:p>
            <w:pPr>
              <w:pStyle w:val="135"/>
              <w:jc w:val="center"/>
              <w:rPr>
                <w:rFonts w:hAnsi="宋体"/>
                <w:sz w:val="21"/>
                <w:szCs w:val="21"/>
              </w:rPr>
            </w:pPr>
            <w:r>
              <w:rPr>
                <w:rFonts w:hAnsi="宋体"/>
                <w:sz w:val="21"/>
                <w:szCs w:val="21"/>
              </w:rPr>
              <w:t>3</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6" w:type="dxa"/>
            <w:vAlign w:val="center"/>
          </w:tcPr>
          <w:p>
            <w:pPr>
              <w:pStyle w:val="135"/>
              <w:jc w:val="center"/>
              <w:rPr>
                <w:rFonts w:hAnsi="宋体"/>
                <w:sz w:val="21"/>
                <w:szCs w:val="21"/>
              </w:rPr>
            </w:pPr>
            <w:r>
              <w:rPr>
                <w:rFonts w:hAnsi="宋体"/>
                <w:sz w:val="21"/>
                <w:szCs w:val="21"/>
              </w:rPr>
              <w:t>4</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56" w:type="dxa"/>
            <w:vAlign w:val="center"/>
          </w:tcPr>
          <w:p>
            <w:pPr>
              <w:pStyle w:val="135"/>
              <w:jc w:val="center"/>
              <w:rPr>
                <w:rFonts w:hAnsi="宋体"/>
                <w:sz w:val="21"/>
                <w:szCs w:val="21"/>
              </w:rPr>
            </w:pPr>
            <w:r>
              <w:rPr>
                <w:rFonts w:hAnsi="宋体"/>
                <w:sz w:val="21"/>
                <w:szCs w:val="21"/>
              </w:rPr>
              <w:t>5</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56" w:type="dxa"/>
            <w:vAlign w:val="center"/>
          </w:tcPr>
          <w:p>
            <w:pPr>
              <w:pStyle w:val="135"/>
              <w:jc w:val="center"/>
              <w:rPr>
                <w:rFonts w:hAnsi="宋体"/>
                <w:sz w:val="21"/>
                <w:szCs w:val="21"/>
              </w:rPr>
            </w:pPr>
            <w:r>
              <w:rPr>
                <w:rFonts w:hint="eastAsia" w:hAnsi="宋体"/>
                <w:sz w:val="21"/>
                <w:szCs w:val="21"/>
              </w:rPr>
              <w:t>...</w:t>
            </w:r>
          </w:p>
        </w:tc>
        <w:tc>
          <w:tcPr>
            <w:tcW w:w="2565" w:type="dxa"/>
            <w:vAlign w:val="center"/>
          </w:tcPr>
          <w:p>
            <w:pPr>
              <w:pStyle w:val="135"/>
              <w:jc w:val="center"/>
              <w:rPr>
                <w:rFonts w:hAnsi="宋体"/>
                <w:sz w:val="21"/>
                <w:szCs w:val="21"/>
              </w:rPr>
            </w:pPr>
          </w:p>
        </w:tc>
        <w:tc>
          <w:tcPr>
            <w:tcW w:w="142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c>
          <w:tcPr>
            <w:tcW w:w="1455" w:type="dxa"/>
            <w:vAlign w:val="center"/>
          </w:tcPr>
          <w:p>
            <w:pPr>
              <w:pStyle w:val="135"/>
              <w:jc w:val="center"/>
              <w:rPr>
                <w:rFonts w:hAnsi="宋体"/>
                <w:sz w:val="21"/>
                <w:szCs w:val="21"/>
              </w:rPr>
            </w:pPr>
          </w:p>
        </w:tc>
        <w:tc>
          <w:tcPr>
            <w:tcW w:w="1170" w:type="dxa"/>
            <w:vAlign w:val="center"/>
          </w:tcPr>
          <w:p>
            <w:pPr>
              <w:pStyle w:val="135"/>
              <w:jc w:val="center"/>
              <w:rPr>
                <w:rFonts w:hAnsi="宋体"/>
                <w:sz w:val="21"/>
                <w:szCs w:val="21"/>
              </w:rPr>
            </w:pPr>
          </w:p>
        </w:tc>
      </w:tr>
    </w:tbl>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、应按照</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“投标须知”的要求报价。</w:t>
      </w:r>
      <w:r>
        <w:rPr>
          <w:rFonts w:hAnsi="宋体"/>
          <w:color w:val="000000" w:themeColor="text1"/>
          <w:sz w:val="21"/>
          <w:szCs w:val="21"/>
          <w14:textFill>
            <w14:solidFill>
              <w14:schemeClr w14:val="tx1"/>
            </w14:solidFill>
          </w14:textFill>
        </w:rPr>
        <w:t xml:space="preserve"> </w:t>
      </w:r>
    </w:p>
    <w:p>
      <w:pPr>
        <w:pStyle w:val="135"/>
        <w:spacing w:line="52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、总价金额与按单价汇总金额不一致的，以单价金额计算结果为准。</w:t>
      </w:r>
      <w:r>
        <w:rPr>
          <w:rFonts w:hAnsi="宋体"/>
          <w:color w:val="000000" w:themeColor="text1"/>
          <w:sz w:val="21"/>
          <w:szCs w:val="21"/>
          <w14:textFill>
            <w14:solidFill>
              <w14:schemeClr w14:val="tx1"/>
            </w14:solidFill>
          </w14:textFill>
        </w:rPr>
        <w:t xml:space="preserve"> </w:t>
      </w:r>
    </w:p>
    <w:p>
      <w:pPr>
        <w:pStyle w:val="135"/>
        <w:spacing w:line="520" w:lineRule="exact"/>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6" w:name="_Toc19907"/>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五、供应商资格证明文件</w:t>
      </w:r>
      <w:bookmarkEnd w:id="16"/>
    </w:p>
    <w:p>
      <w:pPr>
        <w:pStyle w:val="135"/>
        <w:rPr>
          <w:rFonts w:hAnsi="宋体"/>
          <w:color w:val="000000" w:themeColor="text1"/>
          <w:sz w:val="21"/>
          <w:szCs w:val="21"/>
          <w14:textFill>
            <w14:solidFill>
              <w14:schemeClr w14:val="tx1"/>
            </w14:solidFill>
          </w14:textFill>
        </w:rPr>
      </w:pP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供应商须按</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“投标须知”要求，提供下列证明材料，以满足供应商基本资格条件和特定资格条件要求：</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、法定代表人（负责人）身份证明书或附有法定代表人（负责人身份证明的授权委托书；</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、法人（负责人）、或者其他组织的营业执照、税务登记证、组织机构代码证等主体资格证明文件，自然人的身份证明；</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附3、特定资格条件证明文件；</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520" w:lineRule="exact"/>
        <w:jc w:val="left"/>
        <w:rPr>
          <w:rFonts w:ascii="宋体" w:hAnsi="宋体" w:cs="宋体"/>
          <w:color w:val="000000" w:themeColor="text1"/>
          <w:kern w:val="0"/>
          <w:szCs w:val="21"/>
          <w14:textFill>
            <w14:solidFill>
              <w14:schemeClr w14:val="tx1"/>
            </w14:solidFill>
          </w14:textFill>
        </w:rPr>
      </w:pPr>
    </w:p>
    <w:p>
      <w:pPr>
        <w:pStyle w:val="11"/>
        <w:rPr>
          <w:rFonts w:ascii="宋体" w:hAnsi="宋体" w:cs="宋体"/>
          <w:color w:val="000000" w:themeColor="text1"/>
          <w:kern w:val="0"/>
          <w:szCs w:val="21"/>
          <w14:textFill>
            <w14:solidFill>
              <w14:schemeClr w14:val="tx1"/>
            </w14:solidFill>
          </w14:textFill>
        </w:rPr>
      </w:pPr>
    </w:p>
    <w:p>
      <w:pPr>
        <w:rPr>
          <w:color w:val="000000" w:themeColor="text1"/>
          <w14:textFill>
            <w14:solidFill>
              <w14:schemeClr w14:val="tx1"/>
            </w14:solidFill>
          </w14:textFill>
        </w:rPr>
      </w:pPr>
    </w:p>
    <w:p>
      <w:pPr>
        <w:spacing w:line="490" w:lineRule="exact"/>
        <w:jc w:val="left"/>
        <w:rPr>
          <w:rFonts w:ascii="宋体" w:hAnsi="宋体"/>
          <w:color w:val="000000" w:themeColor="text1"/>
          <w:szCs w:val="21"/>
          <w14:textFill>
            <w14:solidFill>
              <w14:schemeClr w14:val="tx1"/>
            </w14:solidFill>
          </w14:textFill>
        </w:rPr>
      </w:pPr>
    </w:p>
    <w:p>
      <w:pPr>
        <w:spacing w:line="49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ascii="宋体" w:hAnsi="宋体"/>
          <w:color w:val="000000" w:themeColor="text1"/>
          <w:szCs w:val="21"/>
          <w14:textFill>
            <w14:solidFill>
              <w14:schemeClr w14:val="tx1"/>
            </w14:solidFill>
          </w14:textFill>
        </w:rPr>
        <w:t>1</w:t>
      </w:r>
    </w:p>
    <w:p>
      <w:pPr>
        <w:spacing w:line="49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授权委托书</w:t>
      </w:r>
    </w:p>
    <w:p>
      <w:pPr>
        <w:autoSpaceDE w:val="0"/>
        <w:autoSpaceDN w:val="0"/>
        <w:adjustRightInd w:val="0"/>
        <w:spacing w:line="490" w:lineRule="exact"/>
        <w:ind w:firstLine="420" w:firstLineChars="200"/>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ind w:firstLine="525" w:firstLineChars="25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本人</w:t>
      </w:r>
      <w:r>
        <w:rPr>
          <w:rFonts w:ascii="宋体" w:hAnsi="宋体" w:cs="宋体"/>
          <w:color w:val="000000" w:themeColor="text1"/>
          <w:kern w:val="0"/>
          <w:szCs w:val="21"/>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（姓名、职务）系</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（供应商名称）的法定代表人（负责人），现授权</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（姓名、职务）为我方代理人。代理人根据授权，以我方名义签署、澄清、说明、补正、递交、撤回、修改</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（项目名称及包号、招标编号）磋商响应文件、签订合同和处理有关事宜，其法律后果由我方承担。</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委托期限：</w:t>
      </w:r>
      <w:r>
        <w:rPr>
          <w:rFonts w:hint="eastAsia" w:ascii="宋体" w:hAnsi="宋体" w:cs="宋体"/>
          <w:color w:val="000000" w:themeColor="text1"/>
          <w:kern w:val="0"/>
          <w:szCs w:val="21"/>
          <w:u w:val="single"/>
          <w14:textFill>
            <w14:solidFill>
              <w14:schemeClr w14:val="tx1"/>
            </w14:solidFill>
          </w14:textFill>
        </w:rPr>
        <w:t xml:space="preserve">                    </w:t>
      </w:r>
      <w:r>
        <w:rPr>
          <w:rFonts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 xml:space="preserve"> </w:t>
      </w: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p>
    <w:p>
      <w:pPr>
        <w:autoSpaceDE w:val="0"/>
        <w:autoSpaceDN w:val="0"/>
        <w:adjustRightInd w:val="0"/>
        <w:spacing w:line="49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代理人无转委托权。</w:t>
      </w:r>
      <w:r>
        <w:rPr>
          <w:rFonts w:ascii="宋体" w:hAnsi="宋体" w:cs="宋体"/>
          <w:color w:val="000000" w:themeColor="text1"/>
          <w:kern w:val="0"/>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本授权书于</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日签字生效，特此声明。</w:t>
      </w:r>
    </w:p>
    <w:p>
      <w:pPr>
        <w:pStyle w:val="135"/>
        <w:spacing w:line="490" w:lineRule="exact"/>
        <w:rPr>
          <w:rFonts w:hAnsi="宋体"/>
          <w:color w:val="000000" w:themeColor="text1"/>
          <w:sz w:val="21"/>
          <w:szCs w:val="21"/>
          <w14:textFill>
            <w14:solidFill>
              <w14:schemeClr w14:val="tx1"/>
            </w14:solidFill>
          </w14:textFill>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jc w:val="center"/>
        </w:trPr>
        <w:tc>
          <w:tcPr>
            <w:tcW w:w="8889" w:type="dxa"/>
          </w:tcPr>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委托代理人身份证正面、反面复印件</w:t>
            </w:r>
          </w:p>
          <w:p>
            <w:pPr>
              <w:pStyle w:val="135"/>
              <w:spacing w:line="490" w:lineRule="exact"/>
              <w:jc w:val="center"/>
              <w:rPr>
                <w:rFonts w:hAnsi="宋体"/>
                <w:color w:val="000000" w:themeColor="text1"/>
                <w:sz w:val="21"/>
                <w:szCs w:val="21"/>
                <w14:textFill>
                  <w14:solidFill>
                    <w14:schemeClr w14:val="tx1"/>
                  </w14:solidFill>
                </w14:textFill>
              </w:rPr>
            </w:pPr>
          </w:p>
        </w:tc>
      </w:tr>
    </w:tbl>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rPr>
          <w:rFonts w:hAnsi="宋体" w:cs="Times New Roman"/>
          <w:b/>
          <w:bCs/>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1-1</w:t>
      </w:r>
      <w:r>
        <w:rPr>
          <w:rFonts w:hAnsi="宋体" w:cs="Times New Roman"/>
          <w:b/>
          <w:bCs/>
          <w:color w:val="000000" w:themeColor="text1"/>
          <w:sz w:val="21"/>
          <w:szCs w:val="21"/>
          <w14:textFill>
            <w14:solidFill>
              <w14:schemeClr w14:val="tx1"/>
            </w14:solidFill>
          </w14:textFill>
        </w:rPr>
        <w:t xml:space="preserve"> </w:t>
      </w:r>
    </w:p>
    <w:p>
      <w:pPr>
        <w:spacing w:line="49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法定代表人（负责人）证明书</w:t>
      </w:r>
      <w:r>
        <w:rPr>
          <w:rFonts w:ascii="宋体" w:hAnsi="宋体"/>
          <w:color w:val="000000" w:themeColor="text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注册号：</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注册地址：</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成立时间：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经营期限：</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经营范围：主营：</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；兼营：</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60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姓名：</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性别：</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年龄：</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职务：</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系</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（供应商名称）的法定代表人（负责人）。</w:t>
      </w:r>
      <w:r>
        <w:rPr>
          <w:rFonts w:hAnsi="宋体"/>
          <w:color w:val="000000" w:themeColor="text1"/>
          <w:sz w:val="21"/>
          <w:szCs w:val="21"/>
          <w14:textFill>
            <w14:solidFill>
              <w14:schemeClr w14:val="tx1"/>
            </w14:solidFill>
          </w14:textFill>
        </w:rPr>
        <w:t xml:space="preserve"> </w:t>
      </w:r>
    </w:p>
    <w:tbl>
      <w:tblPr>
        <w:tblStyle w:val="33"/>
        <w:tblW w:w="0" w:type="auto"/>
        <w:tblInd w:w="0" w:type="dxa"/>
        <w:tblLayout w:type="fixed"/>
        <w:tblCellMar>
          <w:top w:w="0" w:type="dxa"/>
          <w:left w:w="108" w:type="dxa"/>
          <w:bottom w:w="0" w:type="dxa"/>
          <w:right w:w="108" w:type="dxa"/>
        </w:tblCellMar>
      </w:tblPr>
      <w:tblGrid>
        <w:gridCol w:w="534"/>
        <w:gridCol w:w="8221"/>
        <w:gridCol w:w="962"/>
      </w:tblGrid>
      <w:tr>
        <w:tblPrEx>
          <w:tblCellMar>
            <w:top w:w="0" w:type="dxa"/>
            <w:left w:w="108" w:type="dxa"/>
            <w:bottom w:w="0" w:type="dxa"/>
            <w:right w:w="108" w:type="dxa"/>
          </w:tblCellMar>
        </w:tblPrEx>
        <w:trPr>
          <w:trHeight w:val="1207" w:hRule="atLeast"/>
        </w:trPr>
        <w:tc>
          <w:tcPr>
            <w:tcW w:w="9717" w:type="dxa"/>
            <w:gridSpan w:val="3"/>
            <w:tcBorders>
              <w:bottom w:val="nil"/>
            </w:tcBorders>
          </w:tcPr>
          <w:p>
            <w:pPr>
              <w:rPr>
                <w:rFonts w:ascii="宋体" w:hAnsi="宋体"/>
                <w:color w:val="000000" w:themeColor="text1"/>
                <w:szCs w:val="21"/>
                <w14:textFill>
                  <w14:solidFill>
                    <w14:schemeClr w14:val="tx1"/>
                  </w14:solidFill>
                </w14:textFill>
              </w:rPr>
            </w:pP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特此证明。</w:t>
            </w:r>
            <w:r>
              <w:rPr>
                <w:rFonts w:hAnsi="宋体"/>
                <w:color w:val="000000" w:themeColor="text1"/>
                <w:sz w:val="2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79" w:hRule="atLeast"/>
        </w:trPr>
        <w:tc>
          <w:tcPr>
            <w:tcW w:w="534" w:type="dxa"/>
            <w:tcBorders>
              <w:top w:val="nil"/>
              <w:bottom w:val="nil"/>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8221" w:type="dxa"/>
            <w:vMerge w:val="restart"/>
            <w:tcBorders>
              <w:top w:val="single" w:color="auto" w:sz="4" w:space="0"/>
              <w:left w:val="single" w:color="auto" w:sz="4" w:space="0"/>
              <w:right w:val="single" w:color="auto" w:sz="4" w:space="0"/>
            </w:tcBorders>
            <w:vAlign w:val="center"/>
          </w:tcPr>
          <w:p>
            <w:pPr>
              <w:pStyle w:val="135"/>
              <w:spacing w:line="560" w:lineRule="exact"/>
              <w:jc w:val="center"/>
              <w:rPr>
                <w:rFonts w:hAnsi="宋体" w:cs="Times New Roman"/>
                <w:color w:val="000000" w:themeColor="text1"/>
                <w:kern w:val="2"/>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法定代表人（负责人）身份证正面、反面复印件</w:t>
            </w:r>
          </w:p>
        </w:tc>
        <w:tc>
          <w:tcPr>
            <w:tcW w:w="962" w:type="dxa"/>
            <w:tcBorders>
              <w:top w:val="nil"/>
              <w:left w:val="single" w:color="auto" w:sz="4" w:space="0"/>
              <w:bottom w:val="nil"/>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r>
      <w:tr>
        <w:tblPrEx>
          <w:tblCellMar>
            <w:top w:w="0" w:type="dxa"/>
            <w:left w:w="108" w:type="dxa"/>
            <w:bottom w:w="0" w:type="dxa"/>
            <w:right w:w="108" w:type="dxa"/>
          </w:tblCellMar>
        </w:tblPrEx>
        <w:trPr>
          <w:trHeight w:val="2791" w:hRule="atLeast"/>
        </w:trPr>
        <w:tc>
          <w:tcPr>
            <w:tcW w:w="534" w:type="dxa"/>
            <w:tcBorders>
              <w:top w:val="nil"/>
              <w:left w:val="nil"/>
              <w:bottom w:val="nil"/>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8221" w:type="dxa"/>
            <w:vMerge w:val="continue"/>
            <w:tcBorders>
              <w:left w:val="single" w:color="auto" w:sz="4" w:space="0"/>
              <w:bottom w:val="single" w:color="auto" w:sz="4" w:space="0"/>
              <w:right w:val="single" w:color="auto" w:sz="4" w:space="0"/>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c>
          <w:tcPr>
            <w:tcW w:w="962" w:type="dxa"/>
            <w:tcBorders>
              <w:top w:val="nil"/>
              <w:left w:val="single" w:color="auto" w:sz="4" w:space="0"/>
              <w:bottom w:val="nil"/>
              <w:right w:val="nil"/>
            </w:tcBorders>
          </w:tcPr>
          <w:p>
            <w:pPr>
              <w:pStyle w:val="135"/>
              <w:spacing w:line="560" w:lineRule="exact"/>
              <w:rPr>
                <w:rFonts w:hAnsi="宋体" w:cs="Times New Roman"/>
                <w:color w:val="000000" w:themeColor="text1"/>
                <w:kern w:val="2"/>
                <w:sz w:val="21"/>
                <w:szCs w:val="21"/>
                <w14:textFill>
                  <w14:solidFill>
                    <w14:schemeClr w14:val="tx1"/>
                  </w14:solidFill>
                </w14:textFill>
              </w:rPr>
            </w:pPr>
          </w:p>
        </w:tc>
      </w:tr>
    </w:tbl>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490" w:lineRule="exact"/>
        <w:ind w:firstLine="525" w:firstLineChars="2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p>
    <w:p>
      <w:pPr>
        <w:pStyle w:val="135"/>
        <w:spacing w:line="490" w:lineRule="exact"/>
        <w:ind w:firstLine="525" w:firstLineChars="25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p>
    <w:p>
      <w:pPr>
        <w:pStyle w:val="135"/>
        <w:spacing w:line="560" w:lineRule="exact"/>
        <w:ind w:firstLine="525" w:firstLineChars="250"/>
        <w:rPr>
          <w:rFonts w:hAnsi="宋体" w:cs="Times New Roman"/>
          <w:color w:val="000000" w:themeColor="text1"/>
          <w:kern w:val="2"/>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60" w:lineRule="exact"/>
        <w:rPr>
          <w:rFonts w:hAnsi="宋体" w:cs="Times New Roman"/>
          <w:color w:val="000000" w:themeColor="text1"/>
          <w:kern w:val="2"/>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 xml:space="preserve"> </w:t>
      </w:r>
    </w:p>
    <w:p>
      <w:pPr>
        <w:spacing w:line="490" w:lineRule="exact"/>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供应商基本情况</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名称及概况：</w:t>
      </w:r>
    </w:p>
    <w:p>
      <w:pPr>
        <w:pStyle w:val="135"/>
        <w:spacing w:line="490" w:lineRule="exact"/>
        <w:ind w:firstLine="210" w:firstLineChars="100"/>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 xml:space="preserve">(1) </w:t>
      </w:r>
      <w:r>
        <w:rPr>
          <w:rFonts w:hint="eastAsia" w:hAnsi="宋体"/>
          <w:color w:val="000000" w:themeColor="text1"/>
          <w:sz w:val="21"/>
          <w:szCs w:val="21"/>
          <w14:textFill>
            <w14:solidFill>
              <w14:schemeClr w14:val="tx1"/>
            </w14:solidFill>
          </w14:textFill>
        </w:rPr>
        <w:t>供应商名称：</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ind w:firstLine="1050" w:firstLineChars="5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地址：</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1050" w:firstLineChars="5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传真</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电话号码：</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 邮政编码：</w:t>
      </w:r>
      <w:r>
        <w:rPr>
          <w:rFonts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成立或注册日期：</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(3) </w:t>
      </w:r>
      <w:r>
        <w:rPr>
          <w:rFonts w:hint="eastAsia" w:hAnsi="宋体"/>
          <w:color w:val="000000" w:themeColor="text1"/>
          <w:sz w:val="21"/>
          <w:szCs w:val="21"/>
          <w14:textFill>
            <w14:solidFill>
              <w14:schemeClr w14:val="tx1"/>
            </w14:solidFill>
          </w14:textFill>
        </w:rPr>
        <w:t>注册号码：</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经营范围：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ind w:left="315" w:hanging="315" w:hanging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3．开立基本帐户银行的名称和地址：</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（提供注册地人民银行开户许可证复印件）</w:t>
      </w:r>
    </w:p>
    <w:p>
      <w:pPr>
        <w:pStyle w:val="135"/>
        <w:spacing w:line="490" w:lineRule="exact"/>
        <w:ind w:left="315" w:hanging="315" w:hangingChars="15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4．提供营业执照副本、税务登记证副本、组织机构代码证副本</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自然人为供应商时，提供自然人身份证明</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等证明材料的复印件。</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兹声明上述数据和资料是真实、正确的，我们同意遵照贵方要求出示有关证明文件。</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附件3</w:t>
      </w:r>
    </w:p>
    <w:p>
      <w:pPr>
        <w:spacing w:line="490" w:lineRule="exact"/>
        <w:jc w:val="center"/>
        <w:rPr>
          <w:rFonts w:ascii="宋体" w:hAnsi="宋体"/>
          <w:color w:val="FF0000"/>
          <w:szCs w:val="21"/>
        </w:rPr>
      </w:pPr>
      <w:r>
        <w:rPr>
          <w:rFonts w:hint="eastAsia" w:ascii="宋体" w:hAnsi="宋体"/>
          <w:b/>
          <w:color w:val="FF0000"/>
          <w:szCs w:val="21"/>
        </w:rPr>
        <w:t>特定资格证明材料</w:t>
      </w:r>
      <w:r>
        <w:rPr>
          <w:rFonts w:ascii="宋体" w:hAnsi="宋体"/>
          <w:color w:val="FF0000"/>
          <w:szCs w:val="21"/>
        </w:rPr>
        <w:t xml:space="preserve"> </w:t>
      </w:r>
    </w:p>
    <w:p>
      <w:pPr>
        <w:pStyle w:val="135"/>
        <w:spacing w:line="490" w:lineRule="exact"/>
        <w:rPr>
          <w:rFonts w:hAnsi="宋体"/>
          <w:color w:val="FF0000"/>
          <w:sz w:val="21"/>
          <w:szCs w:val="21"/>
        </w:rPr>
      </w:pPr>
    </w:p>
    <w:p>
      <w:pPr>
        <w:pStyle w:val="135"/>
        <w:spacing w:line="490" w:lineRule="exact"/>
        <w:ind w:firstLine="495" w:firstLineChars="236"/>
        <w:rPr>
          <w:rFonts w:hAnsi="宋体"/>
          <w:color w:val="FF0000"/>
          <w:sz w:val="21"/>
          <w:szCs w:val="21"/>
        </w:rPr>
      </w:pPr>
      <w:r>
        <w:rPr>
          <w:rFonts w:hint="eastAsia" w:hAnsi="宋体"/>
          <w:color w:val="FF0000"/>
          <w:sz w:val="21"/>
          <w:szCs w:val="21"/>
        </w:rPr>
        <w:t>提供 “投标须知”规定的特定资格（包括供应商从事投标货物的生产、销售或经营、安装、集成等）证明材料的复印件（盖公章）</w:t>
      </w:r>
    </w:p>
    <w:p>
      <w:pPr>
        <w:pStyle w:val="135"/>
        <w:spacing w:line="490" w:lineRule="exact"/>
        <w:ind w:firstLine="495" w:firstLineChars="236"/>
        <w:rPr>
          <w:rFonts w:hAnsi="宋体"/>
          <w:color w:val="FF0000"/>
          <w:sz w:val="21"/>
          <w:szCs w:val="21"/>
        </w:rPr>
      </w:pPr>
    </w:p>
    <w:p>
      <w:pPr>
        <w:spacing w:line="490" w:lineRule="exact"/>
        <w:jc w:val="center"/>
        <w:outlineLvl w:val="1"/>
        <w:rPr>
          <w:rFonts w:ascii="宋体" w:hAnsi="宋体"/>
          <w:b/>
          <w:color w:val="FF0000"/>
          <w:szCs w:val="21"/>
        </w:rPr>
      </w:pPr>
      <w:bookmarkStart w:id="17" w:name="_Toc28549"/>
    </w:p>
    <w:p>
      <w:pPr>
        <w:spacing w:line="490" w:lineRule="exact"/>
        <w:jc w:val="center"/>
        <w:outlineLvl w:val="1"/>
        <w:rPr>
          <w:rFonts w:ascii="宋体" w:hAnsi="宋体"/>
          <w:b/>
          <w:color w:val="FF0000"/>
          <w:szCs w:val="21"/>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pPr>
    </w:p>
    <w:p>
      <w:pPr>
        <w:spacing w:line="490" w:lineRule="exact"/>
        <w:jc w:val="center"/>
        <w:outlineLvl w:val="1"/>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六、商务响应说明书</w:t>
      </w:r>
      <w:bookmarkEnd w:id="17"/>
    </w:p>
    <w:p>
      <w:pPr>
        <w:pStyle w:val="135"/>
        <w:jc w:val="center"/>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按照磋商文件的商务要求编制商务响应说明书，格式不限。</w:t>
      </w:r>
      <w:r>
        <w:rPr>
          <w:rFonts w:hAnsi="宋体"/>
          <w:color w:val="000000" w:themeColor="text1"/>
          <w:sz w:val="21"/>
          <w:szCs w:val="21"/>
          <w14:textFill>
            <w14:solidFill>
              <w14:schemeClr w14:val="tx1"/>
            </w14:solidFill>
          </w14:textFill>
        </w:rPr>
        <w:t xml:space="preserve"> </w:t>
      </w:r>
    </w:p>
    <w:p>
      <w:pPr>
        <w:pStyle w:val="135"/>
        <w:spacing w:line="490" w:lineRule="exact"/>
        <w:ind w:firstLine="210" w:firstLineChars="1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但内容至少应包括如下：</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1. </w:t>
      </w:r>
      <w:r>
        <w:rPr>
          <w:rFonts w:hint="eastAsia" w:hAnsi="宋体"/>
          <w:color w:val="000000" w:themeColor="text1"/>
          <w:sz w:val="21"/>
          <w:szCs w:val="21"/>
          <w14:textFill>
            <w14:solidFill>
              <w14:schemeClr w14:val="tx1"/>
            </w14:solidFill>
          </w14:textFill>
        </w:rPr>
        <w:t>投标报价所包含的全部货物内容；</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交货期；</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4. </w:t>
      </w:r>
      <w:r>
        <w:rPr>
          <w:rFonts w:hint="eastAsia" w:hAnsi="宋体"/>
          <w:color w:val="000000" w:themeColor="text1"/>
          <w:sz w:val="21"/>
          <w:szCs w:val="21"/>
          <w14:textFill>
            <w14:solidFill>
              <w14:schemeClr w14:val="tx1"/>
            </w14:solidFill>
          </w14:textFill>
        </w:rPr>
        <w:t>交货地点；</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5. </w:t>
      </w:r>
      <w:r>
        <w:rPr>
          <w:rFonts w:hint="eastAsia" w:hAnsi="宋体"/>
          <w:color w:val="000000" w:themeColor="text1"/>
          <w:sz w:val="21"/>
          <w:szCs w:val="21"/>
          <w14:textFill>
            <w14:solidFill>
              <w14:schemeClr w14:val="tx1"/>
            </w14:solidFill>
          </w14:textFill>
        </w:rPr>
        <w:t>付款条件和付款方式；</w:t>
      </w:r>
      <w:r>
        <w:rPr>
          <w:rFonts w:hAnsi="宋体"/>
          <w:color w:val="000000" w:themeColor="text1"/>
          <w:sz w:val="21"/>
          <w:szCs w:val="21"/>
          <w14:textFill>
            <w14:solidFill>
              <w14:schemeClr w14:val="tx1"/>
            </w14:solidFill>
          </w14:textFill>
        </w:rPr>
        <w:t xml:space="preserve"> </w:t>
      </w:r>
    </w:p>
    <w:p>
      <w:pPr>
        <w:pStyle w:val="135"/>
        <w:spacing w:line="490" w:lineRule="exact"/>
        <w:ind w:firstLine="315" w:firstLineChars="15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6. </w:t>
      </w:r>
      <w:r>
        <w:rPr>
          <w:rFonts w:hint="eastAsia" w:hAnsi="宋体"/>
          <w:color w:val="000000" w:themeColor="text1"/>
          <w:sz w:val="21"/>
          <w:szCs w:val="21"/>
          <w14:textFill>
            <w14:solidFill>
              <w14:schemeClr w14:val="tx1"/>
            </w14:solidFill>
          </w14:textFill>
        </w:rPr>
        <w:t>验收依据及验收方式；</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pStyle w:val="135"/>
        <w:spacing w:line="520" w:lineRule="exact"/>
        <w:rPr>
          <w:rFonts w:hAnsi="宋体"/>
          <w:color w:val="000000" w:themeColor="text1"/>
          <w:sz w:val="21"/>
          <w:szCs w:val="21"/>
          <w14:textFill>
            <w14:solidFill>
              <w14:schemeClr w14:val="tx1"/>
            </w14:solidFill>
          </w14:textFill>
        </w:rPr>
      </w:pPr>
    </w:p>
    <w:p>
      <w:pPr>
        <w:spacing w:line="490" w:lineRule="exact"/>
        <w:jc w:val="center"/>
        <w:outlineLvl w:val="1"/>
        <w:rPr>
          <w:rFonts w:ascii="宋体" w:hAnsi="宋体"/>
          <w:color w:val="000000" w:themeColor="text1"/>
          <w:szCs w:val="21"/>
          <w14:textFill>
            <w14:solidFill>
              <w14:schemeClr w14:val="tx1"/>
            </w14:solidFill>
          </w14:textFill>
        </w:rPr>
      </w:pPr>
      <w:bookmarkStart w:id="18" w:name="_Toc15453"/>
      <w:r>
        <w:rPr>
          <w:rFonts w:hint="eastAsia" w:ascii="宋体" w:hAnsi="宋体"/>
          <w:b/>
          <w:color w:val="000000" w:themeColor="text1"/>
          <w:szCs w:val="21"/>
          <w14:textFill>
            <w14:solidFill>
              <w14:schemeClr w14:val="tx1"/>
            </w14:solidFill>
          </w14:textFill>
        </w:rPr>
        <w:t>七、投标方案说明书</w:t>
      </w:r>
      <w:bookmarkEnd w:id="18"/>
    </w:p>
    <w:p>
      <w:pPr>
        <w:pStyle w:val="135"/>
        <w:jc w:val="center"/>
        <w:rPr>
          <w:rFonts w:hAnsi="宋体"/>
          <w:color w:val="000000" w:themeColor="text1"/>
          <w:sz w:val="21"/>
          <w:szCs w:val="21"/>
          <w14:textFill>
            <w14:solidFill>
              <w14:schemeClr w14:val="tx1"/>
            </w14:solidFill>
          </w14:textFill>
        </w:rPr>
      </w:pP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按照磋商文件的要求编制的投标方案说明书，内容包括的详细说明、内容响应表、质量保证和售后服务承诺等。至少应包括如下：</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）技术说明书</w:t>
      </w:r>
      <w:r>
        <w:rPr>
          <w:rFonts w:hAnsi="宋体"/>
          <w:color w:val="000000" w:themeColor="text1"/>
          <w:sz w:val="21"/>
          <w:szCs w:val="21"/>
          <w14:textFill>
            <w14:solidFill>
              <w14:schemeClr w14:val="tx1"/>
            </w14:solidFill>
          </w14:textFill>
        </w:rPr>
        <w:t xml:space="preserve"> </w:t>
      </w:r>
    </w:p>
    <w:p>
      <w:pPr>
        <w:pStyle w:val="135"/>
        <w:spacing w:line="490" w:lineRule="exact"/>
        <w:ind w:firstLine="630" w:firstLineChars="3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1.1</w:t>
      </w:r>
      <w:r>
        <w:rPr>
          <w:rFonts w:hint="eastAsia" w:hAnsi="宋体"/>
          <w:color w:val="000000" w:themeColor="text1"/>
          <w:sz w:val="21"/>
          <w:szCs w:val="21"/>
          <w14:textFill>
            <w14:solidFill>
              <w14:schemeClr w14:val="tx1"/>
            </w14:solidFill>
          </w14:textFill>
        </w:rPr>
        <w:t>所投内容的详细清单；</w:t>
      </w:r>
      <w:r>
        <w:rPr>
          <w:rFonts w:hAnsi="宋体"/>
          <w:color w:val="000000" w:themeColor="text1"/>
          <w:sz w:val="21"/>
          <w:szCs w:val="21"/>
          <w14:textFill>
            <w14:solidFill>
              <w14:schemeClr w14:val="tx1"/>
            </w14:solidFill>
          </w14:textFill>
        </w:rPr>
        <w:t xml:space="preserve"> </w:t>
      </w:r>
    </w:p>
    <w:p>
      <w:pPr>
        <w:pStyle w:val="135"/>
        <w:spacing w:line="490" w:lineRule="exact"/>
        <w:ind w:firstLine="630" w:firstLineChars="3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1.2</w:t>
      </w:r>
      <w:r>
        <w:rPr>
          <w:rFonts w:hint="eastAsia" w:hAnsi="宋体"/>
          <w:color w:val="000000" w:themeColor="text1"/>
          <w:sz w:val="21"/>
          <w:szCs w:val="21"/>
          <w14:textFill>
            <w14:solidFill>
              <w14:schemeClr w14:val="tx1"/>
            </w14:solidFill>
          </w14:textFill>
        </w:rPr>
        <w:t>填写技术规格响应表，并提供支持文件。（如果有的话）</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）服务内容一览表。</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 xml:space="preserve"> 服务内容的详细说明。</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4）服务内容优于或偏离技术要求的指标（如果有的话）。</w:t>
      </w:r>
      <w:r>
        <w:rPr>
          <w:rFonts w:hAnsi="宋体"/>
          <w:color w:val="000000" w:themeColor="text1"/>
          <w:sz w:val="21"/>
          <w:szCs w:val="21"/>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5）质量保证措施、培训方案、售后服务的内容及承诺。</w:t>
      </w: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s="Times New Roman"/>
          <w:color w:val="000000" w:themeColor="text1"/>
          <w:kern w:val="2"/>
          <w:sz w:val="2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1</w:t>
      </w:r>
      <w:r>
        <w:rPr>
          <w:rFonts w:hAnsi="宋体"/>
          <w:color w:val="000000" w:themeColor="text1"/>
          <w:sz w:val="21"/>
          <w:szCs w:val="21"/>
          <w14:textFill>
            <w14:solidFill>
              <w14:schemeClr w14:val="tx1"/>
            </w14:solidFill>
          </w14:textFill>
        </w:rPr>
        <w:t xml:space="preserve"> </w:t>
      </w: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s="Times New Roman"/>
          <w:b/>
          <w:color w:val="000000" w:themeColor="text1"/>
          <w:kern w:val="2"/>
          <w:sz w:val="21"/>
          <w:szCs w:val="21"/>
          <w14:textFill>
            <w14:solidFill>
              <w14:schemeClr w14:val="tx1"/>
            </w14:solidFill>
          </w14:textFill>
        </w:rPr>
        <w:t>技术规格响应表</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  </w:t>
      </w:r>
    </w:p>
    <w:p>
      <w:pPr>
        <w:pStyle w:val="135"/>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2480"/>
        <w:gridCol w:w="2410"/>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服务项目</w:t>
            </w:r>
          </w:p>
          <w:p>
            <w:pPr>
              <w:jc w:val="center"/>
              <w:rPr>
                <w:rFonts w:ascii="宋体" w:hAnsi="宋体"/>
                <w:sz w:val="24"/>
              </w:rPr>
            </w:pPr>
            <w:r>
              <w:rPr>
                <w:rFonts w:hint="eastAsia" w:ascii="宋体" w:hAnsi="宋体"/>
                <w:sz w:val="24"/>
              </w:rPr>
              <w:t>名称</w:t>
            </w:r>
          </w:p>
        </w:tc>
        <w:tc>
          <w:tcPr>
            <w:tcW w:w="248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r>
              <w:rPr>
                <w:rFonts w:hint="eastAsia" w:ascii="宋体" w:hAnsi="宋体"/>
                <w:sz w:val="24"/>
              </w:rPr>
              <w:t>竞争性磋商文件</w:t>
            </w:r>
          </w:p>
          <w:p>
            <w:pPr>
              <w:jc w:val="center"/>
              <w:rPr>
                <w:rFonts w:ascii="宋体" w:hAnsi="宋体"/>
                <w:sz w:val="24"/>
              </w:rPr>
            </w:pPr>
            <w:r>
              <w:rPr>
                <w:rFonts w:hint="eastAsia" w:ascii="宋体" w:hAnsi="宋体"/>
                <w:sz w:val="24"/>
              </w:rPr>
              <w:t>技术规格</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r>
              <w:rPr>
                <w:rFonts w:hint="eastAsia" w:ascii="宋体" w:hAnsi="宋体"/>
                <w:sz w:val="24"/>
              </w:rPr>
              <w:t>竞争性磋商响应文件</w:t>
            </w:r>
          </w:p>
          <w:p>
            <w:pPr>
              <w:jc w:val="center"/>
              <w:rPr>
                <w:rFonts w:ascii="宋体" w:hAnsi="宋体"/>
                <w:sz w:val="24"/>
              </w:rPr>
            </w:pPr>
            <w:r>
              <w:rPr>
                <w:rFonts w:hint="eastAsia" w:ascii="宋体" w:hAnsi="宋体"/>
                <w:sz w:val="24"/>
              </w:rPr>
              <w:t>投标规格</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偏 离</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2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8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bl>
    <w:p>
      <w:pPr>
        <w:pStyle w:val="135"/>
        <w:spacing w:line="56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注</w:t>
      </w:r>
      <w:r>
        <w:rPr>
          <w:rFonts w:hAnsi="宋体"/>
          <w:color w:val="000000" w:themeColor="text1"/>
          <w:sz w:val="21"/>
          <w:szCs w:val="21"/>
          <w14:textFill>
            <w14:solidFill>
              <w14:schemeClr w14:val="tx1"/>
            </w14:solidFill>
          </w14:textFill>
        </w:rPr>
        <w:t xml:space="preserve">: 1. </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指磋商文件中的技术规格</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参数</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，供应商应按照磋商文件中的内容逐条抄写。</w:t>
      </w:r>
      <w:r>
        <w:rPr>
          <w:rFonts w:hAnsi="宋体"/>
          <w:color w:val="000000" w:themeColor="text1"/>
          <w:sz w:val="21"/>
          <w:szCs w:val="21"/>
          <w14:textFill>
            <w14:solidFill>
              <w14:schemeClr w14:val="tx1"/>
            </w14:solidFill>
          </w14:textFill>
        </w:rPr>
        <w:t xml:space="preserve"> </w:t>
      </w:r>
    </w:p>
    <w:p>
      <w:pPr>
        <w:pStyle w:val="135"/>
        <w:spacing w:line="56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2. </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2</w:t>
      </w:r>
      <w:r>
        <w:rPr>
          <w:rFonts w:hint="eastAsia" w:hAnsi="宋体"/>
          <w:color w:val="000000" w:themeColor="text1"/>
          <w:sz w:val="21"/>
          <w:szCs w:val="21"/>
          <w14:textFill>
            <w14:solidFill>
              <w14:schemeClr w14:val="tx1"/>
            </w14:solidFill>
          </w14:textFill>
        </w:rPr>
        <w:t>指供应商拟提供的投标货物的功能及技术规格</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参数</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，供应商应逐条如实填写并提供相应的支持文件。</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560" w:lineRule="exac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p>
    <w:p>
      <w:pPr>
        <w:pStyle w:val="135"/>
        <w:spacing w:line="560" w:lineRule="exact"/>
        <w:rPr>
          <w:rFonts w:hAnsi="宋体"/>
          <w:color w:val="000000" w:themeColor="text1"/>
          <w:sz w:val="21"/>
          <w:szCs w:val="21"/>
          <w14:textFill>
            <w14:solidFill>
              <w14:schemeClr w14:val="tx1"/>
            </w14:solidFill>
          </w14:textFill>
        </w:rPr>
      </w:pPr>
      <w:r>
        <w:rPr>
          <w:rFonts w:hint="eastAsia" w:hAnsi="宋体" w:cs="Times New Roman"/>
          <w:color w:val="000000" w:themeColor="text1"/>
          <w:kern w:val="2"/>
          <w:sz w:val="21"/>
          <w:szCs w:val="21"/>
          <w14:textFill>
            <w14:solidFill>
              <w14:schemeClr w14:val="tx1"/>
            </w14:solidFill>
          </w14:textFill>
        </w:rPr>
        <w:t>附件</w:t>
      </w:r>
      <w:r>
        <w:rPr>
          <w:rFonts w:hAnsi="宋体" w:cs="Times New Roman"/>
          <w:color w:val="000000" w:themeColor="text1"/>
          <w:kern w:val="2"/>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 xml:space="preserve"> </w:t>
      </w:r>
    </w:p>
    <w:p>
      <w:pPr>
        <w:pStyle w:val="135"/>
        <w:spacing w:line="490" w:lineRule="exact"/>
        <w:jc w:val="center"/>
        <w:rPr>
          <w:rFonts w:hAnsi="宋体"/>
          <w:color w:val="000000" w:themeColor="text1"/>
          <w:sz w:val="21"/>
          <w:szCs w:val="21"/>
          <w14:textFill>
            <w14:solidFill>
              <w14:schemeClr w14:val="tx1"/>
            </w14:solidFill>
          </w14:textFill>
        </w:rPr>
      </w:pPr>
      <w:r>
        <w:rPr>
          <w:rFonts w:hint="eastAsia" w:hAnsi="宋体" w:cs="Times New Roman"/>
          <w:b/>
          <w:color w:val="000000" w:themeColor="text1"/>
          <w:kern w:val="2"/>
          <w:sz w:val="21"/>
          <w:szCs w:val="21"/>
          <w14:textFill>
            <w14:solidFill>
              <w14:schemeClr w14:val="tx1"/>
            </w14:solidFill>
          </w14:textFill>
        </w:rPr>
        <w:t>供货一览表</w:t>
      </w: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ind w:firstLine="420" w:firstLineChars="20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项目名称及包号：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ind w:firstLine="420" w:firstLineChars="200"/>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招标编号：</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p>
    <w:p>
      <w:pPr>
        <w:pStyle w:val="135"/>
        <w:spacing w:line="300" w:lineRule="exac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 xml:space="preserve">           </w:t>
      </w:r>
    </w:p>
    <w:p>
      <w:pPr>
        <w:pStyle w:val="135"/>
        <w:spacing w:line="300" w:lineRule="exact"/>
        <w:rPr>
          <w:rFonts w:hAnsi="宋体"/>
          <w:color w:val="000000" w:themeColor="text1"/>
          <w:sz w:val="21"/>
          <w:szCs w:val="21"/>
          <w14:textFill>
            <w14:solidFill>
              <w14:schemeClr w14:val="tx1"/>
            </w14:solidFill>
          </w14:textFill>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272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序号</w:t>
            </w:r>
          </w:p>
        </w:tc>
        <w:tc>
          <w:tcPr>
            <w:tcW w:w="272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内容</w:t>
            </w:r>
          </w:p>
        </w:tc>
        <w:tc>
          <w:tcPr>
            <w:tcW w:w="170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地点</w:t>
            </w:r>
          </w:p>
        </w:tc>
        <w:tc>
          <w:tcPr>
            <w:tcW w:w="1705" w:type="dxa"/>
            <w:vAlign w:val="center"/>
          </w:tcPr>
          <w:p>
            <w:pPr>
              <w:pStyle w:val="135"/>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8" w:type="dxa"/>
            <w:vAlign w:val="center"/>
          </w:tcPr>
          <w:p>
            <w:pPr>
              <w:pStyle w:val="135"/>
              <w:jc w:val="center"/>
              <w:rPr>
                <w:rFonts w:hAnsi="宋体"/>
                <w:color w:val="000000" w:themeColor="text1"/>
                <w:sz w:val="21"/>
                <w:szCs w:val="21"/>
                <w14:textFill>
                  <w14:solidFill>
                    <w14:schemeClr w14:val="tx1"/>
                  </w14:solidFill>
                </w14:textFill>
              </w:rPr>
            </w:pPr>
          </w:p>
        </w:tc>
        <w:tc>
          <w:tcPr>
            <w:tcW w:w="272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c>
          <w:tcPr>
            <w:tcW w:w="1705" w:type="dxa"/>
            <w:vAlign w:val="center"/>
          </w:tcPr>
          <w:p>
            <w:pPr>
              <w:pStyle w:val="135"/>
              <w:jc w:val="center"/>
              <w:rPr>
                <w:rFonts w:hAnsi="宋体"/>
                <w:color w:val="000000" w:themeColor="text1"/>
                <w:sz w:val="21"/>
                <w:szCs w:val="21"/>
                <w14:textFill>
                  <w14:solidFill>
                    <w14:schemeClr w14:val="tx1"/>
                  </w14:solidFill>
                </w14:textFill>
              </w:rPr>
            </w:pPr>
          </w:p>
        </w:tc>
      </w:tr>
    </w:tbl>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rPr>
          <w:rFonts w:hAnsi="宋体"/>
          <w:color w:val="000000" w:themeColor="text1"/>
          <w:sz w:val="21"/>
          <w:szCs w:val="21"/>
          <w14:textFill>
            <w14:solidFill>
              <w14:schemeClr w14:val="tx1"/>
            </w14:solidFill>
          </w14:textFill>
        </w:rPr>
      </w:pPr>
    </w:p>
    <w:p>
      <w:pPr>
        <w:pStyle w:val="135"/>
        <w:spacing w:line="490" w:lineRule="exact"/>
        <w:ind w:left="283" w:leftChars="135"/>
        <w:rPr>
          <w:rFonts w:hAnsi="宋体"/>
          <w:color w:val="000000" w:themeColor="text1"/>
          <w:sz w:val="21"/>
          <w:szCs w:val="21"/>
          <w:u w:val="single"/>
          <w14:textFill>
            <w14:solidFill>
              <w14:schemeClr w14:val="tx1"/>
            </w14:solidFill>
          </w14:textFill>
        </w:rPr>
      </w:pPr>
      <w:r>
        <w:rPr>
          <w:rFonts w:hint="eastAsia" w:hAnsi="宋体"/>
          <w:color w:val="000000" w:themeColor="text1"/>
          <w:sz w:val="21"/>
          <w:szCs w:val="21"/>
          <w14:textFill>
            <w14:solidFill>
              <w14:schemeClr w14:val="tx1"/>
            </w14:solidFill>
          </w14:textFill>
        </w:rPr>
        <w:t>供应商名称（盖公章）：</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p>
    <w:p>
      <w:pPr>
        <w:pStyle w:val="135"/>
        <w:spacing w:line="490" w:lineRule="exact"/>
        <w:ind w:left="283" w:leftChars="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法定代表人（负责人）或其授权的代理人</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签字</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14:textFill>
            <w14:solidFill>
              <w14:schemeClr w14:val="tx1"/>
            </w14:solidFill>
          </w14:textFill>
        </w:rPr>
        <w:t>_</w:t>
      </w:r>
      <w:r>
        <w:rPr>
          <w:rFonts w:hint="eastAsia" w:hAnsi="宋体"/>
          <w:color w:val="000000" w:themeColor="text1"/>
          <w:sz w:val="21"/>
          <w:szCs w:val="21"/>
          <w14:textFill>
            <w14:solidFill>
              <w14:schemeClr w14:val="tx1"/>
            </w14:solidFill>
          </w14:textFill>
        </w:rPr>
        <w:t xml:space="preserve">         </w:t>
      </w:r>
      <w:r>
        <w:rPr>
          <w:rFonts w:hAnsi="宋体"/>
          <w:color w:val="000000" w:themeColor="text1"/>
          <w:sz w:val="21"/>
          <w:szCs w:val="21"/>
          <w14:textFill>
            <w14:solidFill>
              <w14:schemeClr w14:val="tx1"/>
            </w14:solidFill>
          </w14:textFill>
        </w:rPr>
        <w:t xml:space="preserve"> </w:t>
      </w:r>
    </w:p>
    <w:p>
      <w:pPr>
        <w:pStyle w:val="135"/>
        <w:spacing w:line="490" w:lineRule="exact"/>
        <w:ind w:left="283" w:leftChars="1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日期：</w:t>
      </w:r>
      <w:r>
        <w:rPr>
          <w:rFonts w:hint="eastAsia" w:hAnsi="宋体"/>
          <w:color w:val="000000" w:themeColor="text1"/>
          <w:sz w:val="21"/>
          <w:szCs w:val="21"/>
          <w:u w:val="single"/>
          <w14:textFill>
            <w14:solidFill>
              <w14:schemeClr w14:val="tx1"/>
            </w14:solidFill>
          </w14:textFill>
        </w:rPr>
        <w:t xml:space="preserve">         </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年</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月</w:t>
      </w:r>
      <w:r>
        <w:rPr>
          <w:rFonts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u w:val="single"/>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日</w:t>
      </w: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rPr>
          <w:rFonts w:ascii="宋体" w:hAnsi="宋体" w:cs="宋体"/>
          <w:color w:val="000000" w:themeColor="text1"/>
          <w:kern w:val="0"/>
          <w:szCs w:val="21"/>
          <w14:textFill>
            <w14:solidFill>
              <w14:schemeClr w14:val="tx1"/>
            </w14:solidFill>
          </w14:textFill>
        </w:rPr>
      </w:pPr>
    </w:p>
    <w:p>
      <w:pPr>
        <w:spacing w:line="490" w:lineRule="exact"/>
        <w:jc w:val="center"/>
        <w:outlineLvl w:val="1"/>
        <w:rPr>
          <w:rFonts w:ascii="宋体" w:hAnsi="宋体"/>
          <w:b/>
          <w:color w:val="000000" w:themeColor="text1"/>
          <w:szCs w:val="21"/>
          <w14:textFill>
            <w14:solidFill>
              <w14:schemeClr w14:val="tx1"/>
            </w14:solidFill>
          </w14:textFill>
        </w:rPr>
        <w:sectPr>
          <w:pgSz w:w="11906" w:h="16838"/>
          <w:pgMar w:top="1440" w:right="1274" w:bottom="1440" w:left="1418" w:header="851" w:footer="992" w:gutter="0"/>
          <w:cols w:space="720" w:num="1"/>
          <w:docGrid w:type="linesAndChars" w:linePitch="312" w:charSpace="0"/>
        </w:sectPr>
      </w:pPr>
      <w:bookmarkStart w:id="19" w:name="_Toc4200"/>
    </w:p>
    <w:p>
      <w:pPr>
        <w:spacing w:line="490" w:lineRule="exact"/>
        <w:jc w:val="center"/>
        <w:outlineLvl w:val="1"/>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八、供应商认为有必须提供的其他资料</w:t>
      </w:r>
      <w:bookmarkEnd w:id="19"/>
    </w:p>
    <w:p>
      <w:pPr>
        <w:pStyle w:val="135"/>
        <w:rPr>
          <w:rFonts w:hAnsi="宋体"/>
          <w:color w:val="000000" w:themeColor="text1"/>
          <w:sz w:val="21"/>
          <w:szCs w:val="21"/>
          <w14:textFill>
            <w14:solidFill>
              <w14:schemeClr w14:val="tx1"/>
            </w14:solidFill>
          </w14:textFill>
        </w:rPr>
      </w:pPr>
    </w:p>
    <w:p>
      <w:pPr>
        <w:pStyle w:val="135"/>
        <w:jc w:val="center"/>
        <w:outlineLvl w:val="0"/>
        <w:rPr>
          <w:rFonts w:hAnsi="宋体"/>
          <w:color w:val="000000" w:themeColor="text1"/>
          <w:sz w:val="21"/>
          <w:szCs w:val="21"/>
          <w14:textFill>
            <w14:solidFill>
              <w14:schemeClr w14:val="tx1"/>
            </w14:solidFill>
          </w14:textFill>
        </w:rPr>
      </w:pPr>
      <w:bookmarkStart w:id="20" w:name="_Toc12885"/>
      <w:bookmarkStart w:id="21" w:name="_Toc12738"/>
      <w:r>
        <w:rPr>
          <w:rFonts w:hint="eastAsia" w:hAnsi="宋体"/>
          <w:color w:val="000000" w:themeColor="text1"/>
          <w:sz w:val="21"/>
          <w:szCs w:val="21"/>
          <w14:textFill>
            <w14:solidFill>
              <w14:schemeClr w14:val="tx1"/>
            </w14:solidFill>
          </w14:textFill>
        </w:rPr>
        <w:t>（格式自定）</w:t>
      </w:r>
      <w:bookmarkEnd w:id="20"/>
      <w:bookmarkEnd w:id="21"/>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pStyle w:val="135"/>
        <w:rPr>
          <w:rFonts w:hAnsi="宋体"/>
          <w:color w:val="000000" w:themeColor="text1"/>
          <w:sz w:val="2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sectPr>
      <w:pgSz w:w="11906" w:h="16838"/>
      <w:pgMar w:top="1440" w:right="1274"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monospace">
    <w:altName w:val="Segoe Print"/>
    <w:panose1 w:val="00000000000000000000"/>
    <w:charset w:val="00"/>
    <w:family w:val="auto"/>
    <w:pitch w:val="default"/>
    <w:sig w:usb0="00000000" w:usb1="00000000" w:usb2="00000000" w:usb3="00000000" w:csb0="00040001" w:csb1="00000000"/>
  </w:font>
  <w:font w:name="Calibri Light">
    <w:altName w:val="Segoe Print"/>
    <w:panose1 w:val="020F0302020204030204"/>
    <w:charset w:val="00"/>
    <w:family w:val="swiss"/>
    <w:pitch w:val="default"/>
    <w:sig w:usb0="00000000" w:usb1="00000000" w:usb2="00000009" w:usb3="00000000" w:csb0="000001FF" w:csb1="00000000"/>
  </w:font>
  <w:font w:name="华文中宋">
    <w:altName w:val="宋体"/>
    <w:panose1 w:val="02010600040101010101"/>
    <w:charset w:val="86"/>
    <w:family w:val="auto"/>
    <w:pitch w:val="default"/>
    <w:sig w:usb0="00000000" w:usb1="00000000" w:usb2="00000010" w:usb3="00000000" w:csb0="0004009F" w:csb1="00000000"/>
  </w:font>
  <w:font w:name="Syntax">
    <w:altName w:val="Segoe Print"/>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New York">
    <w:altName w:val="DejaVu Math TeX Gyre"/>
    <w:panose1 w:val="02040503060506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870" w:firstLineChars="2150"/>
    </w:pPr>
    <w:r>
      <w:fldChar w:fldCharType="begin"/>
    </w:r>
    <w:r>
      <w:instrText xml:space="preserve"> PAGE   \* MERGEFORMAT </w:instrText>
    </w:r>
    <w:r>
      <w:fldChar w:fldCharType="separate"/>
    </w:r>
    <w:r>
      <w:t>18</w: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D04DF"/>
    <w:multiLevelType w:val="singleLevel"/>
    <w:tmpl w:val="BA9D04DF"/>
    <w:lvl w:ilvl="0" w:tentative="0">
      <w:start w:val="8"/>
      <w:numFmt w:val="chineseCounting"/>
      <w:suff w:val="nothing"/>
      <w:lvlText w:val="%1、"/>
      <w:lvlJc w:val="left"/>
      <w:rPr>
        <w:rFonts w:hint="eastAsia"/>
      </w:rPr>
    </w:lvl>
  </w:abstractNum>
  <w:abstractNum w:abstractNumId="1">
    <w:nsid w:val="DC0F5799"/>
    <w:multiLevelType w:val="singleLevel"/>
    <w:tmpl w:val="DC0F5799"/>
    <w:lvl w:ilvl="0" w:tentative="0">
      <w:start w:val="1"/>
      <w:numFmt w:val="decimal"/>
      <w:suff w:val="space"/>
      <w:lvlText w:val="%1."/>
      <w:lvlJc w:val="left"/>
    </w:lvl>
  </w:abstractNum>
  <w:abstractNum w:abstractNumId="2">
    <w:nsid w:val="0D8D7C98"/>
    <w:multiLevelType w:val="singleLevel"/>
    <w:tmpl w:val="0D8D7C98"/>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ZGMzNDA3NDI5MTk4MzQ2MzdkY2JkMGI1MDc5NWQifQ=="/>
  </w:docVars>
  <w:rsids>
    <w:rsidRoot w:val="00BD2915"/>
    <w:rsid w:val="00000697"/>
    <w:rsid w:val="000132C8"/>
    <w:rsid w:val="00013C27"/>
    <w:rsid w:val="00015EFD"/>
    <w:rsid w:val="00022DE3"/>
    <w:rsid w:val="00030C51"/>
    <w:rsid w:val="00031F2B"/>
    <w:rsid w:val="000351AA"/>
    <w:rsid w:val="00036DAE"/>
    <w:rsid w:val="00037918"/>
    <w:rsid w:val="00042D51"/>
    <w:rsid w:val="00046C1C"/>
    <w:rsid w:val="000530AC"/>
    <w:rsid w:val="00057985"/>
    <w:rsid w:val="000617AA"/>
    <w:rsid w:val="00064973"/>
    <w:rsid w:val="00074ACA"/>
    <w:rsid w:val="000765E4"/>
    <w:rsid w:val="00080F97"/>
    <w:rsid w:val="000A139D"/>
    <w:rsid w:val="000A67A9"/>
    <w:rsid w:val="000A720F"/>
    <w:rsid w:val="000B05CB"/>
    <w:rsid w:val="000B67C1"/>
    <w:rsid w:val="000C27D4"/>
    <w:rsid w:val="000C2F00"/>
    <w:rsid w:val="000C5357"/>
    <w:rsid w:val="000E115C"/>
    <w:rsid w:val="000E2901"/>
    <w:rsid w:val="001021A3"/>
    <w:rsid w:val="00113313"/>
    <w:rsid w:val="00116A2E"/>
    <w:rsid w:val="00116CE5"/>
    <w:rsid w:val="00120EE5"/>
    <w:rsid w:val="001261A2"/>
    <w:rsid w:val="001320C1"/>
    <w:rsid w:val="00132C9A"/>
    <w:rsid w:val="00137910"/>
    <w:rsid w:val="001447A3"/>
    <w:rsid w:val="0015056E"/>
    <w:rsid w:val="001528C1"/>
    <w:rsid w:val="001557E2"/>
    <w:rsid w:val="00162B6D"/>
    <w:rsid w:val="001709EE"/>
    <w:rsid w:val="00171D35"/>
    <w:rsid w:val="0017217A"/>
    <w:rsid w:val="00180163"/>
    <w:rsid w:val="00182472"/>
    <w:rsid w:val="00183CF0"/>
    <w:rsid w:val="0019187F"/>
    <w:rsid w:val="00192D6B"/>
    <w:rsid w:val="001930DE"/>
    <w:rsid w:val="00193ED0"/>
    <w:rsid w:val="001A1A8F"/>
    <w:rsid w:val="001A42F2"/>
    <w:rsid w:val="001B1534"/>
    <w:rsid w:val="001B2837"/>
    <w:rsid w:val="001B3355"/>
    <w:rsid w:val="001B3B8D"/>
    <w:rsid w:val="001C4BDB"/>
    <w:rsid w:val="001C4D47"/>
    <w:rsid w:val="001C51A6"/>
    <w:rsid w:val="001D27D1"/>
    <w:rsid w:val="001D5D8A"/>
    <w:rsid w:val="001D768D"/>
    <w:rsid w:val="001E3DFD"/>
    <w:rsid w:val="001E5570"/>
    <w:rsid w:val="001E6E98"/>
    <w:rsid w:val="001F0E58"/>
    <w:rsid w:val="001F49ED"/>
    <w:rsid w:val="001F7E07"/>
    <w:rsid w:val="00204795"/>
    <w:rsid w:val="00206014"/>
    <w:rsid w:val="002060FE"/>
    <w:rsid w:val="002073B4"/>
    <w:rsid w:val="0021041D"/>
    <w:rsid w:val="0021473C"/>
    <w:rsid w:val="00217C87"/>
    <w:rsid w:val="00220601"/>
    <w:rsid w:val="0022351D"/>
    <w:rsid w:val="00233C5E"/>
    <w:rsid w:val="00236A9E"/>
    <w:rsid w:val="00244722"/>
    <w:rsid w:val="00251158"/>
    <w:rsid w:val="00252C6C"/>
    <w:rsid w:val="00256043"/>
    <w:rsid w:val="00257630"/>
    <w:rsid w:val="00257DC9"/>
    <w:rsid w:val="002637DF"/>
    <w:rsid w:val="00263C77"/>
    <w:rsid w:val="00270B52"/>
    <w:rsid w:val="002715AE"/>
    <w:rsid w:val="002802F2"/>
    <w:rsid w:val="00291383"/>
    <w:rsid w:val="0029421E"/>
    <w:rsid w:val="002965BE"/>
    <w:rsid w:val="002A186A"/>
    <w:rsid w:val="002A7C40"/>
    <w:rsid w:val="002B2CB8"/>
    <w:rsid w:val="002B2E6E"/>
    <w:rsid w:val="002B4D37"/>
    <w:rsid w:val="002C3D71"/>
    <w:rsid w:val="002D1930"/>
    <w:rsid w:val="002D6941"/>
    <w:rsid w:val="00300D36"/>
    <w:rsid w:val="003056E2"/>
    <w:rsid w:val="00306B2F"/>
    <w:rsid w:val="003205ED"/>
    <w:rsid w:val="00320FE9"/>
    <w:rsid w:val="00321754"/>
    <w:rsid w:val="003239E9"/>
    <w:rsid w:val="00346B47"/>
    <w:rsid w:val="00350A38"/>
    <w:rsid w:val="00352EAF"/>
    <w:rsid w:val="00353AE3"/>
    <w:rsid w:val="00356386"/>
    <w:rsid w:val="00360354"/>
    <w:rsid w:val="003620D1"/>
    <w:rsid w:val="00367770"/>
    <w:rsid w:val="00370AC5"/>
    <w:rsid w:val="00374870"/>
    <w:rsid w:val="0037655B"/>
    <w:rsid w:val="0038547C"/>
    <w:rsid w:val="00385D07"/>
    <w:rsid w:val="00385ED9"/>
    <w:rsid w:val="00387587"/>
    <w:rsid w:val="00391F47"/>
    <w:rsid w:val="003927FD"/>
    <w:rsid w:val="00392957"/>
    <w:rsid w:val="003A0B2C"/>
    <w:rsid w:val="003A0B35"/>
    <w:rsid w:val="003A3B1B"/>
    <w:rsid w:val="003A5FCF"/>
    <w:rsid w:val="003B6D58"/>
    <w:rsid w:val="003B6ED0"/>
    <w:rsid w:val="003D38E9"/>
    <w:rsid w:val="003D523F"/>
    <w:rsid w:val="003D71F2"/>
    <w:rsid w:val="003E39C5"/>
    <w:rsid w:val="003F1A19"/>
    <w:rsid w:val="003F7CD4"/>
    <w:rsid w:val="00407A57"/>
    <w:rsid w:val="00407BF3"/>
    <w:rsid w:val="00407F8F"/>
    <w:rsid w:val="004116AC"/>
    <w:rsid w:val="0042093A"/>
    <w:rsid w:val="00420D5C"/>
    <w:rsid w:val="00423FE3"/>
    <w:rsid w:val="004241BF"/>
    <w:rsid w:val="00424B85"/>
    <w:rsid w:val="004325EF"/>
    <w:rsid w:val="00440F26"/>
    <w:rsid w:val="00452181"/>
    <w:rsid w:val="00453EB2"/>
    <w:rsid w:val="004575EF"/>
    <w:rsid w:val="00461684"/>
    <w:rsid w:val="00470194"/>
    <w:rsid w:val="004A1568"/>
    <w:rsid w:val="004A719C"/>
    <w:rsid w:val="004B1ACC"/>
    <w:rsid w:val="004B7B57"/>
    <w:rsid w:val="004C088A"/>
    <w:rsid w:val="004C5EF5"/>
    <w:rsid w:val="004D52D0"/>
    <w:rsid w:val="004E1A3D"/>
    <w:rsid w:val="004E43E8"/>
    <w:rsid w:val="004F2CA9"/>
    <w:rsid w:val="004F44C3"/>
    <w:rsid w:val="004F5E8C"/>
    <w:rsid w:val="004F6A8C"/>
    <w:rsid w:val="00503634"/>
    <w:rsid w:val="00510317"/>
    <w:rsid w:val="005220C0"/>
    <w:rsid w:val="0052230B"/>
    <w:rsid w:val="00531ABC"/>
    <w:rsid w:val="00535C96"/>
    <w:rsid w:val="0054009E"/>
    <w:rsid w:val="00545BDE"/>
    <w:rsid w:val="0056115B"/>
    <w:rsid w:val="005739AF"/>
    <w:rsid w:val="0057629E"/>
    <w:rsid w:val="00577410"/>
    <w:rsid w:val="005805CA"/>
    <w:rsid w:val="00583089"/>
    <w:rsid w:val="00584F69"/>
    <w:rsid w:val="005925C3"/>
    <w:rsid w:val="005A1C6C"/>
    <w:rsid w:val="005A409F"/>
    <w:rsid w:val="005A5154"/>
    <w:rsid w:val="005A6250"/>
    <w:rsid w:val="005B3B9D"/>
    <w:rsid w:val="005B4B03"/>
    <w:rsid w:val="005C7376"/>
    <w:rsid w:val="005E062C"/>
    <w:rsid w:val="005E0A8C"/>
    <w:rsid w:val="005E3DE7"/>
    <w:rsid w:val="005E4648"/>
    <w:rsid w:val="005F54E3"/>
    <w:rsid w:val="005F6316"/>
    <w:rsid w:val="006005D1"/>
    <w:rsid w:val="006032D5"/>
    <w:rsid w:val="00612108"/>
    <w:rsid w:val="00612BF6"/>
    <w:rsid w:val="006132C8"/>
    <w:rsid w:val="006164FE"/>
    <w:rsid w:val="00625CCC"/>
    <w:rsid w:val="00633F1D"/>
    <w:rsid w:val="00634B7F"/>
    <w:rsid w:val="0063625E"/>
    <w:rsid w:val="00644553"/>
    <w:rsid w:val="006453F2"/>
    <w:rsid w:val="00647C85"/>
    <w:rsid w:val="00650CC5"/>
    <w:rsid w:val="00651B0E"/>
    <w:rsid w:val="00652B37"/>
    <w:rsid w:val="00653D8C"/>
    <w:rsid w:val="00660A3B"/>
    <w:rsid w:val="00671947"/>
    <w:rsid w:val="006735A3"/>
    <w:rsid w:val="006849E7"/>
    <w:rsid w:val="00691526"/>
    <w:rsid w:val="00696AB4"/>
    <w:rsid w:val="006A33BA"/>
    <w:rsid w:val="006A5966"/>
    <w:rsid w:val="006A5CB2"/>
    <w:rsid w:val="006A736A"/>
    <w:rsid w:val="006C0E1A"/>
    <w:rsid w:val="006D1E9E"/>
    <w:rsid w:val="006D21FA"/>
    <w:rsid w:val="006D407D"/>
    <w:rsid w:val="006D4678"/>
    <w:rsid w:val="006D75D7"/>
    <w:rsid w:val="006E50E4"/>
    <w:rsid w:val="006F3540"/>
    <w:rsid w:val="006F3D79"/>
    <w:rsid w:val="00702645"/>
    <w:rsid w:val="00703D5C"/>
    <w:rsid w:val="00712630"/>
    <w:rsid w:val="00714D6B"/>
    <w:rsid w:val="00715F98"/>
    <w:rsid w:val="00717AF0"/>
    <w:rsid w:val="0073520D"/>
    <w:rsid w:val="0074145C"/>
    <w:rsid w:val="0074493E"/>
    <w:rsid w:val="007569F8"/>
    <w:rsid w:val="00764673"/>
    <w:rsid w:val="00764D01"/>
    <w:rsid w:val="00766634"/>
    <w:rsid w:val="00767A33"/>
    <w:rsid w:val="00767E44"/>
    <w:rsid w:val="00771120"/>
    <w:rsid w:val="007744B5"/>
    <w:rsid w:val="007761CA"/>
    <w:rsid w:val="007837C2"/>
    <w:rsid w:val="007852FA"/>
    <w:rsid w:val="00790A2B"/>
    <w:rsid w:val="007922A8"/>
    <w:rsid w:val="00797733"/>
    <w:rsid w:val="007A03FB"/>
    <w:rsid w:val="007A0CCB"/>
    <w:rsid w:val="007A4E7F"/>
    <w:rsid w:val="007A6CCA"/>
    <w:rsid w:val="007A701D"/>
    <w:rsid w:val="007A7757"/>
    <w:rsid w:val="007C0314"/>
    <w:rsid w:val="007C7B13"/>
    <w:rsid w:val="007D2050"/>
    <w:rsid w:val="007E1617"/>
    <w:rsid w:val="007E40F9"/>
    <w:rsid w:val="007F0947"/>
    <w:rsid w:val="007F202E"/>
    <w:rsid w:val="007F302D"/>
    <w:rsid w:val="00802463"/>
    <w:rsid w:val="00802F3E"/>
    <w:rsid w:val="008063BD"/>
    <w:rsid w:val="00812616"/>
    <w:rsid w:val="008212E8"/>
    <w:rsid w:val="0082685B"/>
    <w:rsid w:val="0082752B"/>
    <w:rsid w:val="00827F50"/>
    <w:rsid w:val="00835039"/>
    <w:rsid w:val="0085759C"/>
    <w:rsid w:val="00860CFF"/>
    <w:rsid w:val="00862F48"/>
    <w:rsid w:val="008644B9"/>
    <w:rsid w:val="00877BA0"/>
    <w:rsid w:val="00882148"/>
    <w:rsid w:val="00886A72"/>
    <w:rsid w:val="00887381"/>
    <w:rsid w:val="0089594D"/>
    <w:rsid w:val="008A31DF"/>
    <w:rsid w:val="008A4060"/>
    <w:rsid w:val="008A58DF"/>
    <w:rsid w:val="008A6A0C"/>
    <w:rsid w:val="008B3A3A"/>
    <w:rsid w:val="008B3A91"/>
    <w:rsid w:val="008B3B42"/>
    <w:rsid w:val="008D4132"/>
    <w:rsid w:val="008F1307"/>
    <w:rsid w:val="008F23BC"/>
    <w:rsid w:val="008F5953"/>
    <w:rsid w:val="008F6BC2"/>
    <w:rsid w:val="009001F0"/>
    <w:rsid w:val="00900DFF"/>
    <w:rsid w:val="00920EC8"/>
    <w:rsid w:val="0095431A"/>
    <w:rsid w:val="0095621A"/>
    <w:rsid w:val="00964ACF"/>
    <w:rsid w:val="00965AB5"/>
    <w:rsid w:val="0097625E"/>
    <w:rsid w:val="009765E0"/>
    <w:rsid w:val="00977CDB"/>
    <w:rsid w:val="00982796"/>
    <w:rsid w:val="00984214"/>
    <w:rsid w:val="00991392"/>
    <w:rsid w:val="00991F76"/>
    <w:rsid w:val="009A663B"/>
    <w:rsid w:val="009C24CD"/>
    <w:rsid w:val="009C75D1"/>
    <w:rsid w:val="009C787F"/>
    <w:rsid w:val="009D18DE"/>
    <w:rsid w:val="009D3097"/>
    <w:rsid w:val="009E0E71"/>
    <w:rsid w:val="009E6F08"/>
    <w:rsid w:val="009F0115"/>
    <w:rsid w:val="009F2A69"/>
    <w:rsid w:val="009F4DE3"/>
    <w:rsid w:val="009F5965"/>
    <w:rsid w:val="009F63FF"/>
    <w:rsid w:val="00A008A6"/>
    <w:rsid w:val="00A10FDE"/>
    <w:rsid w:val="00A122F5"/>
    <w:rsid w:val="00A17E8E"/>
    <w:rsid w:val="00A20CE4"/>
    <w:rsid w:val="00A244C8"/>
    <w:rsid w:val="00A33984"/>
    <w:rsid w:val="00A36CC8"/>
    <w:rsid w:val="00A37E98"/>
    <w:rsid w:val="00A4163F"/>
    <w:rsid w:val="00A4524A"/>
    <w:rsid w:val="00A47B4A"/>
    <w:rsid w:val="00A52DE0"/>
    <w:rsid w:val="00A5339D"/>
    <w:rsid w:val="00A55886"/>
    <w:rsid w:val="00A57F2B"/>
    <w:rsid w:val="00A64EF5"/>
    <w:rsid w:val="00A8061E"/>
    <w:rsid w:val="00A82F61"/>
    <w:rsid w:val="00A838F6"/>
    <w:rsid w:val="00A912D8"/>
    <w:rsid w:val="00A95C2F"/>
    <w:rsid w:val="00A97230"/>
    <w:rsid w:val="00AA44C6"/>
    <w:rsid w:val="00AB0FA0"/>
    <w:rsid w:val="00AB6E33"/>
    <w:rsid w:val="00AD2E1D"/>
    <w:rsid w:val="00AE06B4"/>
    <w:rsid w:val="00AE3362"/>
    <w:rsid w:val="00AF2362"/>
    <w:rsid w:val="00B00A80"/>
    <w:rsid w:val="00B00D32"/>
    <w:rsid w:val="00B0162E"/>
    <w:rsid w:val="00B0176A"/>
    <w:rsid w:val="00B03410"/>
    <w:rsid w:val="00B11D06"/>
    <w:rsid w:val="00B125ED"/>
    <w:rsid w:val="00B33BF3"/>
    <w:rsid w:val="00B41DDF"/>
    <w:rsid w:val="00B47B0E"/>
    <w:rsid w:val="00B52052"/>
    <w:rsid w:val="00B60269"/>
    <w:rsid w:val="00B711E0"/>
    <w:rsid w:val="00B943EA"/>
    <w:rsid w:val="00B96619"/>
    <w:rsid w:val="00B97898"/>
    <w:rsid w:val="00BA1F12"/>
    <w:rsid w:val="00BA2BC1"/>
    <w:rsid w:val="00BB3A80"/>
    <w:rsid w:val="00BC08D6"/>
    <w:rsid w:val="00BC1275"/>
    <w:rsid w:val="00BC640B"/>
    <w:rsid w:val="00BC6823"/>
    <w:rsid w:val="00BD17DB"/>
    <w:rsid w:val="00BD2915"/>
    <w:rsid w:val="00BD3C85"/>
    <w:rsid w:val="00BD719B"/>
    <w:rsid w:val="00BE0135"/>
    <w:rsid w:val="00BE34F9"/>
    <w:rsid w:val="00BE3DC5"/>
    <w:rsid w:val="00BE42A3"/>
    <w:rsid w:val="00BE4670"/>
    <w:rsid w:val="00BF5974"/>
    <w:rsid w:val="00C01A61"/>
    <w:rsid w:val="00C051A4"/>
    <w:rsid w:val="00C10DE9"/>
    <w:rsid w:val="00C12C6B"/>
    <w:rsid w:val="00C132E6"/>
    <w:rsid w:val="00C134AE"/>
    <w:rsid w:val="00C15345"/>
    <w:rsid w:val="00C1621A"/>
    <w:rsid w:val="00C24839"/>
    <w:rsid w:val="00C31F1B"/>
    <w:rsid w:val="00C334A2"/>
    <w:rsid w:val="00C33E40"/>
    <w:rsid w:val="00C4060F"/>
    <w:rsid w:val="00C4126B"/>
    <w:rsid w:val="00C42171"/>
    <w:rsid w:val="00C4499E"/>
    <w:rsid w:val="00C44B28"/>
    <w:rsid w:val="00C65129"/>
    <w:rsid w:val="00C65136"/>
    <w:rsid w:val="00C65A8F"/>
    <w:rsid w:val="00C66B73"/>
    <w:rsid w:val="00C66F7A"/>
    <w:rsid w:val="00C676BB"/>
    <w:rsid w:val="00C73B12"/>
    <w:rsid w:val="00C74673"/>
    <w:rsid w:val="00C825B9"/>
    <w:rsid w:val="00C93635"/>
    <w:rsid w:val="00C93D5E"/>
    <w:rsid w:val="00C952B6"/>
    <w:rsid w:val="00CA4A74"/>
    <w:rsid w:val="00CB42A0"/>
    <w:rsid w:val="00CB51B4"/>
    <w:rsid w:val="00CD116B"/>
    <w:rsid w:val="00CD2504"/>
    <w:rsid w:val="00CD4566"/>
    <w:rsid w:val="00CD52B3"/>
    <w:rsid w:val="00CD5462"/>
    <w:rsid w:val="00CD6470"/>
    <w:rsid w:val="00CE13F7"/>
    <w:rsid w:val="00CE17F6"/>
    <w:rsid w:val="00CE3678"/>
    <w:rsid w:val="00CE534F"/>
    <w:rsid w:val="00CE5E5B"/>
    <w:rsid w:val="00CF11C8"/>
    <w:rsid w:val="00CF4296"/>
    <w:rsid w:val="00CF62DF"/>
    <w:rsid w:val="00D24132"/>
    <w:rsid w:val="00D246F7"/>
    <w:rsid w:val="00D25F5C"/>
    <w:rsid w:val="00D263F8"/>
    <w:rsid w:val="00D31F0C"/>
    <w:rsid w:val="00D321C0"/>
    <w:rsid w:val="00D332A6"/>
    <w:rsid w:val="00D37D9F"/>
    <w:rsid w:val="00D465E9"/>
    <w:rsid w:val="00D51968"/>
    <w:rsid w:val="00D5585C"/>
    <w:rsid w:val="00D601E8"/>
    <w:rsid w:val="00D67607"/>
    <w:rsid w:val="00D715CA"/>
    <w:rsid w:val="00D71C4B"/>
    <w:rsid w:val="00D755BA"/>
    <w:rsid w:val="00D94E08"/>
    <w:rsid w:val="00D97C75"/>
    <w:rsid w:val="00DA4063"/>
    <w:rsid w:val="00DA656D"/>
    <w:rsid w:val="00DB38C6"/>
    <w:rsid w:val="00DC0EAB"/>
    <w:rsid w:val="00DD4792"/>
    <w:rsid w:val="00DE4D70"/>
    <w:rsid w:val="00DF0A33"/>
    <w:rsid w:val="00DF22C8"/>
    <w:rsid w:val="00DF481E"/>
    <w:rsid w:val="00DF712A"/>
    <w:rsid w:val="00E12F10"/>
    <w:rsid w:val="00E20632"/>
    <w:rsid w:val="00E32C53"/>
    <w:rsid w:val="00E361F9"/>
    <w:rsid w:val="00E45CA2"/>
    <w:rsid w:val="00E461A0"/>
    <w:rsid w:val="00E562DF"/>
    <w:rsid w:val="00E64582"/>
    <w:rsid w:val="00E848BC"/>
    <w:rsid w:val="00E8771E"/>
    <w:rsid w:val="00E87DA0"/>
    <w:rsid w:val="00E91C41"/>
    <w:rsid w:val="00E94ECC"/>
    <w:rsid w:val="00E97E0B"/>
    <w:rsid w:val="00EA1783"/>
    <w:rsid w:val="00EA1983"/>
    <w:rsid w:val="00EB1273"/>
    <w:rsid w:val="00EB6B67"/>
    <w:rsid w:val="00EC161B"/>
    <w:rsid w:val="00ED25E8"/>
    <w:rsid w:val="00ED3180"/>
    <w:rsid w:val="00EF7166"/>
    <w:rsid w:val="00F0282B"/>
    <w:rsid w:val="00F049D1"/>
    <w:rsid w:val="00F04B96"/>
    <w:rsid w:val="00F0632C"/>
    <w:rsid w:val="00F0657A"/>
    <w:rsid w:val="00F13E2B"/>
    <w:rsid w:val="00F14E0E"/>
    <w:rsid w:val="00F1589D"/>
    <w:rsid w:val="00F16300"/>
    <w:rsid w:val="00F21077"/>
    <w:rsid w:val="00F41DA0"/>
    <w:rsid w:val="00F43D4A"/>
    <w:rsid w:val="00F43DA1"/>
    <w:rsid w:val="00F4444D"/>
    <w:rsid w:val="00F45A0D"/>
    <w:rsid w:val="00F616A2"/>
    <w:rsid w:val="00F666A7"/>
    <w:rsid w:val="00F72519"/>
    <w:rsid w:val="00F7346F"/>
    <w:rsid w:val="00F749F6"/>
    <w:rsid w:val="00F7521D"/>
    <w:rsid w:val="00F76CAA"/>
    <w:rsid w:val="00F77905"/>
    <w:rsid w:val="00F81417"/>
    <w:rsid w:val="00F8407F"/>
    <w:rsid w:val="00F847FB"/>
    <w:rsid w:val="00F91430"/>
    <w:rsid w:val="00F97B92"/>
    <w:rsid w:val="00FA4728"/>
    <w:rsid w:val="00FA6305"/>
    <w:rsid w:val="00FB00AF"/>
    <w:rsid w:val="00FB4385"/>
    <w:rsid w:val="00FB4942"/>
    <w:rsid w:val="00FC70F7"/>
    <w:rsid w:val="00FD01E3"/>
    <w:rsid w:val="00FD1086"/>
    <w:rsid w:val="00FD2F2A"/>
    <w:rsid w:val="00FD66B0"/>
    <w:rsid w:val="00FE059A"/>
    <w:rsid w:val="00FE72E5"/>
    <w:rsid w:val="010A05FE"/>
    <w:rsid w:val="0118310F"/>
    <w:rsid w:val="021A57A8"/>
    <w:rsid w:val="02434C7E"/>
    <w:rsid w:val="02824A83"/>
    <w:rsid w:val="02842203"/>
    <w:rsid w:val="02B74B92"/>
    <w:rsid w:val="03524368"/>
    <w:rsid w:val="03E93829"/>
    <w:rsid w:val="04093E1E"/>
    <w:rsid w:val="04617F85"/>
    <w:rsid w:val="04E95902"/>
    <w:rsid w:val="053E4524"/>
    <w:rsid w:val="057512D0"/>
    <w:rsid w:val="06CE7D0F"/>
    <w:rsid w:val="07EF4B3B"/>
    <w:rsid w:val="08145505"/>
    <w:rsid w:val="083B6F34"/>
    <w:rsid w:val="08E17950"/>
    <w:rsid w:val="09220B1C"/>
    <w:rsid w:val="096E363B"/>
    <w:rsid w:val="09A4111B"/>
    <w:rsid w:val="09BE7D1D"/>
    <w:rsid w:val="09C04B46"/>
    <w:rsid w:val="09E43F2A"/>
    <w:rsid w:val="0A5F5F11"/>
    <w:rsid w:val="0A781F3E"/>
    <w:rsid w:val="0AF41EA8"/>
    <w:rsid w:val="0B5531B2"/>
    <w:rsid w:val="0BC119DD"/>
    <w:rsid w:val="0C933F43"/>
    <w:rsid w:val="0D575D9A"/>
    <w:rsid w:val="0D693AC1"/>
    <w:rsid w:val="0DD43CA7"/>
    <w:rsid w:val="0E425CF1"/>
    <w:rsid w:val="0EA04BAF"/>
    <w:rsid w:val="0EFB2457"/>
    <w:rsid w:val="0FD61C00"/>
    <w:rsid w:val="100111F3"/>
    <w:rsid w:val="107A3812"/>
    <w:rsid w:val="116555F0"/>
    <w:rsid w:val="11A02491"/>
    <w:rsid w:val="11C54D0E"/>
    <w:rsid w:val="11ED59E0"/>
    <w:rsid w:val="1221066F"/>
    <w:rsid w:val="124A7E49"/>
    <w:rsid w:val="12667629"/>
    <w:rsid w:val="12A80226"/>
    <w:rsid w:val="12AD0BF8"/>
    <w:rsid w:val="12E741B3"/>
    <w:rsid w:val="136D39B0"/>
    <w:rsid w:val="137E30F9"/>
    <w:rsid w:val="13B745A6"/>
    <w:rsid w:val="13DE5C12"/>
    <w:rsid w:val="1437703A"/>
    <w:rsid w:val="14540C97"/>
    <w:rsid w:val="14894038"/>
    <w:rsid w:val="149E5645"/>
    <w:rsid w:val="14C543E1"/>
    <w:rsid w:val="14D82B84"/>
    <w:rsid w:val="155B3841"/>
    <w:rsid w:val="15731E9B"/>
    <w:rsid w:val="157A5752"/>
    <w:rsid w:val="15D91FDB"/>
    <w:rsid w:val="15F67290"/>
    <w:rsid w:val="16231680"/>
    <w:rsid w:val="162C4D37"/>
    <w:rsid w:val="16502A4E"/>
    <w:rsid w:val="16765941"/>
    <w:rsid w:val="169609C4"/>
    <w:rsid w:val="16A46EEE"/>
    <w:rsid w:val="16FB124F"/>
    <w:rsid w:val="17114305"/>
    <w:rsid w:val="172E3E14"/>
    <w:rsid w:val="17755884"/>
    <w:rsid w:val="17CA2430"/>
    <w:rsid w:val="180142D6"/>
    <w:rsid w:val="1860603E"/>
    <w:rsid w:val="18A77441"/>
    <w:rsid w:val="18B7354C"/>
    <w:rsid w:val="18DF4987"/>
    <w:rsid w:val="18FC4C70"/>
    <w:rsid w:val="194233E9"/>
    <w:rsid w:val="19736F5E"/>
    <w:rsid w:val="199B453F"/>
    <w:rsid w:val="1A023CF5"/>
    <w:rsid w:val="1A203980"/>
    <w:rsid w:val="1A55342D"/>
    <w:rsid w:val="1A726303"/>
    <w:rsid w:val="1AD25BCE"/>
    <w:rsid w:val="1ADC406D"/>
    <w:rsid w:val="1B633DC4"/>
    <w:rsid w:val="1B6746CF"/>
    <w:rsid w:val="1B901C00"/>
    <w:rsid w:val="1BCB4373"/>
    <w:rsid w:val="1BDD75E2"/>
    <w:rsid w:val="1C0F539F"/>
    <w:rsid w:val="1C222D7F"/>
    <w:rsid w:val="1C24245E"/>
    <w:rsid w:val="1D432286"/>
    <w:rsid w:val="1DD55F0C"/>
    <w:rsid w:val="1E2962CA"/>
    <w:rsid w:val="1E5E12B4"/>
    <w:rsid w:val="1EA9367C"/>
    <w:rsid w:val="1EAD2BA7"/>
    <w:rsid w:val="1ECA5568"/>
    <w:rsid w:val="1ECE5AC7"/>
    <w:rsid w:val="1ED63BA3"/>
    <w:rsid w:val="1EE5515C"/>
    <w:rsid w:val="1F554CDB"/>
    <w:rsid w:val="1FB46199"/>
    <w:rsid w:val="20106E33"/>
    <w:rsid w:val="20A85AD5"/>
    <w:rsid w:val="211E3C98"/>
    <w:rsid w:val="21747A07"/>
    <w:rsid w:val="2183555F"/>
    <w:rsid w:val="21BD62EE"/>
    <w:rsid w:val="21CF435E"/>
    <w:rsid w:val="22E630F3"/>
    <w:rsid w:val="230A6D45"/>
    <w:rsid w:val="234863F0"/>
    <w:rsid w:val="237D1751"/>
    <w:rsid w:val="238C37C4"/>
    <w:rsid w:val="23B8373A"/>
    <w:rsid w:val="240272E5"/>
    <w:rsid w:val="243E450B"/>
    <w:rsid w:val="25421CB1"/>
    <w:rsid w:val="255036FE"/>
    <w:rsid w:val="25894B57"/>
    <w:rsid w:val="25B213EA"/>
    <w:rsid w:val="25C659A3"/>
    <w:rsid w:val="26007467"/>
    <w:rsid w:val="26101565"/>
    <w:rsid w:val="26633686"/>
    <w:rsid w:val="26806204"/>
    <w:rsid w:val="26F67678"/>
    <w:rsid w:val="27664B40"/>
    <w:rsid w:val="277270A0"/>
    <w:rsid w:val="2810066D"/>
    <w:rsid w:val="281B38AB"/>
    <w:rsid w:val="287F5DF6"/>
    <w:rsid w:val="28B464C9"/>
    <w:rsid w:val="28EE5E33"/>
    <w:rsid w:val="29707248"/>
    <w:rsid w:val="298844DF"/>
    <w:rsid w:val="29B71EE2"/>
    <w:rsid w:val="2A2B6117"/>
    <w:rsid w:val="2A2D1B2F"/>
    <w:rsid w:val="2A6C176D"/>
    <w:rsid w:val="2A73010D"/>
    <w:rsid w:val="2A8E2620"/>
    <w:rsid w:val="2A9D42F5"/>
    <w:rsid w:val="2AA452E7"/>
    <w:rsid w:val="2B0D26F8"/>
    <w:rsid w:val="2B4116B0"/>
    <w:rsid w:val="2B4A6A12"/>
    <w:rsid w:val="2B7B56D7"/>
    <w:rsid w:val="2BD26F8C"/>
    <w:rsid w:val="2BFD337B"/>
    <w:rsid w:val="2C3F5733"/>
    <w:rsid w:val="2CE27604"/>
    <w:rsid w:val="2CE97AAB"/>
    <w:rsid w:val="2D3A7C5E"/>
    <w:rsid w:val="2D445B44"/>
    <w:rsid w:val="2D7E36B0"/>
    <w:rsid w:val="2DBD40A1"/>
    <w:rsid w:val="2DEC13D1"/>
    <w:rsid w:val="2E43372A"/>
    <w:rsid w:val="2E757CBB"/>
    <w:rsid w:val="2ECF1A2B"/>
    <w:rsid w:val="2F3A5066"/>
    <w:rsid w:val="2F8003A1"/>
    <w:rsid w:val="2FB63B28"/>
    <w:rsid w:val="2FD73BBD"/>
    <w:rsid w:val="30323F27"/>
    <w:rsid w:val="30944F43"/>
    <w:rsid w:val="32113FF9"/>
    <w:rsid w:val="329F7118"/>
    <w:rsid w:val="32D64D70"/>
    <w:rsid w:val="33011FC5"/>
    <w:rsid w:val="33BB64AE"/>
    <w:rsid w:val="33E1105E"/>
    <w:rsid w:val="33EB42C1"/>
    <w:rsid w:val="34A93E3C"/>
    <w:rsid w:val="34EA0E29"/>
    <w:rsid w:val="3526220C"/>
    <w:rsid w:val="357F551F"/>
    <w:rsid w:val="35C155B1"/>
    <w:rsid w:val="361B4300"/>
    <w:rsid w:val="36334B24"/>
    <w:rsid w:val="368F2C7E"/>
    <w:rsid w:val="36B63327"/>
    <w:rsid w:val="3702394F"/>
    <w:rsid w:val="373B380F"/>
    <w:rsid w:val="374B20E2"/>
    <w:rsid w:val="37B717C1"/>
    <w:rsid w:val="380718B1"/>
    <w:rsid w:val="38AC4C6D"/>
    <w:rsid w:val="38C8326D"/>
    <w:rsid w:val="392C471C"/>
    <w:rsid w:val="39582D4F"/>
    <w:rsid w:val="3A100FA3"/>
    <w:rsid w:val="3AD0560F"/>
    <w:rsid w:val="3AD96AF9"/>
    <w:rsid w:val="3AFF6C4C"/>
    <w:rsid w:val="3B3B3AFE"/>
    <w:rsid w:val="3B422456"/>
    <w:rsid w:val="3BB7038F"/>
    <w:rsid w:val="3BD91464"/>
    <w:rsid w:val="3C0E6BA5"/>
    <w:rsid w:val="3C7D3B0C"/>
    <w:rsid w:val="3DE51159"/>
    <w:rsid w:val="3E3E5932"/>
    <w:rsid w:val="3E567613"/>
    <w:rsid w:val="3E836293"/>
    <w:rsid w:val="3EBF74F2"/>
    <w:rsid w:val="3EED2D8C"/>
    <w:rsid w:val="3EF63DC1"/>
    <w:rsid w:val="3F4A2FB7"/>
    <w:rsid w:val="3F744033"/>
    <w:rsid w:val="3F8948FC"/>
    <w:rsid w:val="3F96510E"/>
    <w:rsid w:val="3FA10CED"/>
    <w:rsid w:val="3FD0307E"/>
    <w:rsid w:val="40063536"/>
    <w:rsid w:val="407741FA"/>
    <w:rsid w:val="40A4121E"/>
    <w:rsid w:val="40BE5450"/>
    <w:rsid w:val="416F61AA"/>
    <w:rsid w:val="41933181"/>
    <w:rsid w:val="41FC7704"/>
    <w:rsid w:val="42052DF8"/>
    <w:rsid w:val="434C384E"/>
    <w:rsid w:val="43A143FC"/>
    <w:rsid w:val="441A4743"/>
    <w:rsid w:val="447D6080"/>
    <w:rsid w:val="44FC34C2"/>
    <w:rsid w:val="45714BF4"/>
    <w:rsid w:val="45A51130"/>
    <w:rsid w:val="45CA0D21"/>
    <w:rsid w:val="46062DC4"/>
    <w:rsid w:val="46123066"/>
    <w:rsid w:val="462E0585"/>
    <w:rsid w:val="46461D5E"/>
    <w:rsid w:val="46795BC6"/>
    <w:rsid w:val="46915D8D"/>
    <w:rsid w:val="47032F4D"/>
    <w:rsid w:val="47855964"/>
    <w:rsid w:val="49520D52"/>
    <w:rsid w:val="4A4C21C6"/>
    <w:rsid w:val="4A8C25ED"/>
    <w:rsid w:val="4AEE6A4A"/>
    <w:rsid w:val="4B19129D"/>
    <w:rsid w:val="4B8F4230"/>
    <w:rsid w:val="4BE05A0C"/>
    <w:rsid w:val="4D321823"/>
    <w:rsid w:val="4D360ED0"/>
    <w:rsid w:val="4D5C3A47"/>
    <w:rsid w:val="4D872071"/>
    <w:rsid w:val="4DB029C7"/>
    <w:rsid w:val="4DD903ED"/>
    <w:rsid w:val="4DDC795C"/>
    <w:rsid w:val="4EA932B9"/>
    <w:rsid w:val="4F0C1B02"/>
    <w:rsid w:val="4F307F6C"/>
    <w:rsid w:val="4F9E1E19"/>
    <w:rsid w:val="4FCE2324"/>
    <w:rsid w:val="51331F1F"/>
    <w:rsid w:val="51A2131C"/>
    <w:rsid w:val="520815E4"/>
    <w:rsid w:val="52502F57"/>
    <w:rsid w:val="526346BF"/>
    <w:rsid w:val="53047A1F"/>
    <w:rsid w:val="530B31AE"/>
    <w:rsid w:val="530E05A0"/>
    <w:rsid w:val="531B7E68"/>
    <w:rsid w:val="537466CE"/>
    <w:rsid w:val="53974DBD"/>
    <w:rsid w:val="53CF2943"/>
    <w:rsid w:val="53E42438"/>
    <w:rsid w:val="5455096B"/>
    <w:rsid w:val="54720D32"/>
    <w:rsid w:val="54F4648C"/>
    <w:rsid w:val="550260AE"/>
    <w:rsid w:val="5526271C"/>
    <w:rsid w:val="55265D92"/>
    <w:rsid w:val="55552A7D"/>
    <w:rsid w:val="5648499A"/>
    <w:rsid w:val="56941DED"/>
    <w:rsid w:val="57057BAC"/>
    <w:rsid w:val="57082B07"/>
    <w:rsid w:val="572B6D8A"/>
    <w:rsid w:val="57322135"/>
    <w:rsid w:val="57760D48"/>
    <w:rsid w:val="59010683"/>
    <w:rsid w:val="59323856"/>
    <w:rsid w:val="595A0890"/>
    <w:rsid w:val="59AF3113"/>
    <w:rsid w:val="5A391605"/>
    <w:rsid w:val="5ADD4BCD"/>
    <w:rsid w:val="5ADE6119"/>
    <w:rsid w:val="5AE158C2"/>
    <w:rsid w:val="5B03285B"/>
    <w:rsid w:val="5B364597"/>
    <w:rsid w:val="5BEF16F8"/>
    <w:rsid w:val="5C0B19E8"/>
    <w:rsid w:val="5C853516"/>
    <w:rsid w:val="5C9E313B"/>
    <w:rsid w:val="5CAA074D"/>
    <w:rsid w:val="5CC75551"/>
    <w:rsid w:val="5D1B1A76"/>
    <w:rsid w:val="5D6E5E0D"/>
    <w:rsid w:val="5E28605E"/>
    <w:rsid w:val="5E330C7C"/>
    <w:rsid w:val="5E4B66E9"/>
    <w:rsid w:val="5F1B4A64"/>
    <w:rsid w:val="5F246134"/>
    <w:rsid w:val="5F2A5D1B"/>
    <w:rsid w:val="5F634FD8"/>
    <w:rsid w:val="5F8475FE"/>
    <w:rsid w:val="601D7222"/>
    <w:rsid w:val="61406A95"/>
    <w:rsid w:val="62F91BEB"/>
    <w:rsid w:val="63010BCB"/>
    <w:rsid w:val="630D6DDB"/>
    <w:rsid w:val="63404C95"/>
    <w:rsid w:val="638554FB"/>
    <w:rsid w:val="63AD1D2B"/>
    <w:rsid w:val="63D62F33"/>
    <w:rsid w:val="6434087D"/>
    <w:rsid w:val="652945C9"/>
    <w:rsid w:val="658E5FF6"/>
    <w:rsid w:val="65D33FFC"/>
    <w:rsid w:val="65E64697"/>
    <w:rsid w:val="66125CA8"/>
    <w:rsid w:val="668515BA"/>
    <w:rsid w:val="66922D9F"/>
    <w:rsid w:val="672C2D90"/>
    <w:rsid w:val="679E1478"/>
    <w:rsid w:val="680C65AB"/>
    <w:rsid w:val="682107AF"/>
    <w:rsid w:val="69230474"/>
    <w:rsid w:val="692E3A59"/>
    <w:rsid w:val="693138DD"/>
    <w:rsid w:val="698113CF"/>
    <w:rsid w:val="69BE2DFD"/>
    <w:rsid w:val="6A415A06"/>
    <w:rsid w:val="6A4A4E09"/>
    <w:rsid w:val="6AE06C3F"/>
    <w:rsid w:val="6AF11D9A"/>
    <w:rsid w:val="6AF908C5"/>
    <w:rsid w:val="6B127920"/>
    <w:rsid w:val="6B1A52A3"/>
    <w:rsid w:val="6BEC49C1"/>
    <w:rsid w:val="6BFE0D39"/>
    <w:rsid w:val="6C797270"/>
    <w:rsid w:val="6D2B2F1C"/>
    <w:rsid w:val="6DAF2BF4"/>
    <w:rsid w:val="6E697CAC"/>
    <w:rsid w:val="6E75553E"/>
    <w:rsid w:val="6E956B93"/>
    <w:rsid w:val="6F707F73"/>
    <w:rsid w:val="70BF28D2"/>
    <w:rsid w:val="714A7398"/>
    <w:rsid w:val="71540447"/>
    <w:rsid w:val="723F6B5E"/>
    <w:rsid w:val="73EC3BFF"/>
    <w:rsid w:val="746A425C"/>
    <w:rsid w:val="74AC7092"/>
    <w:rsid w:val="74B872DC"/>
    <w:rsid w:val="74CC32E0"/>
    <w:rsid w:val="754A55DC"/>
    <w:rsid w:val="76623E60"/>
    <w:rsid w:val="76794928"/>
    <w:rsid w:val="76831EA7"/>
    <w:rsid w:val="772624BD"/>
    <w:rsid w:val="774049E3"/>
    <w:rsid w:val="77786BED"/>
    <w:rsid w:val="77FB273F"/>
    <w:rsid w:val="788112DC"/>
    <w:rsid w:val="78D24205"/>
    <w:rsid w:val="796241B3"/>
    <w:rsid w:val="796E3AD7"/>
    <w:rsid w:val="79830840"/>
    <w:rsid w:val="79BC663E"/>
    <w:rsid w:val="79FD146A"/>
    <w:rsid w:val="7A1A3E38"/>
    <w:rsid w:val="7A710E75"/>
    <w:rsid w:val="7AC40B19"/>
    <w:rsid w:val="7B0E0510"/>
    <w:rsid w:val="7B261490"/>
    <w:rsid w:val="7B2C0316"/>
    <w:rsid w:val="7CA06605"/>
    <w:rsid w:val="7CB434EC"/>
    <w:rsid w:val="7D3319F0"/>
    <w:rsid w:val="7D772BDD"/>
    <w:rsid w:val="7E443788"/>
    <w:rsid w:val="7EB040E7"/>
    <w:rsid w:val="7F053D39"/>
    <w:rsid w:val="7F121F46"/>
    <w:rsid w:val="7FE6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iPriority="99" w:semiHidden="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99" w:semiHidden="0" w:name="HTML Preformatted"/>
    <w:lsdException w:qFormat="1" w:uiPriority="0" w:name="HTML Sample"/>
    <w:lsdException w:qFormat="1"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8"/>
    <w:autoRedefine/>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60"/>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6"/>
    <w:autoRedefine/>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73"/>
    <w:autoRedefine/>
    <w:qFormat/>
    <w:uiPriority w:val="0"/>
    <w:pPr>
      <w:keepNext/>
      <w:keepLines/>
      <w:adjustRightInd w:val="0"/>
      <w:spacing w:before="280" w:after="290" w:line="376" w:lineRule="atLeast"/>
      <w:textAlignment w:val="baseline"/>
      <w:outlineLvl w:val="3"/>
    </w:pPr>
    <w:rPr>
      <w:rFonts w:ascii="Arial" w:hAnsi="Arial"/>
      <w:b/>
      <w:spacing w:val="20"/>
      <w:kern w:val="0"/>
      <w:sz w:val="28"/>
      <w:szCs w:val="20"/>
    </w:rPr>
  </w:style>
  <w:style w:type="paragraph" w:styleId="6">
    <w:name w:val="heading 5"/>
    <w:basedOn w:val="1"/>
    <w:next w:val="1"/>
    <w:link w:val="83"/>
    <w:autoRedefine/>
    <w:qFormat/>
    <w:uiPriority w:val="0"/>
    <w:pPr>
      <w:keepNext/>
      <w:keepLines/>
      <w:adjustRightInd w:val="0"/>
      <w:spacing w:before="280" w:after="290" w:line="376" w:lineRule="atLeast"/>
      <w:textAlignment w:val="baseline"/>
      <w:outlineLvl w:val="4"/>
    </w:pPr>
    <w:rPr>
      <w:rFonts w:ascii="Times New Roman" w:hAnsi="Times New Roman"/>
      <w:b/>
      <w:spacing w:val="20"/>
      <w:kern w:val="0"/>
      <w:sz w:val="28"/>
      <w:szCs w:val="20"/>
    </w:rPr>
  </w:style>
  <w:style w:type="paragraph" w:styleId="7">
    <w:name w:val="heading 6"/>
    <w:basedOn w:val="1"/>
    <w:next w:val="1"/>
    <w:link w:val="79"/>
    <w:autoRedefine/>
    <w:qFormat/>
    <w:uiPriority w:val="0"/>
    <w:pPr>
      <w:widowControl/>
      <w:tabs>
        <w:tab w:val="left" w:pos="567"/>
        <w:tab w:val="left" w:pos="1418"/>
        <w:tab w:val="left" w:pos="2268"/>
        <w:tab w:val="left" w:pos="3402"/>
        <w:tab w:val="left" w:pos="4536"/>
        <w:tab w:val="left" w:pos="5954"/>
      </w:tabs>
      <w:overflowPunct w:val="0"/>
      <w:autoSpaceDE w:val="0"/>
      <w:autoSpaceDN w:val="0"/>
      <w:adjustRightInd w:val="0"/>
      <w:textAlignment w:val="baseline"/>
      <w:outlineLvl w:val="5"/>
    </w:pPr>
    <w:rPr>
      <w:rFonts w:ascii="Helvetica" w:hAnsi="Helvetica" w:eastAsia="楷体_GB2312"/>
      <w:b/>
      <w:i/>
      <w:kern w:val="0"/>
      <w:position w:val="-6"/>
      <w:sz w:val="22"/>
      <w:szCs w:val="20"/>
      <w:lang w:val="en-GB"/>
    </w:rPr>
  </w:style>
  <w:style w:type="paragraph" w:styleId="8">
    <w:name w:val="heading 7"/>
    <w:basedOn w:val="1"/>
    <w:next w:val="1"/>
    <w:link w:val="68"/>
    <w:autoRedefine/>
    <w:qFormat/>
    <w:uiPriority w:val="0"/>
    <w:pPr>
      <w:widowControl/>
      <w:overflowPunct w:val="0"/>
      <w:autoSpaceDE w:val="0"/>
      <w:autoSpaceDN w:val="0"/>
      <w:adjustRightInd w:val="0"/>
      <w:textAlignment w:val="baseline"/>
      <w:outlineLvl w:val="6"/>
    </w:pPr>
    <w:rPr>
      <w:rFonts w:ascii="Times New Roman" w:hAnsi="Times New Roman" w:eastAsia="楷体_GB2312"/>
      <w:i/>
      <w:kern w:val="0"/>
      <w:position w:val="-6"/>
      <w:sz w:val="22"/>
      <w:szCs w:val="20"/>
      <w:lang w:val="en-GB"/>
    </w:rPr>
  </w:style>
  <w:style w:type="paragraph" w:styleId="9">
    <w:name w:val="heading 8"/>
    <w:basedOn w:val="1"/>
    <w:next w:val="1"/>
    <w:link w:val="110"/>
    <w:autoRedefine/>
    <w:qFormat/>
    <w:uiPriority w:val="0"/>
    <w:pPr>
      <w:widowControl/>
      <w:overflowPunct w:val="0"/>
      <w:autoSpaceDE w:val="0"/>
      <w:autoSpaceDN w:val="0"/>
      <w:adjustRightInd w:val="0"/>
      <w:textAlignment w:val="baseline"/>
      <w:outlineLvl w:val="7"/>
    </w:pPr>
    <w:rPr>
      <w:rFonts w:ascii="Times New Roman" w:hAnsi="Times New Roman" w:eastAsia="楷体_GB2312"/>
      <w:i/>
      <w:kern w:val="0"/>
      <w:position w:val="-6"/>
      <w:sz w:val="22"/>
      <w:szCs w:val="20"/>
      <w:lang w:val="en-GB"/>
    </w:rPr>
  </w:style>
  <w:style w:type="paragraph" w:styleId="10">
    <w:name w:val="heading 9"/>
    <w:basedOn w:val="1"/>
    <w:next w:val="1"/>
    <w:link w:val="81"/>
    <w:autoRedefine/>
    <w:qFormat/>
    <w:uiPriority w:val="0"/>
    <w:pPr>
      <w:widowControl/>
      <w:overflowPunct w:val="0"/>
      <w:autoSpaceDE w:val="0"/>
      <w:autoSpaceDN w:val="0"/>
      <w:adjustRightInd w:val="0"/>
      <w:textAlignment w:val="baseline"/>
      <w:outlineLvl w:val="8"/>
    </w:pPr>
    <w:rPr>
      <w:rFonts w:ascii="Times New Roman" w:hAnsi="Times New Roman" w:eastAsia="楷体_GB2312"/>
      <w:i/>
      <w:kern w:val="0"/>
      <w:position w:val="-6"/>
      <w:sz w:val="22"/>
      <w:szCs w:val="20"/>
      <w:lang w:val="en-GB"/>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11">
    <w:name w:val="table of authorities"/>
    <w:basedOn w:val="1"/>
    <w:next w:val="1"/>
    <w:autoRedefine/>
    <w:unhideWhenUsed/>
    <w:qFormat/>
    <w:uiPriority w:val="99"/>
    <w:pPr>
      <w:ind w:left="420" w:leftChars="200"/>
    </w:pPr>
  </w:style>
  <w:style w:type="paragraph" w:styleId="12">
    <w:name w:val="Normal Indent"/>
    <w:basedOn w:val="1"/>
    <w:autoRedefine/>
    <w:qFormat/>
    <w:uiPriority w:val="0"/>
    <w:pPr>
      <w:spacing w:line="360" w:lineRule="exact"/>
      <w:ind w:left="525" w:firstLine="420"/>
    </w:pPr>
    <w:rPr>
      <w:rFonts w:ascii="宋体" w:hAnsi="Times New Roman"/>
      <w:szCs w:val="20"/>
    </w:rPr>
  </w:style>
  <w:style w:type="paragraph" w:styleId="13">
    <w:name w:val="Document Map"/>
    <w:basedOn w:val="1"/>
    <w:link w:val="87"/>
    <w:autoRedefine/>
    <w:qFormat/>
    <w:uiPriority w:val="99"/>
    <w:pPr>
      <w:shd w:val="clear" w:color="auto" w:fill="000080"/>
    </w:pPr>
    <w:rPr>
      <w:rFonts w:ascii="宋体"/>
      <w:sz w:val="18"/>
      <w:szCs w:val="18"/>
    </w:rPr>
  </w:style>
  <w:style w:type="paragraph" w:styleId="14">
    <w:name w:val="annotation text"/>
    <w:basedOn w:val="1"/>
    <w:link w:val="94"/>
    <w:autoRedefine/>
    <w:unhideWhenUsed/>
    <w:qFormat/>
    <w:uiPriority w:val="0"/>
    <w:pPr>
      <w:jc w:val="left"/>
    </w:pPr>
    <w:rPr>
      <w:kern w:val="0"/>
      <w:sz w:val="20"/>
      <w:szCs w:val="20"/>
    </w:rPr>
  </w:style>
  <w:style w:type="paragraph" w:styleId="15">
    <w:name w:val="Body Text 3"/>
    <w:basedOn w:val="1"/>
    <w:link w:val="89"/>
    <w:autoRedefine/>
    <w:qFormat/>
    <w:uiPriority w:val="99"/>
    <w:rPr>
      <w:kern w:val="0"/>
      <w:sz w:val="16"/>
      <w:szCs w:val="16"/>
    </w:rPr>
  </w:style>
  <w:style w:type="paragraph" w:styleId="16">
    <w:name w:val="Body Text"/>
    <w:basedOn w:val="1"/>
    <w:next w:val="1"/>
    <w:link w:val="93"/>
    <w:autoRedefine/>
    <w:qFormat/>
    <w:uiPriority w:val="0"/>
    <w:pPr>
      <w:spacing w:after="120"/>
    </w:pPr>
  </w:style>
  <w:style w:type="paragraph" w:styleId="17">
    <w:name w:val="Body Text Indent"/>
    <w:basedOn w:val="1"/>
    <w:link w:val="100"/>
    <w:autoRedefine/>
    <w:qFormat/>
    <w:uiPriority w:val="99"/>
    <w:pPr>
      <w:spacing w:after="120"/>
      <w:ind w:left="420" w:leftChars="200"/>
    </w:pPr>
  </w:style>
  <w:style w:type="paragraph" w:styleId="18">
    <w:name w:val="List 2"/>
    <w:basedOn w:val="1"/>
    <w:autoRedefine/>
    <w:qFormat/>
    <w:uiPriority w:val="0"/>
    <w:pPr>
      <w:ind w:left="840" w:hanging="420"/>
    </w:pPr>
    <w:rPr>
      <w:rFonts w:ascii="Times New Roman" w:hAnsi="Times New Roman"/>
      <w:sz w:val="24"/>
      <w:szCs w:val="20"/>
    </w:rPr>
  </w:style>
  <w:style w:type="paragraph" w:styleId="19">
    <w:name w:val="Plain Text"/>
    <w:basedOn w:val="1"/>
    <w:link w:val="52"/>
    <w:autoRedefine/>
    <w:qFormat/>
    <w:uiPriority w:val="99"/>
    <w:rPr>
      <w:rFonts w:ascii="宋体" w:hAnsi="Courier New"/>
      <w:szCs w:val="21"/>
    </w:rPr>
  </w:style>
  <w:style w:type="paragraph" w:styleId="20">
    <w:name w:val="Date"/>
    <w:basedOn w:val="1"/>
    <w:next w:val="1"/>
    <w:link w:val="72"/>
    <w:autoRedefine/>
    <w:qFormat/>
    <w:uiPriority w:val="0"/>
    <w:pPr>
      <w:ind w:left="100" w:leftChars="2500"/>
    </w:pPr>
    <w:rPr>
      <w:kern w:val="0"/>
      <w:sz w:val="20"/>
      <w:szCs w:val="20"/>
    </w:rPr>
  </w:style>
  <w:style w:type="paragraph" w:styleId="21">
    <w:name w:val="Body Text Indent 2"/>
    <w:basedOn w:val="1"/>
    <w:link w:val="53"/>
    <w:autoRedefine/>
    <w:qFormat/>
    <w:uiPriority w:val="99"/>
    <w:pPr>
      <w:spacing w:after="120" w:line="480" w:lineRule="auto"/>
      <w:ind w:left="420" w:leftChars="200"/>
    </w:pPr>
  </w:style>
  <w:style w:type="paragraph" w:styleId="22">
    <w:name w:val="Balloon Text"/>
    <w:basedOn w:val="1"/>
    <w:link w:val="114"/>
    <w:autoRedefine/>
    <w:qFormat/>
    <w:uiPriority w:val="99"/>
    <w:rPr>
      <w:sz w:val="18"/>
      <w:szCs w:val="18"/>
    </w:rPr>
  </w:style>
  <w:style w:type="paragraph" w:styleId="23">
    <w:name w:val="footer"/>
    <w:basedOn w:val="1"/>
    <w:link w:val="96"/>
    <w:autoRedefine/>
    <w:qFormat/>
    <w:uiPriority w:val="99"/>
    <w:pPr>
      <w:tabs>
        <w:tab w:val="center" w:pos="4153"/>
        <w:tab w:val="right" w:pos="8306"/>
      </w:tabs>
      <w:snapToGrid w:val="0"/>
      <w:jc w:val="left"/>
    </w:pPr>
    <w:rPr>
      <w:kern w:val="0"/>
      <w:sz w:val="18"/>
      <w:szCs w:val="18"/>
    </w:rPr>
  </w:style>
  <w:style w:type="paragraph" w:styleId="24">
    <w:name w:val="header"/>
    <w:basedOn w:val="1"/>
    <w:link w:val="85"/>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link w:val="66"/>
    <w:autoRedefine/>
    <w:qFormat/>
    <w:uiPriority w:val="0"/>
    <w:rPr>
      <w:szCs w:val="24"/>
    </w:rPr>
  </w:style>
  <w:style w:type="paragraph" w:styleId="26">
    <w:name w:val="Body Text Indent 3"/>
    <w:basedOn w:val="1"/>
    <w:link w:val="112"/>
    <w:autoRedefine/>
    <w:qFormat/>
    <w:uiPriority w:val="99"/>
    <w:pPr>
      <w:spacing w:after="120"/>
      <w:ind w:left="420" w:leftChars="200"/>
    </w:pPr>
    <w:rPr>
      <w:sz w:val="16"/>
      <w:szCs w:val="16"/>
    </w:rPr>
  </w:style>
  <w:style w:type="paragraph" w:styleId="27">
    <w:name w:val="Body Text 2"/>
    <w:basedOn w:val="1"/>
    <w:link w:val="70"/>
    <w:autoRedefine/>
    <w:qFormat/>
    <w:uiPriority w:val="99"/>
    <w:pPr>
      <w:spacing w:line="400" w:lineRule="exact"/>
      <w:jc w:val="center"/>
    </w:pPr>
  </w:style>
  <w:style w:type="paragraph" w:styleId="28">
    <w:name w:val="HTML Preformatted"/>
    <w:basedOn w:val="1"/>
    <w:link w:val="76"/>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29">
    <w:name w:val="Normal (Web)"/>
    <w:basedOn w:val="1"/>
    <w:autoRedefine/>
    <w:qFormat/>
    <w:uiPriority w:val="99"/>
    <w:pPr>
      <w:widowControl/>
      <w:jc w:val="left"/>
    </w:pPr>
    <w:rPr>
      <w:rFonts w:ascii="宋体" w:hAnsi="宋体" w:cs="宋体"/>
      <w:kern w:val="0"/>
      <w:sz w:val="24"/>
      <w:szCs w:val="24"/>
    </w:rPr>
  </w:style>
  <w:style w:type="paragraph" w:styleId="30">
    <w:name w:val="Title"/>
    <w:basedOn w:val="1"/>
    <w:next w:val="1"/>
    <w:link w:val="126"/>
    <w:autoRedefine/>
    <w:qFormat/>
    <w:uiPriority w:val="10"/>
    <w:pPr>
      <w:spacing w:line="360" w:lineRule="auto"/>
      <w:jc w:val="center"/>
    </w:pPr>
    <w:rPr>
      <w:rFonts w:ascii="Cambria" w:hAnsi="Cambria"/>
      <w:b/>
      <w:bCs/>
      <w:sz w:val="32"/>
      <w:szCs w:val="32"/>
    </w:rPr>
  </w:style>
  <w:style w:type="paragraph" w:styleId="31">
    <w:name w:val="Body Text First Indent"/>
    <w:basedOn w:val="1"/>
    <w:next w:val="1"/>
    <w:link w:val="124"/>
    <w:autoRedefine/>
    <w:qFormat/>
    <w:uiPriority w:val="0"/>
    <w:pPr>
      <w:ind w:firstLine="420" w:firstLineChars="100"/>
    </w:pPr>
  </w:style>
  <w:style w:type="paragraph" w:styleId="32">
    <w:name w:val="Body Text First Indent 2"/>
    <w:basedOn w:val="17"/>
    <w:link w:val="99"/>
    <w:autoRedefine/>
    <w:qFormat/>
    <w:uiPriority w:val="0"/>
    <w:pPr>
      <w:ind w:firstLine="420" w:firstLineChars="200"/>
    </w:pPr>
  </w:style>
  <w:style w:type="table" w:styleId="34">
    <w:name w:val="Table Grid"/>
    <w:basedOn w:val="33"/>
    <w:autoRedefine/>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autoRedefine/>
    <w:qFormat/>
    <w:uiPriority w:val="22"/>
    <w:rPr>
      <w:b/>
      <w:bCs/>
    </w:rPr>
  </w:style>
  <w:style w:type="character" w:styleId="37">
    <w:name w:val="page number"/>
    <w:autoRedefine/>
    <w:qFormat/>
    <w:uiPriority w:val="0"/>
  </w:style>
  <w:style w:type="character" w:styleId="38">
    <w:name w:val="FollowedHyperlink"/>
    <w:autoRedefine/>
    <w:unhideWhenUsed/>
    <w:qFormat/>
    <w:uiPriority w:val="99"/>
    <w:rPr>
      <w:color w:val="800080"/>
      <w:u w:val="none"/>
    </w:rPr>
  </w:style>
  <w:style w:type="character" w:styleId="39">
    <w:name w:val="Emphasis"/>
    <w:basedOn w:val="35"/>
    <w:autoRedefine/>
    <w:qFormat/>
    <w:uiPriority w:val="20"/>
    <w:rPr>
      <w:b/>
    </w:rPr>
  </w:style>
  <w:style w:type="character" w:styleId="40">
    <w:name w:val="HTML Definition"/>
    <w:basedOn w:val="35"/>
    <w:autoRedefine/>
    <w:semiHidden/>
    <w:unhideWhenUsed/>
    <w:qFormat/>
    <w:uiPriority w:val="0"/>
  </w:style>
  <w:style w:type="character" w:styleId="41">
    <w:name w:val="HTML Typewriter"/>
    <w:basedOn w:val="35"/>
    <w:autoRedefine/>
    <w:semiHidden/>
    <w:unhideWhenUsed/>
    <w:qFormat/>
    <w:uiPriority w:val="0"/>
    <w:rPr>
      <w:rFonts w:hint="default" w:ascii="monospace" w:hAnsi="monospace" w:eastAsia="monospace" w:cs="monospace"/>
      <w:sz w:val="20"/>
    </w:rPr>
  </w:style>
  <w:style w:type="character" w:styleId="42">
    <w:name w:val="HTML Acronym"/>
    <w:basedOn w:val="35"/>
    <w:autoRedefine/>
    <w:semiHidden/>
    <w:unhideWhenUsed/>
    <w:qFormat/>
    <w:uiPriority w:val="0"/>
  </w:style>
  <w:style w:type="character" w:styleId="43">
    <w:name w:val="HTML Variable"/>
    <w:basedOn w:val="35"/>
    <w:autoRedefine/>
    <w:semiHidden/>
    <w:unhideWhenUsed/>
    <w:qFormat/>
    <w:uiPriority w:val="0"/>
  </w:style>
  <w:style w:type="character" w:styleId="44">
    <w:name w:val="Hyperlink"/>
    <w:basedOn w:val="35"/>
    <w:autoRedefine/>
    <w:qFormat/>
    <w:uiPriority w:val="99"/>
    <w:rPr>
      <w:color w:val="0000FF"/>
      <w:u w:val="none"/>
    </w:rPr>
  </w:style>
  <w:style w:type="character" w:styleId="45">
    <w:name w:val="HTML Code"/>
    <w:basedOn w:val="35"/>
    <w:autoRedefine/>
    <w:semiHidden/>
    <w:unhideWhenUsed/>
    <w:qFormat/>
    <w:uiPriority w:val="0"/>
    <w:rPr>
      <w:rFonts w:hint="default" w:ascii="monospace" w:hAnsi="monospace" w:eastAsia="monospace" w:cs="monospace"/>
      <w:sz w:val="20"/>
    </w:rPr>
  </w:style>
  <w:style w:type="character" w:styleId="46">
    <w:name w:val="HTML Cite"/>
    <w:basedOn w:val="35"/>
    <w:autoRedefine/>
    <w:semiHidden/>
    <w:unhideWhenUsed/>
    <w:qFormat/>
    <w:uiPriority w:val="0"/>
  </w:style>
  <w:style w:type="character" w:styleId="47">
    <w:name w:val="HTML Keyboard"/>
    <w:basedOn w:val="35"/>
    <w:autoRedefine/>
    <w:semiHidden/>
    <w:unhideWhenUsed/>
    <w:qFormat/>
    <w:uiPriority w:val="0"/>
    <w:rPr>
      <w:rFonts w:hint="default" w:ascii="monospace" w:hAnsi="monospace" w:eastAsia="monospace" w:cs="monospace"/>
      <w:sz w:val="20"/>
    </w:rPr>
  </w:style>
  <w:style w:type="character" w:styleId="48">
    <w:name w:val="HTML Sample"/>
    <w:basedOn w:val="35"/>
    <w:autoRedefine/>
    <w:semiHidden/>
    <w:unhideWhenUsed/>
    <w:qFormat/>
    <w:uiPriority w:val="0"/>
    <w:rPr>
      <w:rFonts w:ascii="monospace" w:hAnsi="monospace" w:eastAsia="monospace" w:cs="monospace"/>
    </w:rPr>
  </w:style>
  <w:style w:type="paragraph" w:customStyle="1" w:styleId="49">
    <w:name w:val="TOC 标题1"/>
    <w:basedOn w:val="2"/>
    <w:next w:val="1"/>
    <w:autoRedefine/>
    <w:qFormat/>
    <w:uiPriority w:val="99"/>
    <w:pPr>
      <w:widowControl/>
      <w:spacing w:line="259" w:lineRule="auto"/>
      <w:jc w:val="left"/>
      <w:outlineLvl w:val="9"/>
    </w:pPr>
    <w:rPr>
      <w:rFonts w:ascii="Calibri Light" w:hAnsi="Calibri Light"/>
      <w:color w:val="2E74B5"/>
      <w:kern w:val="0"/>
    </w:rPr>
  </w:style>
  <w:style w:type="paragraph" w:customStyle="1" w:styleId="50">
    <w:name w:val="表格文字"/>
    <w:basedOn w:val="1"/>
    <w:next w:val="16"/>
    <w:autoRedefine/>
    <w:qFormat/>
    <w:uiPriority w:val="0"/>
    <w:rPr>
      <w:rFonts w:eastAsia="楷体_GB2312"/>
      <w:szCs w:val="21"/>
    </w:rPr>
  </w:style>
  <w:style w:type="character" w:customStyle="1" w:styleId="51">
    <w:name w:val="font241"/>
    <w:autoRedefine/>
    <w:qFormat/>
    <w:uiPriority w:val="0"/>
    <w:rPr>
      <w:rFonts w:ascii="Arial" w:hAnsi="Arial" w:cs="Arial"/>
      <w:color w:val="000000"/>
      <w:sz w:val="20"/>
      <w:szCs w:val="20"/>
      <w:u w:val="none"/>
    </w:rPr>
  </w:style>
  <w:style w:type="character" w:customStyle="1" w:styleId="52">
    <w:name w:val="纯文本 Char1"/>
    <w:link w:val="19"/>
    <w:autoRedefine/>
    <w:semiHidden/>
    <w:qFormat/>
    <w:uiPriority w:val="99"/>
    <w:rPr>
      <w:rFonts w:ascii="宋体" w:hAnsi="Courier New" w:cs="Courier New"/>
      <w:kern w:val="2"/>
      <w:sz w:val="21"/>
      <w:szCs w:val="21"/>
    </w:rPr>
  </w:style>
  <w:style w:type="character" w:customStyle="1" w:styleId="53">
    <w:name w:val="正文文本缩进 2 Char1"/>
    <w:link w:val="21"/>
    <w:autoRedefine/>
    <w:semiHidden/>
    <w:qFormat/>
    <w:uiPriority w:val="99"/>
    <w:rPr>
      <w:rFonts w:ascii="Calibri" w:hAnsi="Calibri"/>
      <w:kern w:val="2"/>
      <w:sz w:val="21"/>
      <w:szCs w:val="22"/>
    </w:rPr>
  </w:style>
  <w:style w:type="character" w:customStyle="1" w:styleId="54">
    <w:name w:val="font41"/>
    <w:autoRedefine/>
    <w:qFormat/>
    <w:uiPriority w:val="0"/>
    <w:rPr>
      <w:rFonts w:hint="eastAsia" w:ascii="宋体" w:hAnsi="宋体" w:eastAsia="宋体" w:cs="宋体"/>
      <w:color w:val="000000"/>
      <w:sz w:val="21"/>
      <w:szCs w:val="21"/>
      <w:u w:val="none"/>
    </w:rPr>
  </w:style>
  <w:style w:type="character" w:customStyle="1" w:styleId="55">
    <w:name w:val="font251"/>
    <w:autoRedefine/>
    <w:qFormat/>
    <w:uiPriority w:val="0"/>
    <w:rPr>
      <w:rFonts w:ascii="Arial" w:hAnsi="Arial" w:cs="Arial"/>
      <w:color w:val="000000"/>
      <w:sz w:val="16"/>
      <w:szCs w:val="16"/>
      <w:u w:val="none"/>
    </w:rPr>
  </w:style>
  <w:style w:type="character" w:customStyle="1" w:styleId="56">
    <w:name w:val="font131"/>
    <w:autoRedefine/>
    <w:qFormat/>
    <w:uiPriority w:val="0"/>
    <w:rPr>
      <w:rFonts w:hint="eastAsia" w:ascii="宋体" w:hAnsi="宋体" w:eastAsia="宋体" w:cs="宋体"/>
      <w:color w:val="000000"/>
      <w:sz w:val="21"/>
      <w:szCs w:val="21"/>
      <w:u w:val="none"/>
    </w:rPr>
  </w:style>
  <w:style w:type="character" w:customStyle="1" w:styleId="57">
    <w:name w:val="日期 Char1"/>
    <w:autoRedefine/>
    <w:semiHidden/>
    <w:qFormat/>
    <w:uiPriority w:val="99"/>
    <w:rPr>
      <w:rFonts w:ascii="Times New Roman" w:hAnsi="Times New Roman" w:eastAsia="宋体" w:cs="Times New Roman"/>
      <w:szCs w:val="24"/>
    </w:rPr>
  </w:style>
  <w:style w:type="character" w:customStyle="1" w:styleId="58">
    <w:name w:val="正文首行缩进 Char"/>
    <w:autoRedefine/>
    <w:qFormat/>
    <w:uiPriority w:val="0"/>
    <w:rPr>
      <w:szCs w:val="24"/>
    </w:rPr>
  </w:style>
  <w:style w:type="character" w:customStyle="1" w:styleId="59">
    <w:name w:val="font261"/>
    <w:autoRedefine/>
    <w:qFormat/>
    <w:uiPriority w:val="0"/>
    <w:rPr>
      <w:rFonts w:ascii="Arial" w:hAnsi="Arial" w:cs="Arial"/>
      <w:b/>
      <w:color w:val="000000"/>
      <w:sz w:val="16"/>
      <w:szCs w:val="16"/>
      <w:u w:val="none"/>
    </w:rPr>
  </w:style>
  <w:style w:type="character" w:customStyle="1" w:styleId="60">
    <w:name w:val="标题 2 Char"/>
    <w:link w:val="3"/>
    <w:autoRedefine/>
    <w:qFormat/>
    <w:uiPriority w:val="0"/>
    <w:rPr>
      <w:rFonts w:ascii="Arial" w:hAnsi="Arial" w:eastAsia="黑体"/>
      <w:b/>
      <w:bCs/>
      <w:kern w:val="2"/>
      <w:sz w:val="32"/>
      <w:szCs w:val="32"/>
    </w:rPr>
  </w:style>
  <w:style w:type="character" w:customStyle="1" w:styleId="61">
    <w:name w:val="font181"/>
    <w:autoRedefine/>
    <w:qFormat/>
    <w:uiPriority w:val="0"/>
    <w:rPr>
      <w:rFonts w:hint="eastAsia" w:ascii="宋体" w:hAnsi="宋体" w:eastAsia="宋体" w:cs="宋体"/>
      <w:b/>
      <w:color w:val="000000"/>
      <w:sz w:val="28"/>
      <w:szCs w:val="28"/>
      <w:u w:val="none"/>
    </w:rPr>
  </w:style>
  <w:style w:type="character" w:customStyle="1" w:styleId="62">
    <w:name w:val="正文文本 2 Char"/>
    <w:autoRedefine/>
    <w:qFormat/>
    <w:uiPriority w:val="0"/>
    <w:rPr>
      <w:rFonts w:eastAsia="华文中宋"/>
      <w:color w:val="000000"/>
      <w:sz w:val="36"/>
      <w:szCs w:val="21"/>
    </w:rPr>
  </w:style>
  <w:style w:type="character" w:customStyle="1" w:styleId="63">
    <w:name w:val="批注文字 Char"/>
    <w:autoRedefine/>
    <w:semiHidden/>
    <w:qFormat/>
    <w:uiPriority w:val="0"/>
    <w:rPr>
      <w:rFonts w:ascii="Calibri" w:hAnsi="Calibri"/>
      <w:kern w:val="2"/>
      <w:sz w:val="21"/>
      <w:szCs w:val="22"/>
    </w:rPr>
  </w:style>
  <w:style w:type="character" w:customStyle="1" w:styleId="64">
    <w:name w:val="font231"/>
    <w:autoRedefine/>
    <w:qFormat/>
    <w:uiPriority w:val="0"/>
    <w:rPr>
      <w:rFonts w:ascii="Arial" w:hAnsi="Arial" w:cs="Arial"/>
      <w:b/>
      <w:color w:val="000000"/>
      <w:sz w:val="20"/>
      <w:szCs w:val="20"/>
      <w:u w:val="none"/>
    </w:rPr>
  </w:style>
  <w:style w:type="character" w:customStyle="1" w:styleId="65">
    <w:name w:val="正文文本 Char2"/>
    <w:autoRedefine/>
    <w:semiHidden/>
    <w:qFormat/>
    <w:uiPriority w:val="99"/>
    <w:rPr>
      <w:rFonts w:ascii="Times New Roman" w:hAnsi="Times New Roman" w:eastAsia="宋体" w:cs="Times New Roman"/>
      <w:szCs w:val="24"/>
    </w:rPr>
  </w:style>
  <w:style w:type="character" w:customStyle="1" w:styleId="66">
    <w:name w:val="目录 1 Char"/>
    <w:link w:val="25"/>
    <w:autoRedefine/>
    <w:qFormat/>
    <w:uiPriority w:val="0"/>
    <w:rPr>
      <w:rFonts w:ascii="Calibri" w:hAnsi="Calibri" w:eastAsia="宋体" w:cs="Times New Roman"/>
      <w:kern w:val="2"/>
      <w:sz w:val="21"/>
      <w:szCs w:val="24"/>
    </w:rPr>
  </w:style>
  <w:style w:type="character" w:customStyle="1" w:styleId="67">
    <w:name w:val="页脚 Char1"/>
    <w:autoRedefine/>
    <w:semiHidden/>
    <w:qFormat/>
    <w:uiPriority w:val="99"/>
    <w:rPr>
      <w:rFonts w:ascii="Times New Roman" w:hAnsi="Times New Roman" w:eastAsia="宋体" w:cs="Times New Roman"/>
      <w:sz w:val="18"/>
      <w:szCs w:val="18"/>
    </w:rPr>
  </w:style>
  <w:style w:type="character" w:customStyle="1" w:styleId="68">
    <w:name w:val="标题 7 Char"/>
    <w:link w:val="8"/>
    <w:autoRedefine/>
    <w:qFormat/>
    <w:uiPriority w:val="0"/>
    <w:rPr>
      <w:rFonts w:eastAsia="楷体_GB2312"/>
      <w:i/>
      <w:position w:val="-6"/>
      <w:sz w:val="22"/>
      <w:lang w:val="en-GB"/>
    </w:rPr>
  </w:style>
  <w:style w:type="character" w:customStyle="1" w:styleId="69">
    <w:name w:val="正文文本缩进 3 Char"/>
    <w:autoRedefine/>
    <w:qFormat/>
    <w:uiPriority w:val="0"/>
    <w:rPr>
      <w:sz w:val="16"/>
      <w:szCs w:val="16"/>
    </w:rPr>
  </w:style>
  <w:style w:type="character" w:customStyle="1" w:styleId="70">
    <w:name w:val="正文文本 2 Char1"/>
    <w:link w:val="27"/>
    <w:autoRedefine/>
    <w:semiHidden/>
    <w:qFormat/>
    <w:uiPriority w:val="99"/>
    <w:rPr>
      <w:rFonts w:ascii="Calibri" w:hAnsi="Calibri"/>
      <w:kern w:val="2"/>
      <w:sz w:val="21"/>
      <w:szCs w:val="22"/>
    </w:rPr>
  </w:style>
  <w:style w:type="character" w:customStyle="1" w:styleId="71">
    <w:name w:val="font171"/>
    <w:autoRedefine/>
    <w:qFormat/>
    <w:uiPriority w:val="0"/>
    <w:rPr>
      <w:rFonts w:hint="eastAsia" w:ascii="宋体" w:hAnsi="宋体" w:eastAsia="宋体" w:cs="宋体"/>
      <w:b/>
      <w:color w:val="000000"/>
      <w:sz w:val="16"/>
      <w:szCs w:val="16"/>
      <w:u w:val="none"/>
    </w:rPr>
  </w:style>
  <w:style w:type="character" w:customStyle="1" w:styleId="72">
    <w:name w:val="日期 Char"/>
    <w:link w:val="20"/>
    <w:autoRedefine/>
    <w:qFormat/>
    <w:uiPriority w:val="0"/>
    <w:rPr>
      <w:rFonts w:ascii="Calibri" w:hAnsi="Calibri" w:eastAsia="宋体" w:cs="Times New Roman"/>
    </w:rPr>
  </w:style>
  <w:style w:type="character" w:customStyle="1" w:styleId="73">
    <w:name w:val="标题 4 Char"/>
    <w:link w:val="5"/>
    <w:autoRedefine/>
    <w:qFormat/>
    <w:uiPriority w:val="0"/>
    <w:rPr>
      <w:rFonts w:ascii="Arial" w:hAnsi="Arial"/>
      <w:b/>
      <w:spacing w:val="20"/>
      <w:sz w:val="28"/>
    </w:rPr>
  </w:style>
  <w:style w:type="character" w:customStyle="1" w:styleId="74">
    <w:name w:val="redfilenumber"/>
    <w:autoRedefine/>
    <w:qFormat/>
    <w:uiPriority w:val="0"/>
    <w:rPr>
      <w:color w:val="BA2636"/>
      <w:sz w:val="18"/>
      <w:szCs w:val="18"/>
    </w:rPr>
  </w:style>
  <w:style w:type="character" w:customStyle="1" w:styleId="75">
    <w:name w:val="qxdate"/>
    <w:autoRedefine/>
    <w:qFormat/>
    <w:uiPriority w:val="0"/>
    <w:rPr>
      <w:color w:val="333333"/>
      <w:sz w:val="18"/>
      <w:szCs w:val="18"/>
    </w:rPr>
  </w:style>
  <w:style w:type="character" w:customStyle="1" w:styleId="76">
    <w:name w:val="HTML 预设格式 Char1"/>
    <w:link w:val="28"/>
    <w:autoRedefine/>
    <w:semiHidden/>
    <w:qFormat/>
    <w:uiPriority w:val="99"/>
    <w:rPr>
      <w:rFonts w:ascii="Courier New" w:hAnsi="Courier New" w:cs="Courier New"/>
      <w:kern w:val="2"/>
    </w:rPr>
  </w:style>
  <w:style w:type="character" w:customStyle="1" w:styleId="77">
    <w:name w:val="font71"/>
    <w:autoRedefine/>
    <w:qFormat/>
    <w:uiPriority w:val="0"/>
    <w:rPr>
      <w:rFonts w:hint="eastAsia" w:ascii="宋体" w:hAnsi="宋体" w:eastAsia="宋体" w:cs="宋体"/>
      <w:b/>
      <w:color w:val="000000"/>
      <w:sz w:val="28"/>
      <w:szCs w:val="28"/>
      <w:u w:val="none"/>
    </w:rPr>
  </w:style>
  <w:style w:type="character" w:customStyle="1" w:styleId="78">
    <w:name w:val="正文文本缩进 Char"/>
    <w:autoRedefine/>
    <w:qFormat/>
    <w:uiPriority w:val="0"/>
    <w:rPr>
      <w:szCs w:val="24"/>
    </w:rPr>
  </w:style>
  <w:style w:type="character" w:customStyle="1" w:styleId="79">
    <w:name w:val="标题 6 Char"/>
    <w:link w:val="7"/>
    <w:autoRedefine/>
    <w:qFormat/>
    <w:uiPriority w:val="0"/>
    <w:rPr>
      <w:rFonts w:ascii="Helvetica" w:hAnsi="Helvetica" w:eastAsia="楷体_GB2312"/>
      <w:b/>
      <w:i/>
      <w:position w:val="-6"/>
      <w:sz w:val="22"/>
      <w:lang w:val="en-GB"/>
    </w:rPr>
  </w:style>
  <w:style w:type="character" w:customStyle="1" w:styleId="80">
    <w:name w:val="font01"/>
    <w:basedOn w:val="35"/>
    <w:autoRedefine/>
    <w:qFormat/>
    <w:uiPriority w:val="0"/>
    <w:rPr>
      <w:rFonts w:hint="eastAsia" w:ascii="宋体" w:hAnsi="宋体" w:eastAsia="宋体" w:cs="宋体"/>
      <w:color w:val="000000"/>
      <w:sz w:val="20"/>
      <w:szCs w:val="20"/>
      <w:u w:val="none"/>
    </w:rPr>
  </w:style>
  <w:style w:type="character" w:customStyle="1" w:styleId="81">
    <w:name w:val="标题 9 Char"/>
    <w:link w:val="10"/>
    <w:autoRedefine/>
    <w:qFormat/>
    <w:uiPriority w:val="0"/>
    <w:rPr>
      <w:rFonts w:eastAsia="楷体_GB2312"/>
      <w:i/>
      <w:position w:val="-6"/>
      <w:sz w:val="22"/>
      <w:lang w:val="en-GB"/>
    </w:rPr>
  </w:style>
  <w:style w:type="character" w:customStyle="1" w:styleId="82">
    <w:name w:val="font121"/>
    <w:autoRedefine/>
    <w:qFormat/>
    <w:uiPriority w:val="0"/>
    <w:rPr>
      <w:rFonts w:ascii="Arial" w:hAnsi="Arial" w:cs="Arial"/>
      <w:color w:val="000000"/>
      <w:sz w:val="20"/>
      <w:szCs w:val="20"/>
      <w:u w:val="none"/>
    </w:rPr>
  </w:style>
  <w:style w:type="character" w:customStyle="1" w:styleId="83">
    <w:name w:val="标题 5 Char"/>
    <w:link w:val="6"/>
    <w:autoRedefine/>
    <w:qFormat/>
    <w:uiPriority w:val="0"/>
    <w:rPr>
      <w:b/>
      <w:spacing w:val="20"/>
      <w:sz w:val="28"/>
    </w:rPr>
  </w:style>
  <w:style w:type="character" w:customStyle="1" w:styleId="84">
    <w:name w:val="font22"/>
    <w:autoRedefine/>
    <w:qFormat/>
    <w:uiPriority w:val="0"/>
    <w:rPr>
      <w:rFonts w:ascii="Arial" w:hAnsi="Arial" w:cs="Arial"/>
      <w:color w:val="000000"/>
      <w:sz w:val="21"/>
      <w:szCs w:val="21"/>
      <w:u w:val="none"/>
    </w:rPr>
  </w:style>
  <w:style w:type="character" w:customStyle="1" w:styleId="85">
    <w:name w:val="页眉 Char"/>
    <w:link w:val="24"/>
    <w:autoRedefine/>
    <w:qFormat/>
    <w:uiPriority w:val="99"/>
    <w:rPr>
      <w:rFonts w:ascii="Calibri" w:hAnsi="Calibri" w:eastAsia="宋体" w:cs="Times New Roman"/>
      <w:sz w:val="18"/>
      <w:szCs w:val="18"/>
    </w:rPr>
  </w:style>
  <w:style w:type="character" w:customStyle="1" w:styleId="86">
    <w:name w:val="HTML 预设格式 Char"/>
    <w:autoRedefine/>
    <w:qFormat/>
    <w:uiPriority w:val="0"/>
    <w:rPr>
      <w:rFonts w:ascii="宋体" w:hAnsi="宋体" w:cs="宋体"/>
      <w:sz w:val="24"/>
      <w:szCs w:val="24"/>
    </w:rPr>
  </w:style>
  <w:style w:type="character" w:customStyle="1" w:styleId="87">
    <w:name w:val="文档结构图 Char1"/>
    <w:link w:val="13"/>
    <w:autoRedefine/>
    <w:semiHidden/>
    <w:qFormat/>
    <w:uiPriority w:val="99"/>
    <w:rPr>
      <w:rFonts w:ascii="宋体" w:hAnsi="Calibri"/>
      <w:kern w:val="2"/>
      <w:sz w:val="18"/>
      <w:szCs w:val="18"/>
    </w:rPr>
  </w:style>
  <w:style w:type="character" w:customStyle="1" w:styleId="88">
    <w:name w:val="font51"/>
    <w:basedOn w:val="35"/>
    <w:autoRedefine/>
    <w:qFormat/>
    <w:uiPriority w:val="0"/>
    <w:rPr>
      <w:rFonts w:hint="eastAsia" w:ascii="宋体" w:hAnsi="宋体" w:eastAsia="宋体" w:cs="宋体"/>
      <w:color w:val="000000"/>
      <w:sz w:val="20"/>
      <w:szCs w:val="20"/>
      <w:u w:val="none"/>
    </w:rPr>
  </w:style>
  <w:style w:type="character" w:customStyle="1" w:styleId="89">
    <w:name w:val="正文文本 3 Char1"/>
    <w:link w:val="15"/>
    <w:autoRedefine/>
    <w:semiHidden/>
    <w:qFormat/>
    <w:uiPriority w:val="99"/>
    <w:rPr>
      <w:rFonts w:ascii="Calibri" w:hAnsi="Calibri" w:eastAsia="宋体" w:cs="Times New Roman"/>
      <w:sz w:val="16"/>
      <w:szCs w:val="16"/>
    </w:rPr>
  </w:style>
  <w:style w:type="character" w:customStyle="1" w:styleId="90">
    <w:name w:val="批注框文本 Char"/>
    <w:autoRedefine/>
    <w:qFormat/>
    <w:uiPriority w:val="99"/>
    <w:rPr>
      <w:sz w:val="18"/>
      <w:szCs w:val="18"/>
    </w:rPr>
  </w:style>
  <w:style w:type="character" w:customStyle="1" w:styleId="91">
    <w:name w:val="apple-converted-space"/>
    <w:basedOn w:val="35"/>
    <w:autoRedefine/>
    <w:qFormat/>
    <w:uiPriority w:val="0"/>
  </w:style>
  <w:style w:type="character" w:customStyle="1" w:styleId="92">
    <w:name w:val="正文文本 3 Char"/>
    <w:autoRedefine/>
    <w:qFormat/>
    <w:uiPriority w:val="0"/>
    <w:rPr>
      <w:rFonts w:ascii="宋体"/>
      <w:sz w:val="24"/>
    </w:rPr>
  </w:style>
  <w:style w:type="character" w:customStyle="1" w:styleId="93">
    <w:name w:val="正文文本 Char"/>
    <w:link w:val="16"/>
    <w:autoRedefine/>
    <w:qFormat/>
    <w:uiPriority w:val="0"/>
    <w:rPr>
      <w:rFonts w:ascii="Calibri" w:hAnsi="Calibri"/>
      <w:kern w:val="2"/>
      <w:sz w:val="21"/>
      <w:szCs w:val="22"/>
    </w:rPr>
  </w:style>
  <w:style w:type="character" w:customStyle="1" w:styleId="94">
    <w:name w:val="批注文字 Char1"/>
    <w:link w:val="14"/>
    <w:autoRedefine/>
    <w:qFormat/>
    <w:uiPriority w:val="0"/>
    <w:rPr>
      <w:rFonts w:ascii="Calibri" w:hAnsi="Calibri"/>
    </w:rPr>
  </w:style>
  <w:style w:type="character" w:customStyle="1" w:styleId="95">
    <w:name w:val="font61"/>
    <w:autoRedefine/>
    <w:qFormat/>
    <w:uiPriority w:val="0"/>
    <w:rPr>
      <w:rFonts w:ascii="Arial" w:hAnsi="Arial" w:cs="Arial"/>
      <w:color w:val="000000"/>
      <w:sz w:val="21"/>
      <w:szCs w:val="21"/>
      <w:u w:val="none"/>
    </w:rPr>
  </w:style>
  <w:style w:type="character" w:customStyle="1" w:styleId="96">
    <w:name w:val="页脚 Char"/>
    <w:link w:val="23"/>
    <w:autoRedefine/>
    <w:qFormat/>
    <w:uiPriority w:val="99"/>
    <w:rPr>
      <w:rFonts w:ascii="Calibri" w:hAnsi="Calibri" w:eastAsia="宋体" w:cs="Times New Roman"/>
      <w:sz w:val="18"/>
      <w:szCs w:val="18"/>
    </w:rPr>
  </w:style>
  <w:style w:type="character" w:customStyle="1" w:styleId="97">
    <w:name w:val="font151"/>
    <w:autoRedefine/>
    <w:qFormat/>
    <w:uiPriority w:val="0"/>
    <w:rPr>
      <w:rFonts w:hint="default" w:ascii="Times New Roman" w:hAnsi="Times New Roman" w:cs="Times New Roman"/>
      <w:b/>
      <w:color w:val="000000"/>
      <w:sz w:val="21"/>
      <w:szCs w:val="21"/>
      <w:u w:val="none"/>
    </w:rPr>
  </w:style>
  <w:style w:type="character" w:customStyle="1" w:styleId="98">
    <w:name w:val="标题 1 Char"/>
    <w:link w:val="2"/>
    <w:autoRedefine/>
    <w:qFormat/>
    <w:uiPriority w:val="0"/>
    <w:rPr>
      <w:b/>
      <w:bCs/>
      <w:kern w:val="44"/>
      <w:sz w:val="44"/>
      <w:szCs w:val="44"/>
    </w:rPr>
  </w:style>
  <w:style w:type="character" w:customStyle="1" w:styleId="99">
    <w:name w:val="正文首行缩进 2 Char1"/>
    <w:basedOn w:val="100"/>
    <w:link w:val="32"/>
    <w:autoRedefine/>
    <w:semiHidden/>
    <w:qFormat/>
    <w:uiPriority w:val="99"/>
    <w:rPr>
      <w:rFonts w:ascii="Calibri" w:hAnsi="Calibri"/>
      <w:kern w:val="2"/>
      <w:sz w:val="21"/>
      <w:szCs w:val="22"/>
    </w:rPr>
  </w:style>
  <w:style w:type="character" w:customStyle="1" w:styleId="100">
    <w:name w:val="正文文本缩进 Char1"/>
    <w:link w:val="17"/>
    <w:autoRedefine/>
    <w:semiHidden/>
    <w:qFormat/>
    <w:uiPriority w:val="99"/>
    <w:rPr>
      <w:rFonts w:ascii="Calibri" w:hAnsi="Calibri"/>
      <w:kern w:val="2"/>
      <w:sz w:val="21"/>
      <w:szCs w:val="22"/>
    </w:rPr>
  </w:style>
  <w:style w:type="character" w:customStyle="1" w:styleId="101">
    <w:name w:val="font81"/>
    <w:autoRedefine/>
    <w:qFormat/>
    <w:uiPriority w:val="99"/>
    <w:rPr>
      <w:rFonts w:hint="default" w:ascii="Times New Roman" w:hAnsi="Times New Roman" w:cs="Times New Roman"/>
      <w:b/>
      <w:color w:val="000000"/>
      <w:sz w:val="28"/>
      <w:szCs w:val="28"/>
      <w:u w:val="none"/>
    </w:rPr>
  </w:style>
  <w:style w:type="character" w:customStyle="1" w:styleId="102">
    <w:name w:val="cfdate"/>
    <w:autoRedefine/>
    <w:qFormat/>
    <w:uiPriority w:val="0"/>
    <w:rPr>
      <w:color w:val="333333"/>
      <w:sz w:val="18"/>
      <w:szCs w:val="18"/>
    </w:rPr>
  </w:style>
  <w:style w:type="character" w:customStyle="1" w:styleId="103">
    <w:name w:val="文档结构图 Char"/>
    <w:autoRedefine/>
    <w:qFormat/>
    <w:uiPriority w:val="0"/>
    <w:rPr>
      <w:szCs w:val="24"/>
      <w:shd w:val="clear" w:color="auto" w:fill="000080"/>
    </w:rPr>
  </w:style>
  <w:style w:type="character" w:customStyle="1" w:styleId="104">
    <w:name w:val="mini-outputtext2"/>
    <w:autoRedefine/>
    <w:qFormat/>
    <w:uiPriority w:val="0"/>
  </w:style>
  <w:style w:type="character" w:customStyle="1" w:styleId="105">
    <w:name w:val="font31"/>
    <w:basedOn w:val="35"/>
    <w:autoRedefine/>
    <w:qFormat/>
    <w:uiPriority w:val="0"/>
    <w:rPr>
      <w:rFonts w:hint="default" w:ascii="Times New Roman" w:hAnsi="Times New Roman" w:cs="Times New Roman"/>
      <w:color w:val="000000"/>
      <w:sz w:val="20"/>
      <w:szCs w:val="20"/>
      <w:u w:val="none"/>
    </w:rPr>
  </w:style>
  <w:style w:type="character" w:customStyle="1" w:styleId="106">
    <w:name w:val="标题 3 Char"/>
    <w:link w:val="4"/>
    <w:autoRedefine/>
    <w:qFormat/>
    <w:uiPriority w:val="0"/>
    <w:rPr>
      <w:b/>
      <w:bCs/>
      <w:kern w:val="2"/>
      <w:sz w:val="32"/>
      <w:szCs w:val="32"/>
    </w:rPr>
  </w:style>
  <w:style w:type="character" w:customStyle="1" w:styleId="107">
    <w:name w:val="font141"/>
    <w:autoRedefine/>
    <w:qFormat/>
    <w:uiPriority w:val="0"/>
    <w:rPr>
      <w:rFonts w:ascii="Arial" w:hAnsi="Arial" w:cs="Arial"/>
      <w:b/>
      <w:color w:val="000000"/>
      <w:sz w:val="21"/>
      <w:szCs w:val="21"/>
      <w:u w:val="none"/>
    </w:rPr>
  </w:style>
  <w:style w:type="character" w:customStyle="1" w:styleId="108">
    <w:name w:val="font161"/>
    <w:autoRedefine/>
    <w:qFormat/>
    <w:uiPriority w:val="0"/>
    <w:rPr>
      <w:rFonts w:hint="eastAsia" w:ascii="宋体" w:hAnsi="宋体" w:eastAsia="宋体" w:cs="宋体"/>
      <w:b/>
      <w:color w:val="000000"/>
      <w:sz w:val="16"/>
      <w:szCs w:val="16"/>
      <w:u w:val="none"/>
    </w:rPr>
  </w:style>
  <w:style w:type="character" w:customStyle="1" w:styleId="109">
    <w:name w:val="正文首行缩进 2 Char"/>
    <w:autoRedefine/>
    <w:qFormat/>
    <w:uiPriority w:val="0"/>
    <w:rPr>
      <w:szCs w:val="24"/>
    </w:rPr>
  </w:style>
  <w:style w:type="character" w:customStyle="1" w:styleId="110">
    <w:name w:val="标题 8 Char"/>
    <w:link w:val="9"/>
    <w:autoRedefine/>
    <w:qFormat/>
    <w:uiPriority w:val="0"/>
    <w:rPr>
      <w:rFonts w:eastAsia="楷体_GB2312"/>
      <w:i/>
      <w:position w:val="-6"/>
      <w:sz w:val="22"/>
      <w:lang w:val="en-GB"/>
    </w:rPr>
  </w:style>
  <w:style w:type="character" w:customStyle="1" w:styleId="111">
    <w:name w:val="正文文本缩进 2 Char"/>
    <w:autoRedefine/>
    <w:qFormat/>
    <w:uiPriority w:val="0"/>
    <w:rPr>
      <w:szCs w:val="24"/>
    </w:rPr>
  </w:style>
  <w:style w:type="character" w:customStyle="1" w:styleId="112">
    <w:name w:val="正文文本缩进 3 Char1"/>
    <w:link w:val="26"/>
    <w:autoRedefine/>
    <w:semiHidden/>
    <w:qFormat/>
    <w:uiPriority w:val="99"/>
    <w:rPr>
      <w:rFonts w:ascii="Calibri" w:hAnsi="Calibri"/>
      <w:kern w:val="2"/>
      <w:sz w:val="16"/>
      <w:szCs w:val="16"/>
    </w:rPr>
  </w:style>
  <w:style w:type="character" w:customStyle="1" w:styleId="113">
    <w:name w:val="gjfg"/>
    <w:basedOn w:val="35"/>
    <w:autoRedefine/>
    <w:qFormat/>
    <w:uiPriority w:val="0"/>
  </w:style>
  <w:style w:type="character" w:customStyle="1" w:styleId="114">
    <w:name w:val="批注框文本 Char1"/>
    <w:link w:val="22"/>
    <w:autoRedefine/>
    <w:semiHidden/>
    <w:qFormat/>
    <w:uiPriority w:val="99"/>
    <w:rPr>
      <w:rFonts w:ascii="Calibri" w:hAnsi="Calibri"/>
      <w:kern w:val="2"/>
      <w:sz w:val="18"/>
      <w:szCs w:val="18"/>
    </w:rPr>
  </w:style>
  <w:style w:type="character" w:customStyle="1" w:styleId="115">
    <w:name w:val="apple-tab-span"/>
    <w:autoRedefine/>
    <w:qFormat/>
    <w:uiPriority w:val="0"/>
  </w:style>
  <w:style w:type="character" w:customStyle="1" w:styleId="116">
    <w:name w:val="页眉 Char1"/>
    <w:autoRedefine/>
    <w:semiHidden/>
    <w:qFormat/>
    <w:uiPriority w:val="99"/>
    <w:rPr>
      <w:rFonts w:ascii="Times New Roman" w:hAnsi="Times New Roman" w:eastAsia="宋体" w:cs="Times New Roman"/>
      <w:sz w:val="18"/>
      <w:szCs w:val="18"/>
    </w:rPr>
  </w:style>
  <w:style w:type="character" w:customStyle="1" w:styleId="117">
    <w:name w:val="15"/>
    <w:autoRedefine/>
    <w:qFormat/>
    <w:uiPriority w:val="0"/>
    <w:rPr>
      <w:rFonts w:hint="default" w:ascii="Times New Roman" w:hAnsi="Times New Roman" w:cs="Times New Roman"/>
      <w:b/>
      <w:bCs/>
      <w:sz w:val="20"/>
      <w:szCs w:val="20"/>
    </w:rPr>
  </w:style>
  <w:style w:type="character" w:customStyle="1" w:styleId="118">
    <w:name w:val="font211"/>
    <w:autoRedefine/>
    <w:qFormat/>
    <w:uiPriority w:val="0"/>
    <w:rPr>
      <w:rFonts w:hint="eastAsia" w:ascii="宋体" w:hAnsi="宋体" w:eastAsia="宋体" w:cs="宋体"/>
      <w:b/>
      <w:color w:val="000000"/>
      <w:sz w:val="24"/>
      <w:szCs w:val="24"/>
      <w:u w:val="none"/>
    </w:rPr>
  </w:style>
  <w:style w:type="character" w:customStyle="1" w:styleId="119">
    <w:name w:val="font11"/>
    <w:basedOn w:val="35"/>
    <w:autoRedefine/>
    <w:qFormat/>
    <w:uiPriority w:val="99"/>
    <w:rPr>
      <w:rFonts w:hint="eastAsia" w:ascii="宋体" w:hAnsi="宋体" w:eastAsia="宋体" w:cs="宋体"/>
      <w:b/>
      <w:color w:val="000000"/>
      <w:sz w:val="21"/>
      <w:szCs w:val="21"/>
      <w:u w:val="none"/>
    </w:rPr>
  </w:style>
  <w:style w:type="character" w:customStyle="1" w:styleId="120">
    <w:name w:val="纯文本 Char"/>
    <w:autoRedefine/>
    <w:qFormat/>
    <w:uiPriority w:val="0"/>
    <w:rPr>
      <w:rFonts w:ascii="宋体" w:hAnsi="Courier New"/>
      <w:sz w:val="24"/>
    </w:rPr>
  </w:style>
  <w:style w:type="character" w:customStyle="1" w:styleId="121">
    <w:name w:val="正文文本 Char1"/>
    <w:autoRedefine/>
    <w:qFormat/>
    <w:uiPriority w:val="0"/>
    <w:rPr>
      <w:szCs w:val="24"/>
    </w:rPr>
  </w:style>
  <w:style w:type="character" w:customStyle="1" w:styleId="122">
    <w:name w:val="标题 Char"/>
    <w:autoRedefine/>
    <w:qFormat/>
    <w:uiPriority w:val="0"/>
    <w:rPr>
      <w:b/>
      <w:bCs/>
      <w:szCs w:val="24"/>
    </w:rPr>
  </w:style>
  <w:style w:type="character" w:customStyle="1" w:styleId="123">
    <w:name w:val="16"/>
    <w:basedOn w:val="35"/>
    <w:autoRedefine/>
    <w:qFormat/>
    <w:uiPriority w:val="0"/>
  </w:style>
  <w:style w:type="character" w:customStyle="1" w:styleId="124">
    <w:name w:val="正文首行缩进 Char1"/>
    <w:basedOn w:val="93"/>
    <w:link w:val="31"/>
    <w:autoRedefine/>
    <w:semiHidden/>
    <w:qFormat/>
    <w:uiPriority w:val="99"/>
    <w:rPr>
      <w:rFonts w:ascii="Calibri" w:hAnsi="Calibri"/>
      <w:kern w:val="2"/>
      <w:sz w:val="21"/>
      <w:szCs w:val="22"/>
    </w:rPr>
  </w:style>
  <w:style w:type="character" w:customStyle="1" w:styleId="125">
    <w:name w:val="displayarti"/>
    <w:autoRedefine/>
    <w:qFormat/>
    <w:uiPriority w:val="0"/>
    <w:rPr>
      <w:color w:val="FFFFFF"/>
      <w:shd w:val="clear" w:color="auto" w:fill="A00000"/>
    </w:rPr>
  </w:style>
  <w:style w:type="character" w:customStyle="1" w:styleId="126">
    <w:name w:val="标题 Char1"/>
    <w:link w:val="30"/>
    <w:autoRedefine/>
    <w:qFormat/>
    <w:uiPriority w:val="10"/>
    <w:rPr>
      <w:rFonts w:ascii="Cambria" w:hAnsi="Cambria" w:cs="Times New Roman"/>
      <w:b/>
      <w:bCs/>
      <w:kern w:val="2"/>
      <w:sz w:val="32"/>
      <w:szCs w:val="32"/>
    </w:rPr>
  </w:style>
  <w:style w:type="character" w:customStyle="1" w:styleId="127">
    <w:name w:val="redfilefwwh"/>
    <w:autoRedefine/>
    <w:qFormat/>
    <w:uiPriority w:val="0"/>
    <w:rPr>
      <w:color w:val="BA2636"/>
      <w:sz w:val="18"/>
      <w:szCs w:val="18"/>
    </w:rPr>
  </w:style>
  <w:style w:type="paragraph" w:customStyle="1" w:styleId="128">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9">
    <w:name w:val="列出段落2"/>
    <w:basedOn w:val="1"/>
    <w:autoRedefine/>
    <w:qFormat/>
    <w:uiPriority w:val="0"/>
    <w:pPr>
      <w:ind w:firstLine="420" w:firstLineChars="200"/>
    </w:pPr>
  </w:style>
  <w:style w:type="paragraph" w:customStyle="1" w:styleId="130">
    <w:name w:val="10 f"/>
    <w:basedOn w:val="1"/>
    <w:autoRedefine/>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131">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32">
    <w:name w:val="xl11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16"/>
      <w:szCs w:val="16"/>
    </w:rPr>
  </w:style>
  <w:style w:type="paragraph" w:customStyle="1" w:styleId="13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134">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5">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6">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rPr>
  </w:style>
  <w:style w:type="paragraph" w:customStyle="1" w:styleId="137">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8">
    <w:name w:val="xl67"/>
    <w:basedOn w:val="1"/>
    <w:autoRedefine/>
    <w:qFormat/>
    <w:uiPriority w:val="0"/>
    <w:pPr>
      <w:widowControl/>
      <w:spacing w:before="100" w:beforeAutospacing="1" w:after="100" w:afterAutospacing="1"/>
      <w:jc w:val="left"/>
      <w:textAlignment w:val="center"/>
    </w:pPr>
    <w:rPr>
      <w:rFonts w:ascii="宋体" w:hAnsi="宋体" w:cs="宋体"/>
      <w:color w:val="003300"/>
      <w:kern w:val="0"/>
      <w:sz w:val="20"/>
      <w:szCs w:val="20"/>
    </w:rPr>
  </w:style>
  <w:style w:type="paragraph" w:customStyle="1" w:styleId="139">
    <w:name w:val="font9"/>
    <w:basedOn w:val="1"/>
    <w:autoRedefine/>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14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3300"/>
      <w:kern w:val="0"/>
      <w:sz w:val="20"/>
      <w:szCs w:val="20"/>
    </w:rPr>
  </w:style>
  <w:style w:type="paragraph" w:customStyle="1" w:styleId="141">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2">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3">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44">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5">
    <w:name w:val="Absatz2AL"/>
    <w:basedOn w:val="16"/>
    <w:next w:val="1"/>
    <w:autoRedefine/>
    <w:qFormat/>
    <w:uiPriority w:val="0"/>
    <w:pPr>
      <w:widowControl/>
      <w:overflowPunct w:val="0"/>
      <w:autoSpaceDE w:val="0"/>
      <w:autoSpaceDN w:val="0"/>
      <w:adjustRightInd w:val="0"/>
      <w:spacing w:after="0"/>
      <w:textAlignment w:val="baseline"/>
    </w:pPr>
    <w:rPr>
      <w:rFonts w:eastAsia="楷体_GB2312"/>
      <w:sz w:val="24"/>
      <w:szCs w:val="20"/>
      <w:lang w:val="de-DE"/>
    </w:rPr>
  </w:style>
  <w:style w:type="paragraph" w:customStyle="1" w:styleId="146">
    <w:name w:val="xl100"/>
    <w:basedOn w:val="1"/>
    <w:autoRedefine/>
    <w:qFormat/>
    <w:uiPriority w:val="0"/>
    <w:pPr>
      <w:widowControl/>
      <w:pBdr>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47">
    <w:name w:val="font6"/>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48">
    <w:name w:val="正文格式"/>
    <w:basedOn w:val="1"/>
    <w:autoRedefine/>
    <w:qFormat/>
    <w:uiPriority w:val="0"/>
    <w:pPr>
      <w:spacing w:line="360" w:lineRule="auto"/>
      <w:jc w:val="left"/>
    </w:pPr>
    <w:rPr>
      <w:sz w:val="24"/>
      <w:szCs w:val="24"/>
    </w:rPr>
  </w:style>
  <w:style w:type="paragraph" w:customStyle="1" w:styleId="149">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50">
    <w:name w:val="xl10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51">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2">
    <w:name w:val="Standard o abs"/>
    <w:basedOn w:val="1"/>
    <w:autoRedefine/>
    <w:qFormat/>
    <w:uiPriority w:val="0"/>
    <w:pPr>
      <w:widowControl/>
      <w:tabs>
        <w:tab w:val="left" w:pos="2835"/>
        <w:tab w:val="left" w:pos="3119"/>
        <w:tab w:val="left" w:pos="3402"/>
        <w:tab w:val="left" w:pos="3686"/>
        <w:tab w:val="left" w:pos="3969"/>
        <w:tab w:val="left" w:pos="4253"/>
      </w:tabs>
      <w:ind w:left="2552"/>
      <w:jc w:val="left"/>
    </w:pPr>
    <w:rPr>
      <w:rFonts w:ascii="Syntax" w:hAnsi="Syntax"/>
      <w:kern w:val="0"/>
      <w:sz w:val="20"/>
      <w:szCs w:val="20"/>
      <w:lang w:val="de-DE" w:eastAsia="de-DE"/>
    </w:rPr>
  </w:style>
  <w:style w:type="paragraph" w:customStyle="1" w:styleId="153">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4">
    <w:name w:val="xl96"/>
    <w:basedOn w:val="1"/>
    <w:autoRedefine/>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44"/>
      <w:szCs w:val="44"/>
    </w:rPr>
  </w:style>
  <w:style w:type="paragraph" w:customStyle="1" w:styleId="155">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6">
    <w:name w:val="Char2"/>
    <w:basedOn w:val="1"/>
    <w:autoRedefine/>
    <w:qFormat/>
    <w:uiPriority w:val="0"/>
    <w:pPr>
      <w:ind w:left="432" w:hanging="432"/>
    </w:pPr>
    <w:rPr>
      <w:rFonts w:ascii="Times New Roman" w:hAnsi="Times New Roman"/>
      <w:sz w:val="24"/>
      <w:szCs w:val="24"/>
    </w:rPr>
  </w:style>
  <w:style w:type="paragraph" w:customStyle="1" w:styleId="15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9">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60">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61">
    <w:name w:val="List Paragraph"/>
    <w:basedOn w:val="1"/>
    <w:autoRedefine/>
    <w:qFormat/>
    <w:uiPriority w:val="34"/>
    <w:pPr>
      <w:ind w:firstLine="420" w:firstLineChars="200"/>
    </w:pPr>
    <w:rPr>
      <w:szCs w:val="24"/>
    </w:rPr>
  </w:style>
  <w:style w:type="paragraph" w:customStyle="1" w:styleId="162">
    <w:name w:val="xl69"/>
    <w:basedOn w:val="1"/>
    <w:autoRedefine/>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163">
    <w:name w:val="xl68"/>
    <w:basedOn w:val="1"/>
    <w:autoRedefine/>
    <w:qFormat/>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164">
    <w:name w:val="xl1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165">
    <w:name w:val="Char Char1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66">
    <w:name w:val="xl9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7">
    <w:name w:val="Char Char"/>
    <w:basedOn w:val="1"/>
    <w:autoRedefine/>
    <w:qFormat/>
    <w:uiPriority w:val="0"/>
    <w:rPr>
      <w:rFonts w:ascii="Tahoma" w:hAnsi="Tahoma"/>
      <w:sz w:val="24"/>
      <w:szCs w:val="20"/>
    </w:rPr>
  </w:style>
  <w:style w:type="paragraph" w:customStyle="1" w:styleId="168">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169">
    <w:name w:val="列出段落1"/>
    <w:basedOn w:val="1"/>
    <w:autoRedefine/>
    <w:qFormat/>
    <w:uiPriority w:val="34"/>
    <w:pPr>
      <w:ind w:firstLine="420" w:firstLineChars="200"/>
    </w:pPr>
  </w:style>
  <w:style w:type="paragraph" w:customStyle="1" w:styleId="170">
    <w:name w:val="p0"/>
    <w:basedOn w:val="1"/>
    <w:autoRedefine/>
    <w:qFormat/>
    <w:uiPriority w:val="0"/>
    <w:pPr>
      <w:widowControl/>
    </w:pPr>
    <w:rPr>
      <w:kern w:val="0"/>
      <w:szCs w:val="21"/>
    </w:rPr>
  </w:style>
  <w:style w:type="paragraph" w:customStyle="1" w:styleId="171">
    <w:name w:val="xl71"/>
    <w:basedOn w:val="1"/>
    <w:autoRedefine/>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72">
    <w:name w:val="soustitre"/>
    <w:basedOn w:val="1"/>
    <w:autoRedefine/>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lang w:val="fr-FR"/>
    </w:rPr>
  </w:style>
  <w:style w:type="paragraph" w:customStyle="1" w:styleId="173">
    <w:name w:val="无间隔1"/>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4">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5">
    <w:name w:val="xl9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76">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177">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3300"/>
      <w:kern w:val="0"/>
      <w:sz w:val="20"/>
      <w:szCs w:val="20"/>
    </w:rPr>
  </w:style>
  <w:style w:type="paragraph" w:customStyle="1" w:styleId="178">
    <w:name w:val="xl1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9">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80">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81">
    <w:name w:val="font8"/>
    <w:basedOn w:val="1"/>
    <w:autoRedefine/>
    <w:qFormat/>
    <w:uiPriority w:val="0"/>
    <w:pPr>
      <w:widowControl/>
      <w:spacing w:before="100" w:beforeAutospacing="1" w:after="100" w:afterAutospacing="1"/>
      <w:jc w:val="left"/>
    </w:pPr>
    <w:rPr>
      <w:rFonts w:ascii="Times New Roman" w:hAnsi="Times New Roman"/>
      <w:color w:val="000000"/>
      <w:kern w:val="0"/>
      <w:sz w:val="20"/>
      <w:szCs w:val="20"/>
    </w:rPr>
  </w:style>
  <w:style w:type="paragraph" w:customStyle="1" w:styleId="182">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3">
    <w:name w:val="Char Char2"/>
    <w:basedOn w:val="12"/>
    <w:autoRedefine/>
    <w:qFormat/>
    <w:uiPriority w:val="0"/>
    <w:pPr>
      <w:widowControl/>
      <w:spacing w:afterLines="50" w:line="360" w:lineRule="auto"/>
      <w:ind w:left="0" w:firstLine="480" w:firstLineChars="200"/>
      <w:jc w:val="left"/>
    </w:pPr>
    <w:rPr>
      <w:rFonts w:ascii="Times New Roman"/>
    </w:rPr>
  </w:style>
  <w:style w:type="paragraph" w:customStyle="1" w:styleId="184">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5">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8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87">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b/>
      <w:bCs/>
      <w:kern w:val="0"/>
      <w:sz w:val="20"/>
      <w:szCs w:val="20"/>
    </w:rPr>
  </w:style>
  <w:style w:type="paragraph" w:customStyle="1" w:styleId="188">
    <w:name w:val="样式1"/>
    <w:basedOn w:val="2"/>
    <w:next w:val="1"/>
    <w:autoRedefine/>
    <w:qFormat/>
    <w:uiPriority w:val="0"/>
    <w:pPr>
      <w:keepNext w:val="0"/>
      <w:keepLines w:val="0"/>
      <w:spacing w:before="100" w:beforeAutospacing="1" w:after="100" w:afterAutospacing="1" w:line="240" w:lineRule="auto"/>
      <w:jc w:val="left"/>
    </w:pPr>
    <w:rPr>
      <w:rFonts w:hint="eastAsia" w:ascii="宋体" w:hAnsi="宋体"/>
      <w:bCs w:val="0"/>
      <w:sz w:val="24"/>
      <w:szCs w:val="48"/>
    </w:rPr>
  </w:style>
  <w:style w:type="paragraph" w:customStyle="1" w:styleId="189">
    <w:name w:val="WPSOffice手动目录 1"/>
    <w:autoRedefine/>
    <w:qFormat/>
    <w:uiPriority w:val="0"/>
    <w:rPr>
      <w:rFonts w:ascii="Times New Roman" w:hAnsi="Times New Roman" w:eastAsia="宋体" w:cs="Times New Roman"/>
      <w:lang w:val="en-US" w:eastAsia="zh-CN" w:bidi="ar-SA"/>
    </w:rPr>
  </w:style>
  <w:style w:type="paragraph" w:customStyle="1" w:styleId="190">
    <w:name w:val="xl65"/>
    <w:basedOn w:val="1"/>
    <w:autoRedefine/>
    <w:qFormat/>
    <w:uiPriority w:val="0"/>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191">
    <w:name w:val="xl70"/>
    <w:basedOn w:val="1"/>
    <w:autoRedefine/>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92">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93">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94">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5">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96">
    <w:name w:val="xl95"/>
    <w:basedOn w:val="1"/>
    <w:autoRedefine/>
    <w:qFormat/>
    <w:uiPriority w:val="0"/>
    <w:pPr>
      <w:widowControl/>
      <w:spacing w:before="100" w:beforeAutospacing="1" w:after="100" w:afterAutospacing="1"/>
      <w:jc w:val="center"/>
      <w:textAlignment w:val="center"/>
    </w:pPr>
    <w:rPr>
      <w:rFonts w:ascii="宋体" w:hAnsi="宋体" w:cs="宋体"/>
      <w:kern w:val="0"/>
      <w:sz w:val="44"/>
      <w:szCs w:val="44"/>
    </w:rPr>
  </w:style>
  <w:style w:type="paragraph" w:customStyle="1" w:styleId="197">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8">
    <w:name w:val="Char"/>
    <w:basedOn w:val="1"/>
    <w:autoRedefine/>
    <w:qFormat/>
    <w:uiPriority w:val="0"/>
    <w:pPr>
      <w:tabs>
        <w:tab w:val="left" w:pos="420"/>
      </w:tabs>
      <w:ind w:left="420" w:hanging="420"/>
    </w:pPr>
    <w:rPr>
      <w:rFonts w:ascii="Times New Roman" w:hAnsi="Times New Roman"/>
      <w:szCs w:val="20"/>
    </w:rPr>
  </w:style>
  <w:style w:type="paragraph" w:customStyle="1" w:styleId="199">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00">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1">
    <w:name w:val="xl10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2">
    <w:name w:val="xl66"/>
    <w:basedOn w:val="1"/>
    <w:autoRedefine/>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203">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4">
    <w:name w:val="【3级标题】"/>
    <w:basedOn w:val="4"/>
    <w:next w:val="1"/>
    <w:autoRedefine/>
    <w:qFormat/>
    <w:uiPriority w:val="0"/>
    <w:pPr>
      <w:tabs>
        <w:tab w:val="left" w:pos="709"/>
      </w:tabs>
      <w:spacing w:before="280" w:after="140" w:line="240" w:lineRule="auto"/>
      <w:jc w:val="left"/>
    </w:pPr>
    <w:rPr>
      <w:rFonts w:ascii="微软雅黑" w:hAnsi="微软雅黑" w:eastAsia="微软雅黑"/>
      <w:sz w:val="30"/>
      <w:szCs w:val="30"/>
    </w:rPr>
  </w:style>
  <w:style w:type="paragraph" w:customStyle="1" w:styleId="205">
    <w:name w:val="Table Paragraph"/>
    <w:basedOn w:val="1"/>
    <w:autoRedefine/>
    <w:qFormat/>
    <w:uiPriority w:val="1"/>
    <w:rPr>
      <w:rFonts w:ascii="宋体" w:hAnsi="宋体" w:cs="宋体"/>
      <w:lang w:val="zh-CN" w:bidi="zh-CN"/>
    </w:rPr>
  </w:style>
  <w:style w:type="paragraph" w:customStyle="1" w:styleId="206">
    <w:name w:val="彩色列表 - 强调文字颜色 11"/>
    <w:basedOn w:val="1"/>
    <w:autoRedefine/>
    <w:qFormat/>
    <w:uiPriority w:val="34"/>
    <w:pPr>
      <w:ind w:firstLine="420" w:firstLineChars="200"/>
    </w:pPr>
    <w:rPr>
      <w:rFonts w:ascii="Times New Roman" w:hAnsi="Times New Roman"/>
    </w:rPr>
  </w:style>
  <w:style w:type="table" w:customStyle="1" w:styleId="207">
    <w:name w:val="Table Normal"/>
    <w:autoRedefine/>
    <w:semiHidden/>
    <w:unhideWhenUsed/>
    <w:qFormat/>
    <w:uiPriority w:val="0"/>
    <w:tblPr>
      <w:tblCellMar>
        <w:top w:w="0" w:type="dxa"/>
        <w:left w:w="0" w:type="dxa"/>
        <w:bottom w:w="0" w:type="dxa"/>
        <w:right w:w="0" w:type="dxa"/>
      </w:tblCellMar>
    </w:tblPr>
  </w:style>
  <w:style w:type="paragraph" w:customStyle="1" w:styleId="208">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7A2B-14F6-43AC-8915-CA15FAA3892C}">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53</Pages>
  <Words>23810</Words>
  <Characters>25309</Characters>
  <Lines>185</Lines>
  <Paragraphs>52</Paragraphs>
  <TotalTime>0</TotalTime>
  <ScaleCrop>false</ScaleCrop>
  <LinksUpToDate>false</LinksUpToDate>
  <CharactersWithSpaces>28594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2020-01-02T10:41:00Z</dcterms:created>
  <dc:creator>Administrator</dc:creator>
  <cp:lastModifiedBy>183----1220</cp:lastModifiedBy>
  <cp:lastPrinted>2022-01-04T03:11:00Z</cp:lastPrinted>
  <dcterms:modified xsi:type="dcterms:W3CDTF">2024-04-17T08:30:27Z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72ED5C70EA64472DBDCC5EE66535B2DB_13</vt:lpwstr>
  </property>
</Properties>
</file>