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112C8">
      <w:pPr>
        <w:pStyle w:val="136"/>
        <w:rPr>
          <w:rFonts w:hint="default" w:hAnsi="宋体"/>
          <w:b/>
          <w:color w:val="000000" w:themeColor="text1"/>
          <w:spacing w:val="-10"/>
          <w:sz w:val="54"/>
          <w:szCs w:val="54"/>
          <w:lang w:val="en-US"/>
          <w14:textFill>
            <w14:solidFill>
              <w14:schemeClr w14:val="tx1"/>
            </w14:solidFill>
          </w14:textFill>
        </w:rPr>
      </w:pPr>
    </w:p>
    <w:p w14:paraId="095B1878">
      <w:pPr>
        <w:pStyle w:val="136"/>
        <w:jc w:val="center"/>
        <w:rPr>
          <w:rFonts w:hint="eastAsia" w:hAnsi="宋体" w:cs="华文新魏"/>
          <w:b/>
          <w:color w:val="000000" w:themeColor="text1"/>
          <w:sz w:val="60"/>
          <w:szCs w:val="72"/>
          <w14:textFill>
            <w14:solidFill>
              <w14:schemeClr w14:val="tx1"/>
            </w14:solidFill>
          </w14:textFill>
        </w:rPr>
      </w:pPr>
      <w:r>
        <w:rPr>
          <w:rFonts w:hint="eastAsia" w:hAnsi="宋体" w:cs="华文新魏"/>
          <w:b/>
          <w:color w:val="000000" w:themeColor="text1"/>
          <w:sz w:val="56"/>
          <w:szCs w:val="60"/>
          <w:lang w:val="en-US" w:eastAsia="zh-CN"/>
          <w14:textFill>
            <w14:solidFill>
              <w14:schemeClr w14:val="tx1"/>
            </w14:solidFill>
          </w14:textFill>
        </w:rPr>
        <w:t>陇南市武都区农村经济经营服务中心土地承包经营权档案资料电子化项目</w:t>
      </w:r>
    </w:p>
    <w:p w14:paraId="3FC8D5D0">
      <w:pPr>
        <w:pStyle w:val="136"/>
        <w:jc w:val="center"/>
        <w:rPr>
          <w:rFonts w:hint="eastAsia" w:hAnsi="宋体" w:cs="华文新魏"/>
          <w:b/>
          <w:color w:val="000000" w:themeColor="text1"/>
          <w:sz w:val="56"/>
          <w:szCs w:val="60"/>
          <w14:textFill>
            <w14:solidFill>
              <w14:schemeClr w14:val="tx1"/>
            </w14:solidFill>
          </w14:textFill>
        </w:rPr>
      </w:pPr>
    </w:p>
    <w:p w14:paraId="3E309E3A">
      <w:pPr>
        <w:pStyle w:val="136"/>
        <w:jc w:val="center"/>
        <w:rPr>
          <w:rFonts w:hAnsi="宋体" w:cs="华文新魏"/>
          <w:b/>
          <w:color w:val="000000" w:themeColor="text1"/>
          <w:sz w:val="56"/>
          <w:szCs w:val="60"/>
          <w14:textFill>
            <w14:solidFill>
              <w14:schemeClr w14:val="tx1"/>
            </w14:solidFill>
          </w14:textFill>
        </w:rPr>
      </w:pPr>
      <w:r>
        <w:rPr>
          <w:rFonts w:hint="eastAsia" w:hAnsi="宋体" w:cs="华文新魏"/>
          <w:b/>
          <w:color w:val="000000" w:themeColor="text1"/>
          <w:sz w:val="56"/>
          <w:szCs w:val="60"/>
          <w14:textFill>
            <w14:solidFill>
              <w14:schemeClr w14:val="tx1"/>
            </w14:solidFill>
          </w14:textFill>
        </w:rPr>
        <w:t>竞争性磋商文件</w:t>
      </w:r>
    </w:p>
    <w:p w14:paraId="1497EC4A">
      <w:pPr>
        <w:pStyle w:val="136"/>
        <w:jc w:val="center"/>
        <w:rPr>
          <w:rFonts w:hAnsi="宋体" w:cs="华文新魏"/>
          <w:color w:val="000000" w:themeColor="text1"/>
          <w:sz w:val="18"/>
          <w:szCs w:val="18"/>
          <w14:textFill>
            <w14:solidFill>
              <w14:schemeClr w14:val="tx1"/>
            </w14:solidFill>
          </w14:textFill>
        </w:rPr>
      </w:pPr>
    </w:p>
    <w:p w14:paraId="142825A1">
      <w:pPr>
        <w:pStyle w:val="136"/>
        <w:jc w:val="center"/>
        <w:rPr>
          <w:rFonts w:hAnsi="宋体" w:cs="华文新魏"/>
          <w:color w:val="000000" w:themeColor="text1"/>
          <w:sz w:val="21"/>
          <w:szCs w:val="21"/>
          <w14:textFill>
            <w14:solidFill>
              <w14:schemeClr w14:val="tx1"/>
            </w14:solidFill>
          </w14:textFill>
        </w:rPr>
      </w:pPr>
    </w:p>
    <w:p w14:paraId="4BD2CD1D">
      <w:pPr>
        <w:pStyle w:val="136"/>
        <w:jc w:val="center"/>
        <w:rPr>
          <w:rFonts w:hAnsi="宋体" w:cs="华文新魏"/>
          <w:color w:val="000000" w:themeColor="text1"/>
          <w:sz w:val="21"/>
          <w:szCs w:val="21"/>
          <w14:textFill>
            <w14:solidFill>
              <w14:schemeClr w14:val="tx1"/>
            </w14:solidFill>
          </w14:textFill>
        </w:rPr>
      </w:pPr>
    </w:p>
    <w:p w14:paraId="0F764E0F">
      <w:pPr>
        <w:pStyle w:val="136"/>
        <w:jc w:val="center"/>
        <w:rPr>
          <w:rFonts w:hAnsi="宋体" w:cs="华文新魏"/>
          <w:color w:val="000000" w:themeColor="text1"/>
          <w:sz w:val="21"/>
          <w:szCs w:val="21"/>
          <w14:textFill>
            <w14:solidFill>
              <w14:schemeClr w14:val="tx1"/>
            </w14:solidFill>
          </w14:textFill>
        </w:rPr>
      </w:pPr>
    </w:p>
    <w:p w14:paraId="46A3B323">
      <w:pPr>
        <w:pStyle w:val="136"/>
        <w:jc w:val="center"/>
        <w:rPr>
          <w:rFonts w:hAnsi="宋体" w:cs="华文新魏"/>
          <w:color w:val="000000" w:themeColor="text1"/>
          <w:sz w:val="21"/>
          <w:szCs w:val="21"/>
          <w14:textFill>
            <w14:solidFill>
              <w14:schemeClr w14:val="tx1"/>
            </w14:solidFill>
          </w14:textFill>
        </w:rPr>
      </w:pPr>
    </w:p>
    <w:p w14:paraId="567A0838">
      <w:pPr>
        <w:pStyle w:val="136"/>
        <w:jc w:val="center"/>
        <w:rPr>
          <w:rFonts w:hAnsi="宋体" w:cs="华文新魏"/>
          <w:color w:val="000000" w:themeColor="text1"/>
          <w:sz w:val="21"/>
          <w:szCs w:val="21"/>
          <w14:textFill>
            <w14:solidFill>
              <w14:schemeClr w14:val="tx1"/>
            </w14:solidFill>
          </w14:textFill>
        </w:rPr>
      </w:pPr>
    </w:p>
    <w:p w14:paraId="3CCBA9B5">
      <w:pPr>
        <w:pStyle w:val="136"/>
        <w:jc w:val="center"/>
        <w:rPr>
          <w:rFonts w:hAnsi="宋体" w:cs="华文新魏"/>
          <w:color w:val="000000" w:themeColor="text1"/>
          <w:sz w:val="21"/>
          <w:szCs w:val="21"/>
          <w14:textFill>
            <w14:solidFill>
              <w14:schemeClr w14:val="tx1"/>
            </w14:solidFill>
          </w14:textFill>
        </w:rPr>
      </w:pPr>
    </w:p>
    <w:p w14:paraId="08E40B14">
      <w:pPr>
        <w:pStyle w:val="136"/>
        <w:jc w:val="center"/>
        <w:rPr>
          <w:rFonts w:hAnsi="宋体" w:cs="华文新魏"/>
          <w:color w:val="000000" w:themeColor="text1"/>
          <w:sz w:val="21"/>
          <w:szCs w:val="21"/>
          <w14:textFill>
            <w14:solidFill>
              <w14:schemeClr w14:val="tx1"/>
            </w14:solidFill>
          </w14:textFill>
        </w:rPr>
      </w:pPr>
      <w:bookmarkStart w:id="47" w:name="_GoBack"/>
      <w:bookmarkEnd w:id="47"/>
    </w:p>
    <w:p w14:paraId="750CF300">
      <w:pPr>
        <w:pStyle w:val="136"/>
        <w:jc w:val="center"/>
        <w:rPr>
          <w:rFonts w:hAnsi="宋体" w:cs="华文新魏"/>
          <w:color w:val="000000" w:themeColor="text1"/>
          <w:sz w:val="21"/>
          <w:szCs w:val="21"/>
          <w14:textFill>
            <w14:solidFill>
              <w14:schemeClr w14:val="tx1"/>
            </w14:solidFill>
          </w14:textFill>
        </w:rPr>
      </w:pPr>
    </w:p>
    <w:p w14:paraId="46965B97">
      <w:pPr>
        <w:rPr>
          <w:rFonts w:hAnsi="宋体" w:cs="华文新魏"/>
          <w:color w:val="000000" w:themeColor="text1"/>
          <w:sz w:val="21"/>
          <w:szCs w:val="21"/>
          <w14:textFill>
            <w14:solidFill>
              <w14:schemeClr w14:val="tx1"/>
            </w14:solidFill>
          </w14:textFill>
        </w:rPr>
      </w:pPr>
    </w:p>
    <w:p w14:paraId="2BBA9175">
      <w:pPr>
        <w:rPr>
          <w:rFonts w:hAnsi="宋体" w:cs="华文新魏"/>
          <w:color w:val="000000" w:themeColor="text1"/>
          <w:sz w:val="21"/>
          <w:szCs w:val="21"/>
          <w14:textFill>
            <w14:solidFill>
              <w14:schemeClr w14:val="tx1"/>
            </w14:solidFill>
          </w14:textFill>
        </w:rPr>
      </w:pPr>
    </w:p>
    <w:p w14:paraId="642DF69B">
      <w:pPr>
        <w:rPr>
          <w:rFonts w:hAnsi="宋体" w:cs="华文新魏"/>
          <w:color w:val="000000" w:themeColor="text1"/>
          <w:sz w:val="21"/>
          <w:szCs w:val="21"/>
          <w14:textFill>
            <w14:solidFill>
              <w14:schemeClr w14:val="tx1"/>
            </w14:solidFill>
          </w14:textFill>
        </w:rPr>
      </w:pPr>
    </w:p>
    <w:p w14:paraId="0D0D7885">
      <w:pPr>
        <w:rPr>
          <w:rFonts w:hAnsi="宋体" w:cs="华文新魏"/>
          <w:color w:val="000000" w:themeColor="text1"/>
          <w:sz w:val="21"/>
          <w:szCs w:val="21"/>
          <w14:textFill>
            <w14:solidFill>
              <w14:schemeClr w14:val="tx1"/>
            </w14:solidFill>
          </w14:textFill>
        </w:rPr>
      </w:pPr>
    </w:p>
    <w:p w14:paraId="677D62B1">
      <w:pPr>
        <w:rPr>
          <w:rFonts w:hAnsi="宋体" w:cs="华文新魏"/>
          <w:color w:val="000000" w:themeColor="text1"/>
          <w:sz w:val="21"/>
          <w:szCs w:val="21"/>
          <w14:textFill>
            <w14:solidFill>
              <w14:schemeClr w14:val="tx1"/>
            </w14:solidFill>
          </w14:textFill>
        </w:rPr>
      </w:pPr>
    </w:p>
    <w:p w14:paraId="101A66B1">
      <w:pPr>
        <w:rPr>
          <w:rFonts w:hAnsi="宋体" w:cs="华文新魏"/>
          <w:color w:val="000000" w:themeColor="text1"/>
          <w:sz w:val="21"/>
          <w:szCs w:val="21"/>
          <w14:textFill>
            <w14:solidFill>
              <w14:schemeClr w14:val="tx1"/>
            </w14:solidFill>
          </w14:textFill>
        </w:rPr>
      </w:pPr>
    </w:p>
    <w:p w14:paraId="375B78EA">
      <w:pPr>
        <w:rPr>
          <w:rFonts w:hAnsi="宋体" w:cs="华文新魏"/>
          <w:color w:val="000000" w:themeColor="text1"/>
          <w:sz w:val="21"/>
          <w:szCs w:val="21"/>
          <w14:textFill>
            <w14:solidFill>
              <w14:schemeClr w14:val="tx1"/>
            </w14:solidFill>
          </w14:textFill>
        </w:rPr>
      </w:pPr>
    </w:p>
    <w:p w14:paraId="06D8E778">
      <w:pPr>
        <w:rPr>
          <w:rFonts w:hAnsi="宋体" w:cs="华文新魏"/>
          <w:color w:val="000000" w:themeColor="text1"/>
          <w:sz w:val="21"/>
          <w:szCs w:val="21"/>
          <w14:textFill>
            <w14:solidFill>
              <w14:schemeClr w14:val="tx1"/>
            </w14:solidFill>
          </w14:textFill>
        </w:rPr>
      </w:pPr>
    </w:p>
    <w:p w14:paraId="0EF284DB">
      <w:pPr>
        <w:pStyle w:val="136"/>
        <w:jc w:val="center"/>
        <w:rPr>
          <w:rFonts w:hAnsi="宋体" w:cs="华文新魏"/>
          <w:color w:val="000000" w:themeColor="text1"/>
          <w:sz w:val="21"/>
          <w:szCs w:val="21"/>
          <w14:textFill>
            <w14:solidFill>
              <w14:schemeClr w14:val="tx1"/>
            </w14:solidFill>
          </w14:textFill>
        </w:rPr>
      </w:pPr>
    </w:p>
    <w:p w14:paraId="570D3CA8">
      <w:pPr>
        <w:pStyle w:val="136"/>
        <w:jc w:val="center"/>
        <w:rPr>
          <w:rFonts w:hAnsi="宋体" w:cs="华文新魏"/>
          <w:color w:val="000000" w:themeColor="text1"/>
          <w:sz w:val="21"/>
          <w:szCs w:val="21"/>
          <w14:textFill>
            <w14:solidFill>
              <w14:schemeClr w14:val="tx1"/>
            </w14:solidFill>
          </w14:textFill>
        </w:rPr>
      </w:pPr>
    </w:p>
    <w:p w14:paraId="0EB13FB7">
      <w:pPr>
        <w:pStyle w:val="136"/>
        <w:jc w:val="center"/>
        <w:rPr>
          <w:rFonts w:hAnsi="宋体" w:cs="华文新魏"/>
          <w:color w:val="000000" w:themeColor="text1"/>
          <w:spacing w:val="20"/>
          <w:sz w:val="21"/>
          <w:szCs w:val="21"/>
          <w14:textFill>
            <w14:solidFill>
              <w14:schemeClr w14:val="tx1"/>
            </w14:solidFill>
          </w14:textFill>
        </w:rPr>
      </w:pPr>
    </w:p>
    <w:p w14:paraId="5CA152A5">
      <w:pPr>
        <w:spacing w:line="480" w:lineRule="auto"/>
        <w:ind w:firstLine="720" w:firstLineChars="200"/>
        <w:jc w:val="left"/>
        <w:rPr>
          <w:rFonts w:ascii="宋体" w:hAnsi="宋体"/>
          <w:b/>
          <w:color w:val="000000" w:themeColor="text1"/>
          <w:spacing w:val="20"/>
          <w:sz w:val="32"/>
          <w:szCs w:val="32"/>
          <w14:textFill>
            <w14:gradFill>
              <w14:gsLst>
                <w14:gs w14:pos="0">
                  <w14:srgbClr w14:val="E30000"/>
                </w14:gs>
                <w14:gs w14:pos="100000">
                  <w14:srgbClr w14:val="760303"/>
                </w14:gs>
              </w14:gsLst>
              <w14:lin w14:scaled="0"/>
            </w14:gradFill>
          </w14:textFill>
        </w:rPr>
      </w:pPr>
      <w:r>
        <w:rPr>
          <w:rFonts w:hint="eastAsia" w:ascii="宋体" w:hAnsi="宋体"/>
          <w:b/>
          <w:color w:val="auto"/>
          <w:spacing w:val="20"/>
          <w:sz w:val="32"/>
          <w:szCs w:val="32"/>
        </w:rPr>
        <w:t>招 标 编 号：</w:t>
      </w:r>
      <w:r>
        <w:rPr>
          <w:rFonts w:hint="eastAsia" w:ascii="宋体" w:hAnsi="宋体"/>
          <w:b/>
          <w:color w:val="000000" w:themeColor="text1"/>
          <w:spacing w:val="20"/>
          <w:sz w:val="32"/>
          <w:szCs w:val="32"/>
          <w:u w:val="single"/>
          <w:lang w:val="en-US" w:eastAsia="zh-CN"/>
          <w14:textFill>
            <w14:solidFill>
              <w14:schemeClr w14:val="tx1"/>
            </w14:solidFill>
          </w14:textFill>
        </w:rPr>
        <w:t xml:space="preserve"> LNXY2024-GS-022   </w:t>
      </w:r>
      <w:r>
        <w:rPr>
          <w:rFonts w:hint="eastAsia" w:ascii="宋体" w:hAnsi="宋体" w:cs="宋体"/>
          <w:b/>
          <w:color w:val="000000"/>
          <w:spacing w:val="20"/>
          <w:sz w:val="32"/>
          <w:szCs w:val="32"/>
          <w:u w:val="single"/>
          <w:lang w:val="en-US" w:eastAsia="zh-CN"/>
          <w14:textFill>
            <w14:gradFill>
              <w14:gsLst>
                <w14:gs w14:pos="0">
                  <w14:srgbClr w14:val="E30000"/>
                </w14:gs>
                <w14:gs w14:pos="100000">
                  <w14:srgbClr w14:val="760303"/>
                </w14:gs>
              </w14:gsLst>
              <w14:lin w14:scaled="0"/>
            </w14:gradFill>
          </w14:textFill>
        </w:rPr>
        <w:t xml:space="preserve">   </w:t>
      </w:r>
      <w:r>
        <w:rPr>
          <w:rFonts w:hint="eastAsia" w:ascii="宋体" w:hAnsi="宋体"/>
          <w:b/>
          <w:color w:val="000000" w:themeColor="text1"/>
          <w:spacing w:val="20"/>
          <w:sz w:val="32"/>
          <w:szCs w:val="32"/>
          <w:u w:val="single"/>
          <w14:textFill>
            <w14:gradFill>
              <w14:gsLst>
                <w14:gs w14:pos="0">
                  <w14:srgbClr w14:val="E30000"/>
                </w14:gs>
                <w14:gs w14:pos="100000">
                  <w14:srgbClr w14:val="760303"/>
                </w14:gs>
              </w14:gsLst>
              <w14:lin w14:scaled="0"/>
            </w14:gradFill>
          </w14:textFill>
        </w:rPr>
        <w:t xml:space="preserve">  </w:t>
      </w:r>
      <w:r>
        <w:rPr>
          <w:rFonts w:hint="eastAsia" w:ascii="宋体" w:hAnsi="宋体"/>
          <w:b/>
          <w:color w:val="000000" w:themeColor="text1"/>
          <w:spacing w:val="20"/>
          <w:sz w:val="32"/>
          <w:szCs w:val="32"/>
          <w:u w:val="single"/>
          <w:lang w:val="en-US" w:eastAsia="zh-CN"/>
          <w14:textFill>
            <w14:gradFill>
              <w14:gsLst>
                <w14:gs w14:pos="0">
                  <w14:srgbClr w14:val="E30000"/>
                </w14:gs>
                <w14:gs w14:pos="100000">
                  <w14:srgbClr w14:val="760303"/>
                </w14:gs>
              </w14:gsLst>
              <w14:lin w14:scaled="0"/>
            </w14:gradFill>
          </w14:textFill>
        </w:rPr>
        <w:t xml:space="preserve">   </w:t>
      </w:r>
      <w:r>
        <w:rPr>
          <w:rFonts w:hint="eastAsia" w:ascii="宋体" w:hAnsi="宋体"/>
          <w:b/>
          <w:color w:val="000000" w:themeColor="text1"/>
          <w:spacing w:val="20"/>
          <w:sz w:val="32"/>
          <w:szCs w:val="32"/>
          <w:u w:val="single"/>
          <w14:textFill>
            <w14:gradFill>
              <w14:gsLst>
                <w14:gs w14:pos="0">
                  <w14:srgbClr w14:val="E30000"/>
                </w14:gs>
                <w14:gs w14:pos="100000">
                  <w14:srgbClr w14:val="760303"/>
                </w14:gs>
              </w14:gsLst>
              <w14:lin w14:scaled="0"/>
            </w14:gradFill>
          </w14:textFill>
        </w:rPr>
        <w:t xml:space="preserve">  </w:t>
      </w:r>
      <w:r>
        <w:rPr>
          <w:rFonts w:hint="eastAsia" w:ascii="宋体" w:hAnsi="宋体"/>
          <w:b/>
          <w:color w:val="000000" w:themeColor="text1"/>
          <w:spacing w:val="20"/>
          <w:sz w:val="32"/>
          <w:szCs w:val="32"/>
          <w:u w:val="single"/>
          <w:lang w:val="en-US" w:eastAsia="zh-CN"/>
          <w14:textFill>
            <w14:gradFill>
              <w14:gsLst>
                <w14:gs w14:pos="0">
                  <w14:srgbClr w14:val="E30000"/>
                </w14:gs>
                <w14:gs w14:pos="100000">
                  <w14:srgbClr w14:val="760303"/>
                </w14:gs>
              </w14:gsLst>
              <w14:lin w14:scaled="0"/>
            </w14:gradFill>
          </w14:textFill>
        </w:rPr>
        <w:t xml:space="preserve">     </w:t>
      </w:r>
      <w:r>
        <w:rPr>
          <w:rFonts w:hint="default" w:ascii="宋体" w:hAnsi="宋体"/>
          <w:b/>
          <w:color w:val="000000" w:themeColor="text1"/>
          <w:spacing w:val="20"/>
          <w:sz w:val="32"/>
          <w:szCs w:val="32"/>
          <w:u w:val="single"/>
          <w:lang w:val="en-US"/>
          <w14:textFill>
            <w14:gradFill>
              <w14:gsLst>
                <w14:gs w14:pos="0">
                  <w14:srgbClr w14:val="E30000"/>
                </w14:gs>
                <w14:gs w14:pos="100000">
                  <w14:srgbClr w14:val="760303"/>
                </w14:gs>
              </w14:gsLst>
              <w14:lin w14:scaled="0"/>
            </w14:gradFill>
          </w14:textFill>
        </w:rPr>
        <w:t xml:space="preserve"> </w:t>
      </w:r>
      <w:r>
        <w:rPr>
          <w:rFonts w:hint="eastAsia" w:ascii="宋体" w:hAnsi="宋体"/>
          <w:b/>
          <w:color w:val="000000" w:themeColor="text1"/>
          <w:spacing w:val="20"/>
          <w:sz w:val="32"/>
          <w:szCs w:val="32"/>
          <w:u w:val="single"/>
          <w:lang w:val="en-US" w:eastAsia="zh-CN"/>
          <w14:textFill>
            <w14:gradFill>
              <w14:gsLst>
                <w14:gs w14:pos="0">
                  <w14:srgbClr w14:val="E30000"/>
                </w14:gs>
                <w14:gs w14:pos="100000">
                  <w14:srgbClr w14:val="760303"/>
                </w14:gs>
              </w14:gsLst>
              <w14:lin w14:scaled="0"/>
            </w14:gradFill>
          </w14:textFill>
        </w:rPr>
        <w:t xml:space="preserve"> </w:t>
      </w:r>
      <w:r>
        <w:rPr>
          <w:rFonts w:hint="eastAsia" w:ascii="宋体" w:hAnsi="宋体"/>
          <w:b/>
          <w:color w:val="000000" w:themeColor="text1"/>
          <w:spacing w:val="20"/>
          <w:sz w:val="32"/>
          <w:szCs w:val="32"/>
          <w:u w:val="single"/>
          <w14:textFill>
            <w14:gradFill>
              <w14:gsLst>
                <w14:gs w14:pos="0">
                  <w14:srgbClr w14:val="E30000"/>
                </w14:gs>
                <w14:gs w14:pos="100000">
                  <w14:srgbClr w14:val="760303"/>
                </w14:gs>
              </w14:gsLst>
              <w14:lin w14:scaled="0"/>
            </w14:gradFill>
          </w14:textFill>
        </w:rPr>
        <w:t xml:space="preserve">   </w:t>
      </w:r>
    </w:p>
    <w:p w14:paraId="218840A2">
      <w:pPr>
        <w:spacing w:line="480" w:lineRule="auto"/>
        <w:ind w:firstLine="720" w:firstLineChars="200"/>
        <w:rPr>
          <w:rFonts w:ascii="宋体" w:hAnsi="宋体"/>
          <w:b/>
          <w:color w:val="000000" w:themeColor="text1"/>
          <w:spacing w:val="20"/>
          <w:sz w:val="32"/>
          <w:szCs w:val="32"/>
          <w14:textFill>
            <w14:solidFill>
              <w14:schemeClr w14:val="tx1"/>
            </w14:solidFill>
          </w14:textFill>
        </w:rPr>
      </w:pPr>
      <w:r>
        <w:rPr>
          <w:rFonts w:ascii="宋体" w:hAnsi="宋体"/>
          <w:b/>
          <w:color w:val="000000" w:themeColor="text1"/>
          <w:spacing w:val="20"/>
          <w:sz w:val="32"/>
          <w:szCs w:val="32"/>
          <w14:textFill>
            <w14:solidFill>
              <w14:schemeClr w14:val="tx1"/>
            </w14:solidFill>
          </w14:textFill>
        </w:rPr>
        <w:t>招</w:t>
      </w:r>
      <w:r>
        <w:rPr>
          <w:rFonts w:hint="eastAsia" w:ascii="宋体" w:hAnsi="宋体"/>
          <w:b/>
          <w:color w:val="000000" w:themeColor="text1"/>
          <w:spacing w:val="20"/>
          <w:sz w:val="32"/>
          <w:szCs w:val="32"/>
          <w14:textFill>
            <w14:solidFill>
              <w14:schemeClr w14:val="tx1"/>
            </w14:solidFill>
          </w14:textFill>
        </w:rPr>
        <w:t xml:space="preserve">  </w:t>
      </w:r>
      <w:r>
        <w:rPr>
          <w:rFonts w:ascii="宋体" w:hAnsi="宋体"/>
          <w:b/>
          <w:color w:val="000000" w:themeColor="text1"/>
          <w:spacing w:val="20"/>
          <w:sz w:val="32"/>
          <w:szCs w:val="32"/>
          <w14:textFill>
            <w14:solidFill>
              <w14:schemeClr w14:val="tx1"/>
            </w14:solidFill>
          </w14:textFill>
        </w:rPr>
        <w:t>标</w:t>
      </w:r>
      <w:r>
        <w:rPr>
          <w:rFonts w:hint="eastAsia" w:ascii="宋体" w:hAnsi="宋体"/>
          <w:b/>
          <w:color w:val="000000" w:themeColor="text1"/>
          <w:spacing w:val="20"/>
          <w:sz w:val="32"/>
          <w:szCs w:val="32"/>
          <w14:textFill>
            <w14:solidFill>
              <w14:schemeClr w14:val="tx1"/>
            </w14:solidFill>
          </w14:textFill>
        </w:rPr>
        <w:t xml:space="preserve">  </w:t>
      </w:r>
      <w:r>
        <w:rPr>
          <w:rFonts w:ascii="宋体" w:hAnsi="宋体"/>
          <w:b/>
          <w:color w:val="000000" w:themeColor="text1"/>
          <w:spacing w:val="20"/>
          <w:sz w:val="32"/>
          <w:szCs w:val="32"/>
          <w14:textFill>
            <w14:solidFill>
              <w14:schemeClr w14:val="tx1"/>
            </w14:solidFill>
          </w14:textFill>
        </w:rPr>
        <w:t>人：</w:t>
      </w:r>
      <w:r>
        <w:rPr>
          <w:rFonts w:hint="eastAsia" w:ascii="宋体" w:hAnsi="宋体"/>
          <w:b/>
          <w:color w:val="000000" w:themeColor="text1"/>
          <w:spacing w:val="20"/>
          <w:sz w:val="32"/>
          <w:szCs w:val="32"/>
          <w:u w:val="single"/>
          <w:lang w:val="en-US" w:eastAsia="zh-CN"/>
          <w14:textFill>
            <w14:solidFill>
              <w14:schemeClr w14:val="tx1"/>
            </w14:solidFill>
          </w14:textFill>
        </w:rPr>
        <w:t xml:space="preserve">陇南市武都区农村经济经营服务中心   </w:t>
      </w:r>
      <w:r>
        <w:rPr>
          <w:rFonts w:hint="eastAsia" w:ascii="宋体" w:hAnsi="宋体"/>
          <w:b/>
          <w:color w:val="000000" w:themeColor="text1"/>
          <w:spacing w:val="20"/>
          <w:sz w:val="32"/>
          <w:szCs w:val="32"/>
          <w:u w:val="single"/>
          <w14:textFill>
            <w14:solidFill>
              <w14:schemeClr w14:val="tx1"/>
            </w14:solidFill>
          </w14:textFill>
        </w:rPr>
        <w:t xml:space="preserve">  </w:t>
      </w:r>
      <w:r>
        <w:rPr>
          <w:rFonts w:hint="eastAsia" w:ascii="宋体" w:hAnsi="宋体"/>
          <w:b/>
          <w:color w:val="000000" w:themeColor="text1"/>
          <w:spacing w:val="20"/>
          <w:sz w:val="32"/>
          <w:szCs w:val="32"/>
          <w:u w:val="single"/>
          <w:lang w:val="en-US" w:eastAsia="zh-CN"/>
          <w14:textFill>
            <w14:solidFill>
              <w14:schemeClr w14:val="tx1"/>
            </w14:solidFill>
          </w14:textFill>
        </w:rPr>
        <w:t xml:space="preserve">          </w:t>
      </w:r>
      <w:r>
        <w:rPr>
          <w:rFonts w:hint="eastAsia" w:ascii="宋体" w:hAnsi="宋体"/>
          <w:b/>
          <w:color w:val="000000" w:themeColor="text1"/>
          <w:spacing w:val="20"/>
          <w:sz w:val="32"/>
          <w:szCs w:val="32"/>
          <w:u w:val="single"/>
          <w14:textFill>
            <w14:solidFill>
              <w14:schemeClr w14:val="tx1"/>
            </w14:solidFill>
          </w14:textFill>
        </w:rPr>
        <w:t xml:space="preserve"> </w:t>
      </w:r>
    </w:p>
    <w:p w14:paraId="5852951A">
      <w:pPr>
        <w:spacing w:line="480" w:lineRule="auto"/>
        <w:ind w:firstLine="720" w:firstLineChars="200"/>
        <w:rPr>
          <w:rFonts w:hint="eastAsia" w:hAnsi="宋体"/>
          <w:b/>
          <w:color w:val="000000" w:themeColor="text1"/>
          <w:sz w:val="32"/>
          <w:szCs w:val="32"/>
          <w14:textFill>
            <w14:solidFill>
              <w14:schemeClr w14:val="tx1"/>
            </w14:solidFill>
          </w14:textFill>
        </w:rPr>
      </w:pPr>
      <w:r>
        <w:rPr>
          <w:rFonts w:hint="eastAsia" w:ascii="宋体" w:hAnsi="宋体"/>
          <w:b/>
          <w:color w:val="000000" w:themeColor="text1"/>
          <w:spacing w:val="20"/>
          <w:sz w:val="32"/>
          <w:szCs w:val="32"/>
          <w14:textFill>
            <w14:solidFill>
              <w14:schemeClr w14:val="tx1"/>
            </w14:solidFill>
          </w14:textFill>
        </w:rPr>
        <w:t>代 理 公 司：</w:t>
      </w:r>
      <w:r>
        <w:rPr>
          <w:rFonts w:hint="eastAsia" w:ascii="宋体" w:hAnsi="宋体"/>
          <w:b/>
          <w:color w:val="000000" w:themeColor="text1"/>
          <w:spacing w:val="20"/>
          <w:sz w:val="32"/>
          <w:szCs w:val="32"/>
          <w:u w:val="single"/>
          <w:lang w:val="en-US" w:eastAsia="zh-CN"/>
          <w14:textFill>
            <w14:solidFill>
              <w14:schemeClr w14:val="tx1"/>
            </w14:solidFill>
          </w14:textFill>
        </w:rPr>
        <w:t xml:space="preserve">甘肃荣都工程咨询有限公司 </w:t>
      </w:r>
      <w:r>
        <w:rPr>
          <w:rFonts w:hint="eastAsia" w:ascii="宋体" w:hAnsi="宋体"/>
          <w:b/>
          <w:color w:val="000000" w:themeColor="text1"/>
          <w:spacing w:val="20"/>
          <w:sz w:val="32"/>
          <w:szCs w:val="32"/>
          <w:u w:val="single"/>
          <w14:textFill>
            <w14:solidFill>
              <w14:schemeClr w14:val="tx1"/>
            </w14:solidFill>
          </w14:textFill>
        </w:rPr>
        <w:t xml:space="preserve"> </w:t>
      </w:r>
      <w:r>
        <w:rPr>
          <w:rFonts w:hint="default" w:ascii="宋体" w:hAnsi="宋体"/>
          <w:b/>
          <w:color w:val="000000" w:themeColor="text1"/>
          <w:spacing w:val="20"/>
          <w:sz w:val="32"/>
          <w:szCs w:val="32"/>
          <w:u w:val="single"/>
          <w:lang w:val="en-US"/>
          <w14:textFill>
            <w14:solidFill>
              <w14:schemeClr w14:val="tx1"/>
            </w14:solidFill>
          </w14:textFill>
        </w:rPr>
        <w:t xml:space="preserve">   </w:t>
      </w:r>
      <w:r>
        <w:rPr>
          <w:rFonts w:hint="eastAsia" w:ascii="宋体" w:hAnsi="宋体"/>
          <w:b/>
          <w:color w:val="000000" w:themeColor="text1"/>
          <w:spacing w:val="20"/>
          <w:sz w:val="32"/>
          <w:szCs w:val="32"/>
          <w:u w:val="single"/>
          <w14:textFill>
            <w14:solidFill>
              <w14:schemeClr w14:val="tx1"/>
            </w14:solidFill>
          </w14:textFill>
        </w:rPr>
        <w:t xml:space="preserve"> </w:t>
      </w:r>
    </w:p>
    <w:p w14:paraId="0628468A">
      <w:pPr>
        <w:pStyle w:val="136"/>
        <w:jc w:val="center"/>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二</w:t>
      </w:r>
      <w:r>
        <w:rPr>
          <w:rFonts w:hint="eastAsia" w:hAnsi="宋体"/>
          <w:b/>
          <w:color w:val="000000" w:themeColor="text1"/>
          <w:sz w:val="32"/>
          <w:szCs w:val="32"/>
          <w:lang w:val="en-US" w:eastAsia="zh-CN"/>
          <w14:textFill>
            <w14:solidFill>
              <w14:schemeClr w14:val="tx1"/>
            </w14:solidFill>
          </w14:textFill>
        </w:rPr>
        <w:t>〇</w:t>
      </w:r>
      <w:r>
        <w:rPr>
          <w:rFonts w:hint="eastAsia" w:hAnsi="宋体"/>
          <w:b/>
          <w:color w:val="000000" w:themeColor="text1"/>
          <w:sz w:val="32"/>
          <w:szCs w:val="32"/>
          <w14:textFill>
            <w14:solidFill>
              <w14:schemeClr w14:val="tx1"/>
            </w14:solidFill>
          </w14:textFill>
        </w:rPr>
        <w:t>二</w:t>
      </w:r>
      <w:r>
        <w:rPr>
          <w:rFonts w:hint="eastAsia" w:hAnsi="宋体"/>
          <w:b/>
          <w:color w:val="000000" w:themeColor="text1"/>
          <w:sz w:val="32"/>
          <w:szCs w:val="32"/>
          <w:lang w:val="en-US" w:eastAsia="zh-CN"/>
          <w14:textFill>
            <w14:solidFill>
              <w14:schemeClr w14:val="tx1"/>
            </w14:solidFill>
          </w14:textFill>
        </w:rPr>
        <w:t>四</w:t>
      </w:r>
      <w:r>
        <w:rPr>
          <w:rFonts w:hint="eastAsia" w:hAnsi="宋体"/>
          <w:b/>
          <w:color w:val="000000" w:themeColor="text1"/>
          <w:sz w:val="32"/>
          <w:szCs w:val="32"/>
          <w14:textFill>
            <w14:solidFill>
              <w14:schemeClr w14:val="tx1"/>
            </w14:solidFill>
          </w14:textFill>
        </w:rPr>
        <w:t>年</w:t>
      </w:r>
      <w:r>
        <w:rPr>
          <w:rFonts w:hint="eastAsia" w:hAnsi="宋体"/>
          <w:b/>
          <w:color w:val="000000" w:themeColor="text1"/>
          <w:sz w:val="32"/>
          <w:szCs w:val="32"/>
          <w:lang w:eastAsia="zh-CN"/>
          <w14:textFill>
            <w14:solidFill>
              <w14:schemeClr w14:val="tx1"/>
            </w14:solidFill>
          </w14:textFill>
        </w:rPr>
        <w:t>十二</w:t>
      </w:r>
      <w:r>
        <w:rPr>
          <w:rFonts w:hint="eastAsia" w:hAnsi="宋体"/>
          <w:b/>
          <w:color w:val="000000" w:themeColor="text1"/>
          <w:sz w:val="32"/>
          <w:szCs w:val="32"/>
          <w:lang w:val="en-US" w:eastAsia="zh-CN"/>
          <w14:textFill>
            <w14:solidFill>
              <w14:schemeClr w14:val="tx1"/>
            </w14:solidFill>
          </w14:textFill>
        </w:rPr>
        <w:t>月</w:t>
      </w:r>
    </w:p>
    <w:p w14:paraId="23921BB1">
      <w:pPr>
        <w:keepNext w:val="0"/>
        <w:keepLines w:val="0"/>
        <w:pageBreakBefore w:val="0"/>
        <w:kinsoku/>
        <w:overflowPunct/>
        <w:topLinePunct w:val="0"/>
        <w:autoSpaceDE w:val="0"/>
        <w:autoSpaceDN w:val="0"/>
        <w:bidi w:val="0"/>
        <w:adjustRightInd w:val="0"/>
        <w:snapToGrid/>
        <w:spacing w:line="480" w:lineRule="exact"/>
        <w:jc w:val="both"/>
        <w:textAlignment w:val="auto"/>
        <w:rPr>
          <w:rFonts w:hint="eastAsia" w:ascii="宋体" w:hAnsi="宋体" w:cs="黑体"/>
          <w:b/>
          <w:bCs w:val="0"/>
          <w:color w:val="000000" w:themeColor="text1"/>
          <w:kern w:val="0"/>
          <w:sz w:val="22"/>
          <w:szCs w:val="22"/>
          <w14:textFill>
            <w14:solidFill>
              <w14:schemeClr w14:val="tx1"/>
            </w14:solidFill>
          </w14:textFill>
        </w:rPr>
      </w:pPr>
    </w:p>
    <w:p w14:paraId="59DCDB8B">
      <w:pPr>
        <w:keepNext w:val="0"/>
        <w:keepLines w:val="0"/>
        <w:pageBreakBefore w:val="0"/>
        <w:kinsoku/>
        <w:overflowPunct/>
        <w:topLinePunct w:val="0"/>
        <w:autoSpaceDE w:val="0"/>
        <w:autoSpaceDN w:val="0"/>
        <w:bidi w:val="0"/>
        <w:adjustRightInd w:val="0"/>
        <w:snapToGrid/>
        <w:spacing w:line="480" w:lineRule="exact"/>
        <w:jc w:val="center"/>
        <w:textAlignment w:val="auto"/>
        <w:rPr>
          <w:rFonts w:hint="eastAsia" w:ascii="宋体" w:hAnsi="宋体" w:cs="黑体"/>
          <w:b/>
          <w:bCs w:val="0"/>
          <w:color w:val="000000" w:themeColor="text1"/>
          <w:kern w:val="0"/>
          <w:sz w:val="22"/>
          <w:szCs w:val="22"/>
          <w14:textFill>
            <w14:solidFill>
              <w14:schemeClr w14:val="tx1"/>
            </w14:solidFill>
          </w14:textFill>
        </w:rPr>
        <w:sectPr>
          <w:headerReference r:id="rId3" w:type="default"/>
          <w:pgSz w:w="11906" w:h="16838"/>
          <w:pgMar w:top="1440" w:right="1274" w:bottom="1440" w:left="1418" w:header="851" w:footer="992" w:gutter="0"/>
          <w:cols w:space="720" w:num="1"/>
          <w:docGrid w:type="linesAndChars" w:linePitch="312" w:charSpace="0"/>
        </w:sectPr>
      </w:pPr>
    </w:p>
    <w:p w14:paraId="3F1BB65F">
      <w:pPr>
        <w:keepNext w:val="0"/>
        <w:keepLines w:val="0"/>
        <w:pageBreakBefore w:val="0"/>
        <w:kinsoku/>
        <w:overflowPunct/>
        <w:topLinePunct w:val="0"/>
        <w:autoSpaceDE w:val="0"/>
        <w:autoSpaceDN w:val="0"/>
        <w:bidi w:val="0"/>
        <w:adjustRightInd w:val="0"/>
        <w:snapToGrid/>
        <w:spacing w:line="480" w:lineRule="exact"/>
        <w:jc w:val="center"/>
        <w:textAlignment w:val="auto"/>
        <w:rPr>
          <w:rFonts w:ascii="宋体" w:hAnsi="宋体" w:cs="黑体"/>
          <w:b/>
          <w:bCs w:val="0"/>
          <w:color w:val="000000" w:themeColor="text1"/>
          <w:kern w:val="0"/>
          <w:sz w:val="22"/>
          <w:szCs w:val="22"/>
          <w14:textFill>
            <w14:solidFill>
              <w14:schemeClr w14:val="tx1"/>
            </w14:solidFill>
          </w14:textFill>
        </w:rPr>
      </w:pPr>
      <w:r>
        <w:rPr>
          <w:rFonts w:hint="eastAsia" w:ascii="宋体" w:hAnsi="宋体" w:cs="黑体"/>
          <w:b/>
          <w:bCs w:val="0"/>
          <w:color w:val="000000" w:themeColor="text1"/>
          <w:kern w:val="0"/>
          <w:sz w:val="32"/>
          <w:szCs w:val="32"/>
          <w14:textFill>
            <w14:solidFill>
              <w14:schemeClr w14:val="tx1"/>
            </w14:solidFill>
          </w14:textFill>
        </w:rPr>
        <w:t>目</w:t>
      </w:r>
      <w:r>
        <w:rPr>
          <w:rFonts w:ascii="宋体" w:hAnsi="宋体" w:cs="黑体"/>
          <w:b/>
          <w:bCs w:val="0"/>
          <w:color w:val="000000" w:themeColor="text1"/>
          <w:kern w:val="0"/>
          <w:sz w:val="32"/>
          <w:szCs w:val="32"/>
          <w14:textFill>
            <w14:solidFill>
              <w14:schemeClr w14:val="tx1"/>
            </w14:solidFill>
          </w14:textFill>
        </w:rPr>
        <w:t xml:space="preserve"> </w:t>
      </w:r>
      <w:r>
        <w:rPr>
          <w:rFonts w:hint="eastAsia" w:ascii="宋体" w:hAnsi="宋体" w:cs="黑体"/>
          <w:b/>
          <w:bCs w:val="0"/>
          <w:color w:val="000000" w:themeColor="text1"/>
          <w:kern w:val="0"/>
          <w:sz w:val="32"/>
          <w:szCs w:val="32"/>
          <w14:textFill>
            <w14:solidFill>
              <w14:schemeClr w14:val="tx1"/>
            </w14:solidFill>
          </w14:textFill>
        </w:rPr>
        <w:t xml:space="preserve">  录</w:t>
      </w:r>
    </w:p>
    <w:p w14:paraId="42B576CE">
      <w:pPr>
        <w:pStyle w:val="26"/>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
          <w:bCs w:val="0"/>
          <w:color w:val="000000" w:themeColor="text1"/>
          <w:sz w:val="32"/>
          <w:szCs w:val="32"/>
          <w14:textFill>
            <w14:solidFill>
              <w14:schemeClr w14:val="tx1"/>
            </w14:solidFill>
          </w14:textFill>
        </w:rPr>
        <w:fldChar w:fldCharType="begin"/>
      </w:r>
      <w:r>
        <w:rPr>
          <w:rFonts w:hint="eastAsia" w:ascii="黑体" w:hAnsi="黑体" w:eastAsia="黑体"/>
          <w:b/>
          <w:bCs w:val="0"/>
          <w:color w:val="000000" w:themeColor="text1"/>
          <w:sz w:val="32"/>
          <w:szCs w:val="32"/>
          <w14:textFill>
            <w14:solidFill>
              <w14:schemeClr w14:val="tx1"/>
            </w14:solidFill>
          </w14:textFill>
        </w:rPr>
        <w:instrText xml:space="preserve">TOC \o "1-3" \h \u </w:instrText>
      </w:r>
      <w:r>
        <w:rPr>
          <w:rFonts w:hint="eastAsia" w:ascii="黑体" w:hAnsi="黑体" w:eastAsia="黑体"/>
          <w:b/>
          <w:bCs w:val="0"/>
          <w:color w:val="000000" w:themeColor="text1"/>
          <w:sz w:val="32"/>
          <w:szCs w:val="32"/>
          <w14:textFill>
            <w14:solidFill>
              <w14:schemeClr w14:val="tx1"/>
            </w14:solidFill>
          </w14:textFill>
        </w:rPr>
        <w:fldChar w:fldCharType="separate"/>
      </w: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_Toc27824 </w:instrText>
      </w:r>
      <w:r>
        <w:rPr>
          <w:rFonts w:hint="eastAsia" w:ascii="黑体" w:hAnsi="黑体" w:eastAsia="黑体"/>
          <w:bCs w:val="0"/>
          <w:szCs w:val="32"/>
        </w:rPr>
        <w:fldChar w:fldCharType="separate"/>
      </w:r>
      <w:r>
        <w:rPr>
          <w:rFonts w:hint="eastAsia" w:ascii="宋体" w:hAnsi="宋体"/>
          <w:bCs w:val="0"/>
          <w:lang w:val="en-US" w:eastAsia="zh-CN"/>
        </w:rPr>
        <w:t xml:space="preserve">第一章 </w:t>
      </w:r>
      <w:r>
        <w:rPr>
          <w:rFonts w:hint="eastAsia" w:ascii="宋体" w:hAnsi="宋体"/>
          <w:bCs w:val="0"/>
        </w:rPr>
        <w:t>投标须知前附表</w:t>
      </w:r>
      <w:r>
        <w:tab/>
      </w:r>
      <w:r>
        <w:fldChar w:fldCharType="begin"/>
      </w:r>
      <w:r>
        <w:instrText xml:space="preserve"> PAGEREF _Toc27824 \h </w:instrText>
      </w:r>
      <w:r>
        <w:fldChar w:fldCharType="separate"/>
      </w:r>
      <w:r>
        <w:t>3</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1B6D6132">
      <w:pPr>
        <w:pStyle w:val="26"/>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_Toc11720 </w:instrText>
      </w:r>
      <w:r>
        <w:rPr>
          <w:rFonts w:hint="eastAsia" w:ascii="黑体" w:hAnsi="黑体" w:eastAsia="黑体"/>
          <w:bCs w:val="0"/>
          <w:szCs w:val="32"/>
        </w:rPr>
        <w:fldChar w:fldCharType="separate"/>
      </w:r>
      <w:r>
        <w:rPr>
          <w:rFonts w:hint="eastAsia" w:ascii="宋体" w:hAnsi="宋体" w:cs="宋体"/>
          <w:bCs/>
          <w:kern w:val="0"/>
          <w:szCs w:val="44"/>
        </w:rPr>
        <w:t>第二章</w:t>
      </w:r>
      <w:r>
        <w:rPr>
          <w:rFonts w:hint="eastAsia" w:ascii="宋体" w:hAnsi="宋体" w:cs="宋体"/>
          <w:bCs/>
          <w:kern w:val="0"/>
          <w:szCs w:val="44"/>
          <w:lang w:val="en-US" w:eastAsia="zh-CN"/>
        </w:rPr>
        <w:t xml:space="preserve">  工作内容</w:t>
      </w:r>
      <w:r>
        <w:tab/>
      </w:r>
      <w:r>
        <w:fldChar w:fldCharType="begin"/>
      </w:r>
      <w:r>
        <w:instrText xml:space="preserve"> PAGEREF _Toc11720 \h </w:instrText>
      </w:r>
      <w:r>
        <w:fldChar w:fldCharType="separate"/>
      </w:r>
      <w:r>
        <w:t>6</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5C2E7FCE">
      <w:pPr>
        <w:pStyle w:val="26"/>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_Toc20632 </w:instrText>
      </w:r>
      <w:r>
        <w:rPr>
          <w:rFonts w:hint="eastAsia" w:ascii="黑体" w:hAnsi="黑体" w:eastAsia="黑体"/>
          <w:bCs w:val="0"/>
          <w:szCs w:val="32"/>
        </w:rPr>
        <w:fldChar w:fldCharType="separate"/>
      </w:r>
      <w:r>
        <w:rPr>
          <w:rFonts w:hint="eastAsia" w:ascii="黑体" w:hAnsi="黑体" w:eastAsia="黑体" w:cs="黑体"/>
          <w:kern w:val="0"/>
          <w:szCs w:val="44"/>
        </w:rPr>
        <w:t>第三章 投标人须知</w:t>
      </w:r>
      <w:r>
        <w:tab/>
      </w:r>
      <w:r>
        <w:fldChar w:fldCharType="begin"/>
      </w:r>
      <w:r>
        <w:instrText xml:space="preserve"> PAGEREF _Toc20632 \h </w:instrText>
      </w:r>
      <w:r>
        <w:fldChar w:fldCharType="separate"/>
      </w:r>
      <w:r>
        <w:t>6</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30304B72">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_Toc1613 </w:instrText>
      </w:r>
      <w:r>
        <w:rPr>
          <w:rFonts w:hint="eastAsia" w:ascii="黑体" w:hAnsi="黑体" w:eastAsia="黑体"/>
          <w:bCs w:val="0"/>
          <w:szCs w:val="32"/>
        </w:rPr>
        <w:fldChar w:fldCharType="separate"/>
      </w:r>
      <w:r>
        <w:rPr>
          <w:rFonts w:hint="eastAsia" w:ascii="宋体" w:hAnsi="宋体" w:cs="黑体"/>
          <w:kern w:val="0"/>
          <w:szCs w:val="32"/>
        </w:rPr>
        <w:t>一、总 则</w:t>
      </w:r>
      <w:r>
        <w:tab/>
      </w:r>
      <w:r>
        <w:fldChar w:fldCharType="begin"/>
      </w:r>
      <w:r>
        <w:instrText xml:space="preserve"> PAGEREF _Toc1613 \h </w:instrText>
      </w:r>
      <w:r>
        <w:fldChar w:fldCharType="separate"/>
      </w:r>
      <w:r>
        <w:t>6</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7A8AC51E">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_Toc22897 </w:instrText>
      </w:r>
      <w:r>
        <w:rPr>
          <w:rFonts w:hint="eastAsia" w:ascii="黑体" w:hAnsi="黑体" w:eastAsia="黑体"/>
          <w:bCs w:val="0"/>
          <w:szCs w:val="32"/>
        </w:rPr>
        <w:fldChar w:fldCharType="separate"/>
      </w:r>
      <w:r>
        <w:rPr>
          <w:rFonts w:hint="eastAsia" w:ascii="宋体" w:hAnsi="宋体" w:eastAsia="宋体" w:cs="宋体"/>
          <w:kern w:val="0"/>
          <w:szCs w:val="32"/>
          <w:lang w:val="en-US" w:eastAsia="zh-CN" w:bidi="ar-SA"/>
        </w:rPr>
        <w:t>二、</w:t>
      </w:r>
      <w:r>
        <w:rPr>
          <w:rFonts w:hint="eastAsia" w:ascii="宋体" w:hAnsi="宋体" w:eastAsia="宋体" w:cs="宋体"/>
          <w:kern w:val="0"/>
          <w:szCs w:val="32"/>
        </w:rPr>
        <w:t>磋商文件</w:t>
      </w:r>
      <w:r>
        <w:tab/>
      </w:r>
      <w:r>
        <w:fldChar w:fldCharType="begin"/>
      </w:r>
      <w:r>
        <w:instrText xml:space="preserve"> PAGEREF _Toc22897 \h </w:instrText>
      </w:r>
      <w:r>
        <w:fldChar w:fldCharType="separate"/>
      </w:r>
      <w:r>
        <w:t>7</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0CF59319">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_Toc22313 </w:instrText>
      </w:r>
      <w:r>
        <w:rPr>
          <w:rFonts w:hint="eastAsia" w:ascii="黑体" w:hAnsi="黑体" w:eastAsia="黑体"/>
          <w:bCs w:val="0"/>
          <w:szCs w:val="32"/>
        </w:rPr>
        <w:fldChar w:fldCharType="separate"/>
      </w:r>
      <w:r>
        <w:rPr>
          <w:rFonts w:hint="eastAsia" w:ascii="宋体" w:hAnsi="宋体" w:eastAsia="宋体" w:cs="宋体"/>
          <w:kern w:val="0"/>
          <w:szCs w:val="32"/>
        </w:rPr>
        <w:t>三、投标响应文件</w:t>
      </w:r>
      <w:r>
        <w:tab/>
      </w:r>
      <w:r>
        <w:fldChar w:fldCharType="begin"/>
      </w:r>
      <w:r>
        <w:instrText xml:space="preserve"> PAGEREF _Toc22313 \h </w:instrText>
      </w:r>
      <w:r>
        <w:fldChar w:fldCharType="separate"/>
      </w:r>
      <w:r>
        <w:t>8</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32131D2C">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_Toc15561 </w:instrText>
      </w:r>
      <w:r>
        <w:rPr>
          <w:rFonts w:hint="eastAsia" w:ascii="黑体" w:hAnsi="黑体" w:eastAsia="黑体"/>
          <w:bCs w:val="0"/>
          <w:szCs w:val="32"/>
        </w:rPr>
        <w:fldChar w:fldCharType="separate"/>
      </w:r>
      <w:r>
        <w:rPr>
          <w:rFonts w:hint="eastAsia" w:ascii="宋体" w:hAnsi="宋体" w:eastAsia="宋体" w:cs="宋体"/>
          <w:kern w:val="0"/>
          <w:szCs w:val="32"/>
        </w:rPr>
        <w:t>四、投标响应文件的递交</w:t>
      </w:r>
      <w:r>
        <w:tab/>
      </w:r>
      <w:r>
        <w:fldChar w:fldCharType="begin"/>
      </w:r>
      <w:r>
        <w:instrText xml:space="preserve"> PAGEREF _Toc15561 \h </w:instrText>
      </w:r>
      <w:r>
        <w:fldChar w:fldCharType="separate"/>
      </w:r>
      <w:r>
        <w:t>11</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2601675E">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_Toc25350 </w:instrText>
      </w:r>
      <w:r>
        <w:rPr>
          <w:rFonts w:hint="eastAsia" w:ascii="黑体" w:hAnsi="黑体" w:eastAsia="黑体"/>
          <w:bCs w:val="0"/>
          <w:szCs w:val="32"/>
        </w:rPr>
        <w:fldChar w:fldCharType="separate"/>
      </w:r>
      <w:r>
        <w:rPr>
          <w:rFonts w:hint="eastAsia" w:ascii="宋体" w:hAnsi="宋体" w:eastAsia="宋体" w:cs="宋体"/>
          <w:kern w:val="0"/>
          <w:szCs w:val="32"/>
        </w:rPr>
        <w:t>五、开标、评标与定标</w:t>
      </w:r>
      <w:r>
        <w:tab/>
      </w:r>
      <w:r>
        <w:fldChar w:fldCharType="begin"/>
      </w:r>
      <w:r>
        <w:instrText xml:space="preserve"> PAGEREF _Toc25350 \h </w:instrText>
      </w:r>
      <w:r>
        <w:fldChar w:fldCharType="separate"/>
      </w:r>
      <w:r>
        <w:t>12</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46B06C63">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_Toc20644 </w:instrText>
      </w:r>
      <w:r>
        <w:rPr>
          <w:rFonts w:hint="eastAsia" w:ascii="黑体" w:hAnsi="黑体" w:eastAsia="黑体"/>
          <w:bCs w:val="0"/>
          <w:szCs w:val="32"/>
        </w:rPr>
        <w:fldChar w:fldCharType="separate"/>
      </w:r>
      <w:r>
        <w:rPr>
          <w:rFonts w:hint="eastAsia" w:ascii="宋体" w:hAnsi="宋体" w:eastAsia="宋体" w:cs="宋体"/>
          <w:kern w:val="0"/>
          <w:szCs w:val="32"/>
        </w:rPr>
        <w:t>六、质 疑</w:t>
      </w:r>
      <w:r>
        <w:tab/>
      </w:r>
      <w:r>
        <w:fldChar w:fldCharType="begin"/>
      </w:r>
      <w:r>
        <w:instrText xml:space="preserve"> PAGEREF _Toc20644 \h </w:instrText>
      </w:r>
      <w:r>
        <w:fldChar w:fldCharType="separate"/>
      </w:r>
      <w:r>
        <w:t>13</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2C4787AD">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_Toc30134 </w:instrText>
      </w:r>
      <w:r>
        <w:rPr>
          <w:rFonts w:hint="eastAsia" w:ascii="黑体" w:hAnsi="黑体" w:eastAsia="黑体"/>
          <w:bCs w:val="0"/>
          <w:szCs w:val="32"/>
        </w:rPr>
        <w:fldChar w:fldCharType="separate"/>
      </w:r>
      <w:r>
        <w:rPr>
          <w:rFonts w:hint="eastAsia" w:ascii="宋体" w:hAnsi="宋体" w:eastAsia="宋体" w:cs="宋体"/>
          <w:szCs w:val="32"/>
        </w:rPr>
        <w:t>七、签订合同</w:t>
      </w:r>
      <w:r>
        <w:tab/>
      </w:r>
      <w:r>
        <w:fldChar w:fldCharType="begin"/>
      </w:r>
      <w:r>
        <w:instrText xml:space="preserve"> PAGEREF _Toc30134 \h </w:instrText>
      </w:r>
      <w:r>
        <w:fldChar w:fldCharType="separate"/>
      </w:r>
      <w:r>
        <w:t>14</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7E9C6647">
      <w:pPr>
        <w:pStyle w:val="26"/>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_Toc20462 </w:instrText>
      </w:r>
      <w:r>
        <w:rPr>
          <w:rFonts w:hint="eastAsia" w:ascii="黑体" w:hAnsi="黑体" w:eastAsia="黑体"/>
          <w:bCs w:val="0"/>
          <w:szCs w:val="32"/>
        </w:rPr>
        <w:fldChar w:fldCharType="separate"/>
      </w:r>
      <w:r>
        <w:rPr>
          <w:rFonts w:hint="eastAsia" w:ascii="黑体" w:hAnsi="黑体" w:eastAsia="黑体" w:cs="黑体"/>
          <w:kern w:val="0"/>
          <w:szCs w:val="44"/>
        </w:rPr>
        <w:t>第四章 评标方法及标准</w:t>
      </w:r>
      <w:r>
        <w:tab/>
      </w:r>
      <w:r>
        <w:fldChar w:fldCharType="begin"/>
      </w:r>
      <w:r>
        <w:instrText xml:space="preserve"> PAGEREF _Toc20462 \h </w:instrText>
      </w:r>
      <w:r>
        <w:fldChar w:fldCharType="separate"/>
      </w:r>
      <w:r>
        <w:t>16</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2D6D81B8">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_Toc27499 </w:instrText>
      </w:r>
      <w:r>
        <w:rPr>
          <w:rFonts w:hint="eastAsia" w:ascii="黑体" w:hAnsi="黑体" w:eastAsia="黑体"/>
          <w:bCs w:val="0"/>
          <w:szCs w:val="32"/>
        </w:rPr>
        <w:fldChar w:fldCharType="separate"/>
      </w:r>
      <w:r>
        <w:rPr>
          <w:rFonts w:hint="eastAsia" w:ascii="宋体" w:hAnsi="宋体" w:cs="黑体"/>
          <w:kern w:val="0"/>
          <w:szCs w:val="32"/>
        </w:rPr>
        <w:t>一、总则</w:t>
      </w:r>
      <w:r>
        <w:tab/>
      </w:r>
      <w:r>
        <w:fldChar w:fldCharType="begin"/>
      </w:r>
      <w:r>
        <w:instrText xml:space="preserve"> PAGEREF _Toc27499 \h </w:instrText>
      </w:r>
      <w:r>
        <w:fldChar w:fldCharType="separate"/>
      </w:r>
      <w:r>
        <w:t>16</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55F02F76">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_Toc18234 </w:instrText>
      </w:r>
      <w:r>
        <w:rPr>
          <w:rFonts w:hint="eastAsia" w:ascii="黑体" w:hAnsi="黑体" w:eastAsia="黑体"/>
          <w:bCs w:val="0"/>
          <w:szCs w:val="32"/>
        </w:rPr>
        <w:fldChar w:fldCharType="separate"/>
      </w:r>
      <w:r>
        <w:rPr>
          <w:rFonts w:hint="eastAsia" w:ascii="宋体" w:hAnsi="宋体" w:cs="黑体"/>
          <w:kern w:val="0"/>
          <w:szCs w:val="32"/>
          <w:lang w:val="en-US" w:eastAsia="zh-CN"/>
        </w:rPr>
        <w:t>二、</w:t>
      </w:r>
      <w:r>
        <w:rPr>
          <w:rFonts w:hint="eastAsia" w:ascii="宋体" w:hAnsi="宋体" w:cs="黑体"/>
          <w:kern w:val="0"/>
          <w:szCs w:val="32"/>
        </w:rPr>
        <w:t>评标标准 （综合评分法）</w:t>
      </w:r>
      <w:r>
        <w:tab/>
      </w:r>
      <w:r>
        <w:fldChar w:fldCharType="begin"/>
      </w:r>
      <w:r>
        <w:instrText xml:space="preserve"> PAGEREF _Toc18234 \h </w:instrText>
      </w:r>
      <w:r>
        <w:fldChar w:fldCharType="separate"/>
      </w:r>
      <w:r>
        <w:t>17</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476A73C5">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_Toc25324 </w:instrText>
      </w:r>
      <w:r>
        <w:rPr>
          <w:rFonts w:hint="eastAsia" w:ascii="黑体" w:hAnsi="黑体" w:eastAsia="黑体"/>
          <w:bCs w:val="0"/>
          <w:szCs w:val="32"/>
        </w:rPr>
        <w:fldChar w:fldCharType="separate"/>
      </w:r>
      <w:r>
        <w:rPr>
          <w:rFonts w:hint="eastAsia" w:ascii="宋体" w:hAnsi="宋体" w:eastAsia="宋体" w:cs="黑体"/>
          <w:kern w:val="0"/>
          <w:szCs w:val="32"/>
          <w:lang w:val="en-US" w:eastAsia="zh-CN" w:bidi="ar-SA"/>
        </w:rPr>
        <w:t>三、评标程序</w:t>
      </w:r>
      <w:r>
        <w:tab/>
      </w:r>
      <w:r>
        <w:fldChar w:fldCharType="begin"/>
      </w:r>
      <w:r>
        <w:instrText xml:space="preserve"> PAGEREF _Toc25324 \h </w:instrText>
      </w:r>
      <w:r>
        <w:fldChar w:fldCharType="separate"/>
      </w:r>
      <w:r>
        <w:t>19</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393A073A">
      <w:pPr>
        <w:pStyle w:val="26"/>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_Toc5288 </w:instrText>
      </w:r>
      <w:r>
        <w:rPr>
          <w:rFonts w:hint="eastAsia" w:ascii="黑体" w:hAnsi="黑体" w:eastAsia="黑体"/>
          <w:bCs w:val="0"/>
          <w:szCs w:val="32"/>
        </w:rPr>
        <w:fldChar w:fldCharType="separate"/>
      </w:r>
      <w:r>
        <w:rPr>
          <w:rFonts w:hint="eastAsia" w:ascii="宋体" w:hAnsi="宋体" w:eastAsia="宋体" w:cs="宋体"/>
          <w:kern w:val="0"/>
          <w:szCs w:val="36"/>
        </w:rPr>
        <w:t>第五章  政府采购合同（仅供参考具体由甲乙双方协商）</w:t>
      </w:r>
      <w:r>
        <w:tab/>
      </w:r>
      <w:r>
        <w:fldChar w:fldCharType="begin"/>
      </w:r>
      <w:r>
        <w:instrText xml:space="preserve"> PAGEREF _Toc5288 \h </w:instrText>
      </w:r>
      <w:r>
        <w:fldChar w:fldCharType="separate"/>
      </w:r>
      <w:r>
        <w:t>21</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670198B8">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_Toc31337 </w:instrText>
      </w:r>
      <w:r>
        <w:rPr>
          <w:rFonts w:hint="eastAsia" w:ascii="黑体" w:hAnsi="黑体" w:eastAsia="黑体"/>
          <w:bCs w:val="0"/>
          <w:szCs w:val="32"/>
        </w:rPr>
        <w:fldChar w:fldCharType="separate"/>
      </w:r>
      <w:r>
        <w:rPr>
          <w:rFonts w:hint="eastAsia" w:ascii="宋体" w:hAnsi="宋体" w:eastAsia="宋体" w:cs="宋体"/>
          <w:szCs w:val="32"/>
        </w:rPr>
        <w:t>一、合同格式条款</w:t>
      </w:r>
      <w:r>
        <w:tab/>
      </w:r>
      <w:r>
        <w:fldChar w:fldCharType="begin"/>
      </w:r>
      <w:r>
        <w:instrText xml:space="preserve"> PAGEREF _Toc31337 \h </w:instrText>
      </w:r>
      <w:r>
        <w:fldChar w:fldCharType="separate"/>
      </w:r>
      <w:r>
        <w:t>21</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22D29F26">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_Toc31734 </w:instrText>
      </w:r>
      <w:r>
        <w:rPr>
          <w:rFonts w:hint="eastAsia" w:ascii="黑体" w:hAnsi="黑体" w:eastAsia="黑体"/>
          <w:bCs w:val="0"/>
          <w:szCs w:val="32"/>
        </w:rPr>
        <w:fldChar w:fldCharType="separate"/>
      </w:r>
      <w:r>
        <w:rPr>
          <w:rFonts w:hint="eastAsia" w:ascii="宋体" w:hAnsi="宋体" w:eastAsia="宋体" w:cs="宋体"/>
          <w:szCs w:val="32"/>
        </w:rPr>
        <w:t>二、政府采购合同</w:t>
      </w:r>
      <w:r>
        <w:tab/>
      </w:r>
      <w:r>
        <w:fldChar w:fldCharType="begin"/>
      </w:r>
      <w:r>
        <w:instrText xml:space="preserve"> PAGEREF _Toc31734 \h </w:instrText>
      </w:r>
      <w:r>
        <w:fldChar w:fldCharType="separate"/>
      </w:r>
      <w:r>
        <w:t>27</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6FC3F31E">
      <w:pPr>
        <w:pStyle w:val="26"/>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_Toc13262 </w:instrText>
      </w:r>
      <w:r>
        <w:rPr>
          <w:rFonts w:hint="eastAsia" w:ascii="黑体" w:hAnsi="黑体" w:eastAsia="黑体"/>
          <w:bCs w:val="0"/>
          <w:szCs w:val="32"/>
        </w:rPr>
        <w:fldChar w:fldCharType="separate"/>
      </w:r>
      <w:r>
        <w:rPr>
          <w:rFonts w:hint="eastAsia" w:ascii="宋体" w:hAnsi="宋体" w:eastAsia="宋体" w:cs="宋体"/>
          <w:kern w:val="0"/>
          <w:szCs w:val="36"/>
          <w:lang w:val="en-US" w:eastAsia="zh-CN" w:bidi="ar-SA"/>
        </w:rPr>
        <w:t>第</w:t>
      </w:r>
      <w:r>
        <w:rPr>
          <w:rFonts w:hint="eastAsia" w:ascii="宋体" w:hAnsi="宋体" w:cs="宋体"/>
          <w:kern w:val="0"/>
          <w:szCs w:val="36"/>
          <w:lang w:val="en-US" w:eastAsia="zh-CN" w:bidi="ar-SA"/>
        </w:rPr>
        <w:t>六</w:t>
      </w:r>
      <w:r>
        <w:rPr>
          <w:rFonts w:hint="eastAsia" w:ascii="宋体" w:hAnsi="宋体" w:eastAsia="宋体" w:cs="宋体"/>
          <w:kern w:val="0"/>
          <w:szCs w:val="36"/>
          <w:lang w:val="en-US" w:eastAsia="zh-CN" w:bidi="ar-SA"/>
        </w:rPr>
        <w:t>章</w:t>
      </w:r>
      <w:r>
        <w:rPr>
          <w:rFonts w:hint="eastAsia" w:ascii="宋体" w:hAnsi="宋体" w:eastAsia="宋体" w:cs="宋体"/>
          <w:kern w:val="0"/>
          <w:szCs w:val="36"/>
        </w:rPr>
        <w:t>投标响应文件格式</w:t>
      </w:r>
      <w:r>
        <w:tab/>
      </w:r>
      <w:r>
        <w:fldChar w:fldCharType="begin"/>
      </w:r>
      <w:r>
        <w:instrText xml:space="preserve"> PAGEREF _Toc13262 \h </w:instrText>
      </w:r>
      <w:r>
        <w:fldChar w:fldCharType="separate"/>
      </w:r>
      <w:r>
        <w:t>29</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13279840">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_Toc6140 </w:instrText>
      </w:r>
      <w:r>
        <w:rPr>
          <w:rFonts w:hint="eastAsia" w:ascii="黑体" w:hAnsi="黑体" w:eastAsia="黑体"/>
          <w:bCs w:val="0"/>
          <w:szCs w:val="32"/>
        </w:rPr>
        <w:fldChar w:fldCharType="separate"/>
      </w:r>
      <w:r>
        <w:rPr>
          <w:rFonts w:hint="eastAsia" w:ascii="宋体" w:hAnsi="宋体" w:eastAsia="宋体" w:cs="宋体"/>
          <w:szCs w:val="32"/>
        </w:rPr>
        <w:t>一、投标承诺书</w:t>
      </w:r>
      <w:r>
        <w:tab/>
      </w:r>
      <w:r>
        <w:fldChar w:fldCharType="begin"/>
      </w:r>
      <w:r>
        <w:instrText xml:space="preserve"> PAGEREF _Toc6140 \h </w:instrText>
      </w:r>
      <w:r>
        <w:fldChar w:fldCharType="separate"/>
      </w:r>
      <w:r>
        <w:t>29</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48755F73">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_Toc17604 </w:instrText>
      </w:r>
      <w:r>
        <w:rPr>
          <w:rFonts w:hint="eastAsia" w:ascii="黑体" w:hAnsi="黑体" w:eastAsia="黑体"/>
          <w:bCs w:val="0"/>
          <w:szCs w:val="32"/>
        </w:rPr>
        <w:fldChar w:fldCharType="separate"/>
      </w:r>
      <w:r>
        <w:rPr>
          <w:rFonts w:hint="eastAsia" w:ascii="宋体" w:hAnsi="宋体" w:eastAsia="宋体" w:cs="宋体"/>
          <w:szCs w:val="32"/>
        </w:rPr>
        <w:t>二、投标函</w:t>
      </w:r>
      <w:r>
        <w:tab/>
      </w:r>
      <w:r>
        <w:fldChar w:fldCharType="begin"/>
      </w:r>
      <w:r>
        <w:instrText xml:space="preserve"> PAGEREF _Toc17604 \h </w:instrText>
      </w:r>
      <w:r>
        <w:fldChar w:fldCharType="separate"/>
      </w:r>
      <w:r>
        <w:t>30</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46982D83">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_Toc32037 </w:instrText>
      </w:r>
      <w:r>
        <w:rPr>
          <w:rFonts w:hint="eastAsia" w:ascii="黑体" w:hAnsi="黑体" w:eastAsia="黑体"/>
          <w:bCs w:val="0"/>
          <w:szCs w:val="32"/>
        </w:rPr>
        <w:fldChar w:fldCharType="separate"/>
      </w:r>
      <w:r>
        <w:rPr>
          <w:rFonts w:hint="eastAsia" w:ascii="宋体" w:hAnsi="宋体" w:eastAsia="宋体" w:cs="宋体"/>
          <w:szCs w:val="32"/>
        </w:rPr>
        <w:t>三、开标报价一览表</w:t>
      </w:r>
      <w:r>
        <w:tab/>
      </w:r>
      <w:r>
        <w:fldChar w:fldCharType="begin"/>
      </w:r>
      <w:r>
        <w:instrText xml:space="preserve"> PAGEREF _Toc32037 \h </w:instrText>
      </w:r>
      <w:r>
        <w:fldChar w:fldCharType="separate"/>
      </w:r>
      <w:r>
        <w:t>31</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475AF35C">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_Toc30668 </w:instrText>
      </w:r>
      <w:r>
        <w:rPr>
          <w:rFonts w:hint="eastAsia" w:ascii="黑体" w:hAnsi="黑体" w:eastAsia="黑体"/>
          <w:bCs w:val="0"/>
          <w:szCs w:val="32"/>
        </w:rPr>
        <w:fldChar w:fldCharType="separate"/>
      </w:r>
      <w:r>
        <w:rPr>
          <w:rFonts w:hint="eastAsia" w:ascii="宋体" w:hAnsi="宋体" w:eastAsia="宋体" w:cs="宋体"/>
          <w:szCs w:val="32"/>
        </w:rPr>
        <w:t>四、分项价格表</w:t>
      </w:r>
      <w:r>
        <w:tab/>
      </w:r>
      <w:r>
        <w:fldChar w:fldCharType="begin"/>
      </w:r>
      <w:r>
        <w:instrText xml:space="preserve"> PAGEREF _Toc30668 \h </w:instrText>
      </w:r>
      <w:r>
        <w:fldChar w:fldCharType="separate"/>
      </w:r>
      <w:r>
        <w:t>32</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72D0CEC2">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_Toc15527 </w:instrText>
      </w:r>
      <w:r>
        <w:rPr>
          <w:rFonts w:hint="eastAsia" w:ascii="黑体" w:hAnsi="黑体" w:eastAsia="黑体"/>
          <w:bCs w:val="0"/>
          <w:szCs w:val="32"/>
        </w:rPr>
        <w:fldChar w:fldCharType="separate"/>
      </w:r>
      <w:r>
        <w:rPr>
          <w:rFonts w:hint="eastAsia" w:ascii="宋体" w:hAnsi="宋体" w:eastAsia="宋体" w:cs="宋体"/>
          <w:szCs w:val="32"/>
        </w:rPr>
        <w:t>五、投标人资格证明文件</w:t>
      </w:r>
      <w:r>
        <w:tab/>
      </w:r>
      <w:r>
        <w:fldChar w:fldCharType="begin"/>
      </w:r>
      <w:r>
        <w:instrText xml:space="preserve"> PAGEREF _Toc15527 \h </w:instrText>
      </w:r>
      <w:r>
        <w:fldChar w:fldCharType="separate"/>
      </w:r>
      <w:r>
        <w:t>33</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7269C925">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_Toc12051 </w:instrText>
      </w:r>
      <w:r>
        <w:rPr>
          <w:rFonts w:hint="eastAsia" w:ascii="黑体" w:hAnsi="黑体" w:eastAsia="黑体"/>
          <w:bCs w:val="0"/>
          <w:szCs w:val="32"/>
        </w:rPr>
        <w:fldChar w:fldCharType="separate"/>
      </w:r>
      <w:r>
        <w:rPr>
          <w:rFonts w:hint="eastAsia" w:ascii="宋体" w:hAnsi="宋体" w:eastAsia="宋体" w:cs="宋体"/>
          <w:szCs w:val="32"/>
        </w:rPr>
        <w:t>六、商务响应说明书</w:t>
      </w:r>
      <w:r>
        <w:tab/>
      </w:r>
      <w:r>
        <w:fldChar w:fldCharType="begin"/>
      </w:r>
      <w:r>
        <w:instrText xml:space="preserve"> PAGEREF _Toc12051 \h </w:instrText>
      </w:r>
      <w:r>
        <w:fldChar w:fldCharType="separate"/>
      </w:r>
      <w:r>
        <w:t>38</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051CC1E9">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_Toc13961 </w:instrText>
      </w:r>
      <w:r>
        <w:rPr>
          <w:rFonts w:hint="eastAsia" w:ascii="黑体" w:hAnsi="黑体" w:eastAsia="黑体"/>
          <w:bCs w:val="0"/>
          <w:szCs w:val="32"/>
        </w:rPr>
        <w:fldChar w:fldCharType="separate"/>
      </w:r>
      <w:r>
        <w:rPr>
          <w:rFonts w:hint="eastAsia" w:ascii="宋体" w:hAnsi="宋体" w:eastAsia="宋体" w:cs="宋体"/>
          <w:szCs w:val="32"/>
          <w:highlight w:val="none"/>
        </w:rPr>
        <w:t>七、</w:t>
      </w:r>
      <w:r>
        <w:rPr>
          <w:rFonts w:hint="eastAsia" w:ascii="宋体" w:hAnsi="宋体" w:cs="宋体"/>
          <w:szCs w:val="32"/>
          <w:highlight w:val="none"/>
          <w:lang w:val="en-US" w:eastAsia="zh-CN"/>
        </w:rPr>
        <w:t>投标方案说明书</w:t>
      </w:r>
      <w:r>
        <w:tab/>
      </w:r>
      <w:r>
        <w:fldChar w:fldCharType="begin"/>
      </w:r>
      <w:r>
        <w:instrText xml:space="preserve"> PAGEREF _Toc13961 \h </w:instrText>
      </w:r>
      <w:r>
        <w:fldChar w:fldCharType="separate"/>
      </w:r>
      <w:r>
        <w:t>39</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29F3FD6D">
      <w:pPr>
        <w:pStyle w:val="28"/>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_Toc24297 </w:instrText>
      </w:r>
      <w:r>
        <w:rPr>
          <w:rFonts w:hint="eastAsia" w:ascii="黑体" w:hAnsi="黑体" w:eastAsia="黑体"/>
          <w:bCs w:val="0"/>
          <w:szCs w:val="32"/>
        </w:rPr>
        <w:fldChar w:fldCharType="separate"/>
      </w:r>
      <w:r>
        <w:rPr>
          <w:rFonts w:hint="eastAsia" w:ascii="宋体" w:hAnsi="宋体" w:eastAsia="宋体" w:cs="宋体"/>
          <w:szCs w:val="32"/>
        </w:rPr>
        <w:t>八、投标人认为有必须提供的其他资料</w:t>
      </w:r>
      <w:r>
        <w:tab/>
      </w:r>
      <w:r>
        <w:fldChar w:fldCharType="begin"/>
      </w:r>
      <w:r>
        <w:instrText xml:space="preserve"> PAGEREF _Toc24297 \h </w:instrText>
      </w:r>
      <w:r>
        <w:fldChar w:fldCharType="separate"/>
      </w:r>
      <w:r>
        <w:t>40</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2BADE4E3">
      <w:pPr>
        <w:pStyle w:val="26"/>
        <w:keepNext w:val="0"/>
        <w:keepLines w:val="0"/>
        <w:pageBreakBefore w:val="0"/>
        <w:widowControl w:val="0"/>
        <w:tabs>
          <w:tab w:val="right" w:leader="dot" w:pos="9214"/>
        </w:tabs>
        <w:kinsoku/>
        <w:wordWrap/>
        <w:overflowPunct/>
        <w:topLinePunct w:val="0"/>
        <w:autoSpaceDE/>
        <w:autoSpaceDN/>
        <w:bidi w:val="0"/>
        <w:adjustRightInd/>
        <w:snapToGrid/>
        <w:spacing w:line="360" w:lineRule="auto"/>
        <w:textAlignment w:val="auto"/>
      </w:pPr>
      <w:r>
        <w:rPr>
          <w:rFonts w:hint="eastAsia" w:ascii="黑体" w:hAnsi="黑体" w:eastAsia="黑体"/>
          <w:bCs w:val="0"/>
          <w:color w:val="000000" w:themeColor="text1"/>
          <w:szCs w:val="32"/>
          <w14:textFill>
            <w14:solidFill>
              <w14:schemeClr w14:val="tx1"/>
            </w14:solidFill>
          </w14:textFill>
        </w:rPr>
        <w:fldChar w:fldCharType="begin"/>
      </w:r>
      <w:r>
        <w:rPr>
          <w:rFonts w:hint="eastAsia" w:ascii="黑体" w:hAnsi="黑体" w:eastAsia="黑体"/>
          <w:bCs w:val="0"/>
          <w:szCs w:val="32"/>
        </w:rPr>
        <w:instrText xml:space="preserve"> HYPERLINK \l _Toc22705 </w:instrText>
      </w:r>
      <w:r>
        <w:rPr>
          <w:rFonts w:hint="eastAsia" w:ascii="黑体" w:hAnsi="黑体" w:eastAsia="黑体"/>
          <w:bCs w:val="0"/>
          <w:szCs w:val="32"/>
        </w:rPr>
        <w:fldChar w:fldCharType="separate"/>
      </w:r>
      <w:r>
        <w:rPr>
          <w:rFonts w:hint="eastAsia" w:ascii="宋体" w:hAnsi="宋体" w:eastAsia="宋体" w:cs="宋体"/>
          <w:bCs/>
          <w:szCs w:val="36"/>
          <w:lang w:val="en-US" w:eastAsia="zh-CN"/>
        </w:rPr>
        <w:t>第七章  附件</w:t>
      </w:r>
      <w:r>
        <w:tab/>
      </w:r>
      <w:r>
        <w:fldChar w:fldCharType="begin"/>
      </w:r>
      <w:r>
        <w:instrText xml:space="preserve"> PAGEREF _Toc22705 \h </w:instrText>
      </w:r>
      <w:r>
        <w:fldChar w:fldCharType="separate"/>
      </w:r>
      <w:r>
        <w:t>41</w:t>
      </w:r>
      <w:r>
        <w:fldChar w:fldCharType="end"/>
      </w:r>
      <w:r>
        <w:rPr>
          <w:rFonts w:hint="eastAsia" w:ascii="黑体" w:hAnsi="黑体" w:eastAsia="黑体"/>
          <w:bCs w:val="0"/>
          <w:color w:val="000000" w:themeColor="text1"/>
          <w:szCs w:val="32"/>
          <w14:textFill>
            <w14:solidFill>
              <w14:schemeClr w14:val="tx1"/>
            </w14:solidFill>
          </w14:textFill>
        </w:rPr>
        <w:fldChar w:fldCharType="end"/>
      </w:r>
    </w:p>
    <w:p w14:paraId="09E81C02">
      <w:pPr>
        <w:keepNext w:val="0"/>
        <w:keepLines w:val="0"/>
        <w:pageBreakBefore w:val="0"/>
        <w:shd w:val="clear" w:color="auto" w:fill="FFFFFF"/>
        <w:kinsoku/>
        <w:wordWrap w:val="0"/>
        <w:overflowPunct/>
        <w:topLinePunct w:val="0"/>
        <w:bidi w:val="0"/>
        <w:snapToGrid/>
        <w:spacing w:line="480" w:lineRule="exact"/>
        <w:textAlignment w:val="auto"/>
        <w:rPr>
          <w:rFonts w:hint="eastAsia" w:ascii="黑体" w:hAnsi="黑体" w:eastAsia="黑体"/>
          <w:bCs w:val="0"/>
          <w:color w:val="000000" w:themeColor="text1"/>
          <w:szCs w:val="32"/>
          <w14:textFill>
            <w14:solidFill>
              <w14:schemeClr w14:val="tx1"/>
            </w14:solidFill>
          </w14:textFill>
        </w:rPr>
      </w:pPr>
      <w:r>
        <w:rPr>
          <w:rFonts w:hint="eastAsia" w:ascii="黑体" w:hAnsi="黑体" w:eastAsia="黑体"/>
          <w:bCs w:val="0"/>
          <w:color w:val="000000" w:themeColor="text1"/>
          <w:szCs w:val="32"/>
          <w14:textFill>
            <w14:solidFill>
              <w14:schemeClr w14:val="tx1"/>
            </w14:solidFill>
          </w14:textFill>
        </w:rPr>
        <w:fldChar w:fldCharType="end"/>
      </w:r>
    </w:p>
    <w:p w14:paraId="24D06112">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b/>
          <w:bCs/>
          <w:i w:val="0"/>
          <w:iCs w:val="0"/>
          <w:caps w:val="0"/>
          <w:color w:val="000000"/>
          <w:spacing w:val="0"/>
          <w:kern w:val="0"/>
          <w:sz w:val="24"/>
          <w:szCs w:val="24"/>
          <w:u w:val="none"/>
          <w:lang w:val="en-US" w:eastAsia="zh-CN" w:bidi="ar"/>
        </w:rPr>
        <w:sectPr>
          <w:footerReference r:id="rId4" w:type="default"/>
          <w:pgSz w:w="11906" w:h="16838"/>
          <w:pgMar w:top="1440" w:right="1274" w:bottom="1440" w:left="1418" w:header="851" w:footer="992" w:gutter="0"/>
          <w:pgNumType w:start="1"/>
          <w:cols w:space="720" w:num="1"/>
          <w:docGrid w:type="linesAndChars" w:linePitch="312" w:charSpace="0"/>
        </w:sectPr>
      </w:pPr>
      <w:bookmarkStart w:id="0" w:name="_Toc23302"/>
      <w:bookmarkStart w:id="1" w:name="_Toc31678"/>
    </w:p>
    <w:p w14:paraId="00F1A243">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b/>
          <w:bCs/>
          <w:i w:val="0"/>
          <w:iCs w:val="0"/>
          <w:caps w:val="0"/>
          <w:color w:val="000000"/>
          <w:spacing w:val="0"/>
          <w:kern w:val="0"/>
          <w:sz w:val="24"/>
          <w:szCs w:val="24"/>
          <w:u w:val="none"/>
          <w:lang w:val="en-US" w:eastAsia="zh-CN" w:bidi="ar"/>
        </w:rPr>
      </w:pPr>
      <w:r>
        <w:rPr>
          <w:rFonts w:hint="eastAsia" w:ascii="新宋体" w:hAnsi="新宋体" w:eastAsia="新宋体" w:cs="新宋体"/>
          <w:b/>
          <w:bCs/>
          <w:i w:val="0"/>
          <w:iCs w:val="0"/>
          <w:caps w:val="0"/>
          <w:color w:val="000000"/>
          <w:spacing w:val="0"/>
          <w:kern w:val="0"/>
          <w:sz w:val="24"/>
          <w:szCs w:val="24"/>
          <w:u w:val="none"/>
          <w:lang w:val="en-US" w:eastAsia="zh-CN" w:bidi="ar"/>
        </w:rPr>
        <w:t>陇南市武都区农村经济经营服务中心土地承包经营权档案资料电子化项目</w:t>
      </w:r>
    </w:p>
    <w:p w14:paraId="31734C35">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u w:val="single"/>
          <w:lang w:val="en-US" w:eastAsia="zh-CN" w:bidi="ar"/>
        </w:rPr>
        <w:t>陇南市武都区农村经济经营服务中心</w:t>
      </w:r>
      <w:r>
        <w:rPr>
          <w:rFonts w:hint="eastAsia" w:ascii="新宋体" w:hAnsi="新宋体" w:eastAsia="新宋体" w:cs="新宋体"/>
          <w:i w:val="0"/>
          <w:iCs w:val="0"/>
          <w:caps w:val="0"/>
          <w:color w:val="000000"/>
          <w:spacing w:val="0"/>
          <w:kern w:val="0"/>
          <w:sz w:val="20"/>
          <w:szCs w:val="20"/>
          <w:lang w:val="en-US" w:eastAsia="zh-CN" w:bidi="ar"/>
        </w:rPr>
        <w:t>采购项目的潜在供应商应在</w:t>
      </w:r>
      <w:r>
        <w:rPr>
          <w:rFonts w:hint="eastAsia" w:ascii="新宋体" w:hAnsi="新宋体" w:eastAsia="新宋体" w:cs="新宋体"/>
          <w:i w:val="0"/>
          <w:iCs w:val="0"/>
          <w:caps w:val="0"/>
          <w:color w:val="000000"/>
          <w:spacing w:val="0"/>
          <w:kern w:val="0"/>
          <w:sz w:val="20"/>
          <w:szCs w:val="20"/>
          <w:u w:val="single"/>
          <w:lang w:val="en-US" w:eastAsia="zh-CN" w:bidi="ar"/>
        </w:rPr>
        <w:t>陇南市公共资源交易网（http://60.164.200.102/）免费下载</w:t>
      </w:r>
      <w:r>
        <w:rPr>
          <w:rFonts w:hint="eastAsia" w:ascii="新宋体" w:hAnsi="新宋体" w:eastAsia="新宋体" w:cs="新宋体"/>
          <w:i w:val="0"/>
          <w:iCs w:val="0"/>
          <w:caps w:val="0"/>
          <w:color w:val="000000"/>
          <w:spacing w:val="0"/>
          <w:kern w:val="0"/>
          <w:sz w:val="20"/>
          <w:szCs w:val="20"/>
          <w:lang w:val="en-US" w:eastAsia="zh-CN" w:bidi="ar"/>
        </w:rPr>
        <w:t>获取采购文件，并于</w:t>
      </w:r>
      <w:r>
        <w:rPr>
          <w:rFonts w:hint="eastAsia" w:ascii="新宋体" w:hAnsi="新宋体" w:eastAsia="新宋体" w:cs="新宋体"/>
          <w:i w:val="0"/>
          <w:iCs w:val="0"/>
          <w:caps w:val="0"/>
          <w:color w:val="000000"/>
          <w:spacing w:val="0"/>
          <w:kern w:val="0"/>
          <w:sz w:val="20"/>
          <w:szCs w:val="20"/>
          <w:highlight w:val="yellow"/>
          <w:u w:val="single"/>
          <w:lang w:val="en-US" w:eastAsia="zh-CN" w:bidi="ar"/>
        </w:rPr>
        <w:t>2024-06-17 15:00:00</w:t>
      </w:r>
      <w:r>
        <w:rPr>
          <w:rFonts w:hint="eastAsia" w:ascii="新宋体" w:hAnsi="新宋体" w:eastAsia="新宋体" w:cs="新宋体"/>
          <w:i w:val="0"/>
          <w:iCs w:val="0"/>
          <w:caps w:val="0"/>
          <w:color w:val="000000"/>
          <w:spacing w:val="0"/>
          <w:kern w:val="0"/>
          <w:sz w:val="20"/>
          <w:szCs w:val="20"/>
          <w:highlight w:val="yellow"/>
          <w:lang w:val="en-US" w:eastAsia="zh-CN" w:bidi="ar"/>
        </w:rPr>
        <w:t>（</w:t>
      </w:r>
      <w:r>
        <w:rPr>
          <w:rFonts w:hint="eastAsia" w:ascii="新宋体" w:hAnsi="新宋体" w:eastAsia="新宋体" w:cs="新宋体"/>
          <w:i w:val="0"/>
          <w:iCs w:val="0"/>
          <w:caps w:val="0"/>
          <w:color w:val="000000"/>
          <w:spacing w:val="0"/>
          <w:kern w:val="0"/>
          <w:sz w:val="20"/>
          <w:szCs w:val="20"/>
          <w:lang w:val="en-US" w:eastAsia="zh-CN" w:bidi="ar"/>
        </w:rPr>
        <w:t>北京时间）前提交响应文件。</w:t>
      </w:r>
    </w:p>
    <w:p w14:paraId="40A705DF">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一、项目基本情况</w:t>
      </w:r>
    </w:p>
    <w:p w14:paraId="0B3B9B38">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highlight w:val="yellow"/>
        </w:rPr>
      </w:pPr>
      <w:r>
        <w:rPr>
          <w:rFonts w:hint="eastAsia" w:ascii="新宋体" w:hAnsi="新宋体" w:eastAsia="新宋体" w:cs="新宋体"/>
          <w:i w:val="0"/>
          <w:iCs w:val="0"/>
          <w:caps w:val="0"/>
          <w:color w:val="000000"/>
          <w:spacing w:val="0"/>
          <w:kern w:val="0"/>
          <w:sz w:val="20"/>
          <w:szCs w:val="20"/>
          <w:highlight w:val="yellow"/>
          <w:lang w:val="en-US" w:eastAsia="zh-CN" w:bidi="ar"/>
        </w:rPr>
        <w:t>项目编号：330001JH621225020</w:t>
      </w:r>
    </w:p>
    <w:p w14:paraId="498ADF3D">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kern w:val="0"/>
          <w:sz w:val="20"/>
          <w:szCs w:val="20"/>
          <w:lang w:val="en-US" w:eastAsia="zh-CN" w:bidi="ar"/>
        </w:rPr>
      </w:pPr>
      <w:r>
        <w:rPr>
          <w:rFonts w:hint="eastAsia" w:ascii="新宋体" w:hAnsi="新宋体" w:eastAsia="新宋体" w:cs="新宋体"/>
          <w:i w:val="0"/>
          <w:iCs w:val="0"/>
          <w:caps w:val="0"/>
          <w:color w:val="000000"/>
          <w:spacing w:val="0"/>
          <w:kern w:val="0"/>
          <w:sz w:val="20"/>
          <w:szCs w:val="20"/>
          <w:lang w:val="en-US" w:eastAsia="zh-CN" w:bidi="ar"/>
        </w:rPr>
        <w:t>项目名称：陇南市武都区农村经济经营服务中心土地承包经营权档案资料电子化项目</w:t>
      </w:r>
    </w:p>
    <w:p w14:paraId="5AA8E697">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预算金额：90(万元)</w:t>
      </w:r>
    </w:p>
    <w:p w14:paraId="39A918A4">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最高限价：90(万元)</w:t>
      </w:r>
    </w:p>
    <w:p w14:paraId="6AAD2FCB">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采购需求：档案资料电子化扫描（具体详见磋商文件技术参数）</w:t>
      </w:r>
    </w:p>
    <w:p w14:paraId="75FC44AA">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合同履行期限：按合同约定执行</w:t>
      </w:r>
    </w:p>
    <w:p w14:paraId="25FB9E19">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本项目（是/否）接受联合体投标：否</w:t>
      </w:r>
    </w:p>
    <w:p w14:paraId="1729157D">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二、申请人的资格要求</w:t>
      </w:r>
    </w:p>
    <w:p w14:paraId="7F527BB2">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1.（1）满足《中华人民共和国政府采购法》第二十二条规定；（2）须具有合法有效的法人营业执照、国家和地方税务登记证、组织机构代码证、开户许可证；前述法人营业执照、税务登记证、组织机构代码证已三证合一的，则需提供具有统一社会信用代码的营业执照；（3）须提供法人授权函及被授权人身份证（正、反面复印件）；（4）本项目不接受联合体投标；（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125875D6">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2.落实政府采购政策需满足的资格要求：《政府采购促进中小企业发展暂行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14:paraId="177558BE">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3.本项目的特定资格要求：</w:t>
      </w:r>
      <w:r>
        <w:rPr>
          <w:rFonts w:hint="eastAsia" w:ascii="Tahoma" w:hAnsi="Tahoma" w:eastAsia="Tahoma" w:cs="Tahoma"/>
          <w:i w:val="0"/>
          <w:iCs w:val="0"/>
          <w:caps w:val="0"/>
          <w:color w:val="000000"/>
          <w:spacing w:val="0"/>
          <w:sz w:val="18"/>
          <w:szCs w:val="18"/>
          <w:lang w:val="en-US" w:eastAsia="zh-CN"/>
        </w:rPr>
        <w:t>投标人须具有国家测绘部门颁发的甲级测绘资质</w:t>
      </w:r>
    </w:p>
    <w:p w14:paraId="7550BF0F">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三、获取采购文件</w:t>
      </w:r>
    </w:p>
    <w:p w14:paraId="57881FFE">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highlight w:val="yellow"/>
        </w:rPr>
      </w:pPr>
      <w:r>
        <w:rPr>
          <w:rFonts w:hint="eastAsia" w:ascii="新宋体" w:hAnsi="新宋体" w:eastAsia="新宋体" w:cs="新宋体"/>
          <w:i w:val="0"/>
          <w:iCs w:val="0"/>
          <w:caps w:val="0"/>
          <w:color w:val="000000"/>
          <w:spacing w:val="0"/>
          <w:kern w:val="0"/>
          <w:sz w:val="20"/>
          <w:szCs w:val="20"/>
          <w:highlight w:val="yellow"/>
          <w:lang w:val="en-US" w:eastAsia="zh-CN" w:bidi="ar"/>
        </w:rPr>
        <w:t>时间：</w:t>
      </w:r>
      <w:r>
        <w:rPr>
          <w:rFonts w:hint="eastAsia" w:ascii="新宋体" w:hAnsi="新宋体" w:eastAsia="新宋体" w:cs="新宋体"/>
          <w:i w:val="0"/>
          <w:iCs w:val="0"/>
          <w:caps w:val="0"/>
          <w:color w:val="000000"/>
          <w:spacing w:val="0"/>
          <w:kern w:val="0"/>
          <w:sz w:val="20"/>
          <w:szCs w:val="20"/>
          <w:highlight w:val="yellow"/>
          <w:u w:val="single"/>
          <w:lang w:val="en-US" w:eastAsia="zh-CN" w:bidi="ar"/>
        </w:rPr>
        <w:t>2024-06-06</w:t>
      </w:r>
      <w:r>
        <w:rPr>
          <w:rFonts w:hint="eastAsia" w:ascii="新宋体" w:hAnsi="新宋体" w:eastAsia="新宋体" w:cs="新宋体"/>
          <w:i w:val="0"/>
          <w:iCs w:val="0"/>
          <w:caps w:val="0"/>
          <w:color w:val="000000"/>
          <w:spacing w:val="0"/>
          <w:kern w:val="0"/>
          <w:sz w:val="20"/>
          <w:szCs w:val="20"/>
          <w:highlight w:val="yellow"/>
          <w:lang w:val="en-US" w:eastAsia="zh-CN" w:bidi="ar"/>
        </w:rPr>
        <w:t>至</w:t>
      </w:r>
      <w:r>
        <w:rPr>
          <w:rFonts w:hint="eastAsia" w:ascii="新宋体" w:hAnsi="新宋体" w:eastAsia="新宋体" w:cs="新宋体"/>
          <w:i w:val="0"/>
          <w:iCs w:val="0"/>
          <w:caps w:val="0"/>
          <w:color w:val="000000"/>
          <w:spacing w:val="0"/>
          <w:kern w:val="0"/>
          <w:sz w:val="20"/>
          <w:szCs w:val="20"/>
          <w:highlight w:val="yellow"/>
          <w:u w:val="single"/>
          <w:lang w:val="en-US" w:eastAsia="zh-CN" w:bidi="ar"/>
        </w:rPr>
        <w:t>2024-06-13</w:t>
      </w:r>
      <w:r>
        <w:rPr>
          <w:rFonts w:hint="eastAsia" w:ascii="新宋体" w:hAnsi="新宋体" w:eastAsia="新宋体" w:cs="新宋体"/>
          <w:i w:val="0"/>
          <w:iCs w:val="0"/>
          <w:caps w:val="0"/>
          <w:color w:val="000000"/>
          <w:spacing w:val="0"/>
          <w:kern w:val="0"/>
          <w:sz w:val="20"/>
          <w:szCs w:val="20"/>
          <w:highlight w:val="yellow"/>
          <w:lang w:val="en-US" w:eastAsia="zh-CN" w:bidi="ar"/>
        </w:rPr>
        <w:t>，每天上午</w:t>
      </w:r>
      <w:r>
        <w:rPr>
          <w:rFonts w:hint="eastAsia" w:ascii="新宋体" w:hAnsi="新宋体" w:eastAsia="新宋体" w:cs="新宋体"/>
          <w:i w:val="0"/>
          <w:iCs w:val="0"/>
          <w:caps w:val="0"/>
          <w:color w:val="000000"/>
          <w:spacing w:val="0"/>
          <w:kern w:val="0"/>
          <w:sz w:val="20"/>
          <w:szCs w:val="20"/>
          <w:highlight w:val="yellow"/>
          <w:u w:val="single"/>
          <w:lang w:val="en-US" w:eastAsia="zh-CN" w:bidi="ar"/>
        </w:rPr>
        <w:t>8:30</w:t>
      </w:r>
      <w:r>
        <w:rPr>
          <w:rFonts w:hint="eastAsia" w:ascii="新宋体" w:hAnsi="新宋体" w:eastAsia="新宋体" w:cs="新宋体"/>
          <w:i w:val="0"/>
          <w:iCs w:val="0"/>
          <w:caps w:val="0"/>
          <w:color w:val="000000"/>
          <w:spacing w:val="0"/>
          <w:kern w:val="0"/>
          <w:sz w:val="20"/>
          <w:szCs w:val="20"/>
          <w:highlight w:val="yellow"/>
          <w:lang w:val="en-US" w:eastAsia="zh-CN" w:bidi="ar"/>
        </w:rPr>
        <w:t>至</w:t>
      </w:r>
      <w:r>
        <w:rPr>
          <w:rFonts w:hint="eastAsia" w:ascii="新宋体" w:hAnsi="新宋体" w:eastAsia="新宋体" w:cs="新宋体"/>
          <w:i w:val="0"/>
          <w:iCs w:val="0"/>
          <w:caps w:val="0"/>
          <w:color w:val="000000"/>
          <w:spacing w:val="0"/>
          <w:kern w:val="0"/>
          <w:sz w:val="20"/>
          <w:szCs w:val="20"/>
          <w:highlight w:val="yellow"/>
          <w:u w:val="single"/>
          <w:lang w:val="en-US" w:eastAsia="zh-CN" w:bidi="ar"/>
        </w:rPr>
        <w:t>12:00</w:t>
      </w:r>
      <w:r>
        <w:rPr>
          <w:rFonts w:hint="eastAsia" w:ascii="新宋体" w:hAnsi="新宋体" w:eastAsia="新宋体" w:cs="新宋体"/>
          <w:i w:val="0"/>
          <w:iCs w:val="0"/>
          <w:caps w:val="0"/>
          <w:color w:val="000000"/>
          <w:spacing w:val="0"/>
          <w:kern w:val="0"/>
          <w:sz w:val="20"/>
          <w:szCs w:val="20"/>
          <w:highlight w:val="yellow"/>
          <w:lang w:val="en-US" w:eastAsia="zh-CN" w:bidi="ar"/>
        </w:rPr>
        <w:t>，下午</w:t>
      </w:r>
      <w:r>
        <w:rPr>
          <w:rFonts w:hint="eastAsia" w:ascii="新宋体" w:hAnsi="新宋体" w:eastAsia="新宋体" w:cs="新宋体"/>
          <w:i w:val="0"/>
          <w:iCs w:val="0"/>
          <w:caps w:val="0"/>
          <w:color w:val="000000"/>
          <w:spacing w:val="0"/>
          <w:kern w:val="0"/>
          <w:sz w:val="20"/>
          <w:szCs w:val="20"/>
          <w:highlight w:val="yellow"/>
          <w:u w:val="single"/>
          <w:lang w:val="en-US" w:eastAsia="zh-CN" w:bidi="ar"/>
        </w:rPr>
        <w:t>12:00</w:t>
      </w:r>
      <w:r>
        <w:rPr>
          <w:rFonts w:hint="eastAsia" w:ascii="新宋体" w:hAnsi="新宋体" w:eastAsia="新宋体" w:cs="新宋体"/>
          <w:i w:val="0"/>
          <w:iCs w:val="0"/>
          <w:caps w:val="0"/>
          <w:color w:val="000000"/>
          <w:spacing w:val="0"/>
          <w:kern w:val="0"/>
          <w:sz w:val="20"/>
          <w:szCs w:val="20"/>
          <w:highlight w:val="yellow"/>
          <w:lang w:val="en-US" w:eastAsia="zh-CN" w:bidi="ar"/>
        </w:rPr>
        <w:t>至</w:t>
      </w:r>
      <w:r>
        <w:rPr>
          <w:rFonts w:hint="eastAsia" w:ascii="新宋体" w:hAnsi="新宋体" w:eastAsia="新宋体" w:cs="新宋体"/>
          <w:i w:val="0"/>
          <w:iCs w:val="0"/>
          <w:caps w:val="0"/>
          <w:color w:val="000000"/>
          <w:spacing w:val="0"/>
          <w:kern w:val="0"/>
          <w:sz w:val="20"/>
          <w:szCs w:val="20"/>
          <w:highlight w:val="yellow"/>
          <w:u w:val="single"/>
          <w:lang w:val="en-US" w:eastAsia="zh-CN" w:bidi="ar"/>
        </w:rPr>
        <w:t>17:30</w:t>
      </w:r>
    </w:p>
    <w:p w14:paraId="6AEB6D4A">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地点：陇南市公共资源交易网（http://60.164.200.102/）免费下载</w:t>
      </w:r>
    </w:p>
    <w:p w14:paraId="0A0D7546">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方式：拟参与本项目的潜在供应商在获取期限内，凭 CA 证书登录陇南市公共资源交易网在线免费下载采购文件，并点击“我要投标”按要求填写信息进行确认。</w:t>
      </w:r>
    </w:p>
    <w:p w14:paraId="5D92F732">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售价：0(元)</w:t>
      </w:r>
    </w:p>
    <w:p w14:paraId="4E1C32EC">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四、响应文件提交</w:t>
      </w:r>
    </w:p>
    <w:p w14:paraId="1CBF0A0E">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highlight w:val="yellow"/>
        </w:rPr>
      </w:pPr>
      <w:r>
        <w:rPr>
          <w:rFonts w:hint="eastAsia" w:ascii="新宋体" w:hAnsi="新宋体" w:eastAsia="新宋体" w:cs="新宋体"/>
          <w:i w:val="0"/>
          <w:iCs w:val="0"/>
          <w:caps w:val="0"/>
          <w:color w:val="000000"/>
          <w:spacing w:val="0"/>
          <w:kern w:val="0"/>
          <w:sz w:val="20"/>
          <w:szCs w:val="20"/>
          <w:highlight w:val="yellow"/>
          <w:lang w:val="en-US" w:eastAsia="zh-CN" w:bidi="ar"/>
        </w:rPr>
        <w:t>截止时间：2024-06-17 15:00:00</w:t>
      </w:r>
    </w:p>
    <w:p w14:paraId="6384A41E">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地点：凭CA证书登录陇南市公共资源交易网（网址 ：http://60.164.200.102/）进行上传。</w:t>
      </w:r>
    </w:p>
    <w:p w14:paraId="0E017C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新宋体" w:hAnsi="新宋体" w:eastAsia="新宋体" w:cs="新宋体"/>
          <w:sz w:val="22"/>
          <w:szCs w:val="24"/>
        </w:rPr>
      </w:pPr>
      <w:r>
        <w:rPr>
          <w:rFonts w:hint="eastAsia" w:ascii="新宋体" w:hAnsi="新宋体" w:eastAsia="新宋体" w:cs="新宋体"/>
          <w:i w:val="0"/>
          <w:iCs w:val="0"/>
          <w:caps w:val="0"/>
          <w:color w:val="000000"/>
          <w:spacing w:val="0"/>
          <w:kern w:val="0"/>
          <w:sz w:val="20"/>
          <w:szCs w:val="20"/>
          <w:lang w:val="en-US" w:eastAsia="zh-CN" w:bidi="ar"/>
        </w:rPr>
        <w:t>五、开启</w:t>
      </w:r>
    </w:p>
    <w:p w14:paraId="4978F600">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highlight w:val="yellow"/>
        </w:rPr>
      </w:pPr>
      <w:r>
        <w:rPr>
          <w:rFonts w:hint="eastAsia" w:ascii="新宋体" w:hAnsi="新宋体" w:eastAsia="新宋体" w:cs="新宋体"/>
          <w:i w:val="0"/>
          <w:iCs w:val="0"/>
          <w:caps w:val="0"/>
          <w:color w:val="000000"/>
          <w:spacing w:val="0"/>
          <w:kern w:val="0"/>
          <w:sz w:val="20"/>
          <w:szCs w:val="20"/>
          <w:highlight w:val="yellow"/>
          <w:lang w:val="en-US" w:eastAsia="zh-CN" w:bidi="ar"/>
        </w:rPr>
        <w:t>时间：2024-06-17 15:00:00</w:t>
      </w:r>
    </w:p>
    <w:p w14:paraId="2E583D5E">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highlight w:val="yellow"/>
        </w:rPr>
      </w:pPr>
      <w:r>
        <w:rPr>
          <w:rFonts w:hint="eastAsia" w:ascii="新宋体" w:hAnsi="新宋体" w:eastAsia="新宋体" w:cs="新宋体"/>
          <w:i w:val="0"/>
          <w:iCs w:val="0"/>
          <w:caps w:val="0"/>
          <w:color w:val="000000"/>
          <w:spacing w:val="0"/>
          <w:kern w:val="0"/>
          <w:sz w:val="20"/>
          <w:szCs w:val="20"/>
          <w:highlight w:val="yellow"/>
          <w:lang w:val="en-US" w:eastAsia="zh-CN" w:bidi="ar"/>
        </w:rPr>
        <w:t>地点：陇南市公共资源交易中心网络开标直播一厅第3坐席（陇南市行政中心5号楼环保大厦）</w:t>
      </w:r>
    </w:p>
    <w:p w14:paraId="5260C85D">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六、公告期限</w:t>
      </w:r>
    </w:p>
    <w:p w14:paraId="2F49338F">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自本公告发布之日起3个工作日。</w:t>
      </w:r>
    </w:p>
    <w:p w14:paraId="0A178E27">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七、其他补充事宜</w:t>
      </w:r>
    </w:p>
    <w:p w14:paraId="5E0EF27F">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1.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 2、请潜在供应商随时关注陇南市公共资源交易网及甘肃政府采购网本项目相关变更公告及澄清答疑文件，否则由变更引起的相关责任自负。</w:t>
      </w:r>
    </w:p>
    <w:p w14:paraId="04511A65">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①陇南市公共资源交易网：http://60.164.200.102/</w:t>
      </w:r>
    </w:p>
    <w:p w14:paraId="6A3A0D4D">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②信用中国”网站：https://www.creditchina.gov.cn</w:t>
      </w:r>
    </w:p>
    <w:p w14:paraId="63B3E75A">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③中国政府采购网网址：http://www.ccgp.gov.cn/</w:t>
      </w:r>
    </w:p>
    <w:p w14:paraId="3CA70864">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八、凡对本次采购提出询问，请按以下方式联系</w:t>
      </w:r>
    </w:p>
    <w:p w14:paraId="3B965B8C">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1.采购人信息</w:t>
      </w:r>
    </w:p>
    <w:p w14:paraId="6FD39513">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名 称：</w:t>
      </w:r>
      <w:r>
        <w:rPr>
          <w:rFonts w:hint="eastAsia" w:ascii="新宋体" w:hAnsi="新宋体" w:eastAsia="新宋体" w:cs="新宋体"/>
          <w:i w:val="0"/>
          <w:iCs w:val="0"/>
          <w:caps w:val="0"/>
          <w:color w:val="000000"/>
          <w:spacing w:val="0"/>
          <w:kern w:val="0"/>
          <w:sz w:val="20"/>
          <w:szCs w:val="20"/>
          <w:u w:val="single"/>
          <w:lang w:val="en-US" w:eastAsia="zh-CN" w:bidi="ar"/>
        </w:rPr>
        <w:t>陇南市武都区农村经济经营服务中心</w:t>
      </w:r>
    </w:p>
    <w:p w14:paraId="76A83014">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地 址：陇南市武都区农牧小区</w:t>
      </w:r>
    </w:p>
    <w:p w14:paraId="79CE7B49">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default" w:ascii="新宋体" w:hAnsi="新宋体" w:eastAsia="新宋体" w:cs="新宋体"/>
          <w:i w:val="0"/>
          <w:iCs w:val="0"/>
          <w:caps w:val="0"/>
          <w:color w:val="000000"/>
          <w:spacing w:val="0"/>
          <w:sz w:val="20"/>
          <w:szCs w:val="20"/>
          <w:highlight w:val="yellow"/>
          <w:lang w:val="en-US"/>
        </w:rPr>
      </w:pPr>
      <w:r>
        <w:rPr>
          <w:rFonts w:hint="eastAsia" w:ascii="新宋体" w:hAnsi="新宋体" w:eastAsia="新宋体" w:cs="新宋体"/>
          <w:i w:val="0"/>
          <w:iCs w:val="0"/>
          <w:caps w:val="0"/>
          <w:color w:val="000000"/>
          <w:spacing w:val="0"/>
          <w:kern w:val="0"/>
          <w:sz w:val="20"/>
          <w:szCs w:val="20"/>
          <w:highlight w:val="yellow"/>
          <w:lang w:val="en-US" w:eastAsia="zh-CN" w:bidi="ar"/>
        </w:rPr>
        <w:t>联系方式：</w:t>
      </w:r>
      <w:r>
        <w:rPr>
          <w:rFonts w:hint="default"/>
          <w:highlight w:val="yellow"/>
          <w:lang w:val="en-US" w:eastAsia="zh-CN"/>
        </w:rPr>
        <w:t>093</w:t>
      </w:r>
      <w:r>
        <w:rPr>
          <w:rFonts w:hint="default"/>
          <w:lang w:val="en-US" w:eastAsia="zh-CN"/>
        </w:rPr>
        <w:t>9-5916020</w:t>
      </w:r>
    </w:p>
    <w:p w14:paraId="0E1B41B7">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2.采购代理机构信息</w:t>
      </w:r>
    </w:p>
    <w:p w14:paraId="4EF085E8">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名 称：</w:t>
      </w:r>
      <w:r>
        <w:rPr>
          <w:rFonts w:hint="eastAsia" w:ascii="新宋体" w:hAnsi="新宋体" w:eastAsia="新宋体" w:cs="新宋体"/>
          <w:i w:val="0"/>
          <w:iCs w:val="0"/>
          <w:caps w:val="0"/>
          <w:color w:val="000000"/>
          <w:spacing w:val="0"/>
          <w:kern w:val="0"/>
          <w:sz w:val="20"/>
          <w:szCs w:val="20"/>
          <w:u w:val="single"/>
          <w:lang w:val="en-US" w:eastAsia="zh-CN" w:bidi="ar"/>
        </w:rPr>
        <w:t>甘肃荣都工程咨询有限公司</w:t>
      </w:r>
    </w:p>
    <w:p w14:paraId="1D822F4F">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kern w:val="0"/>
          <w:sz w:val="20"/>
          <w:szCs w:val="20"/>
          <w:lang w:val="en-US" w:eastAsia="zh-CN" w:bidi="ar"/>
        </w:rPr>
      </w:pPr>
      <w:r>
        <w:rPr>
          <w:rFonts w:hint="eastAsia" w:ascii="新宋体" w:hAnsi="新宋体" w:eastAsia="新宋体" w:cs="新宋体"/>
          <w:i w:val="0"/>
          <w:iCs w:val="0"/>
          <w:caps w:val="0"/>
          <w:color w:val="000000"/>
          <w:spacing w:val="0"/>
          <w:kern w:val="0"/>
          <w:sz w:val="20"/>
          <w:szCs w:val="20"/>
          <w:lang w:val="en-US" w:eastAsia="zh-CN" w:bidi="ar"/>
        </w:rPr>
        <w:t>地 址：</w:t>
      </w:r>
      <w:r>
        <w:rPr>
          <w:rFonts w:hint="eastAsia" w:ascii="新宋体" w:hAnsi="新宋体" w:eastAsia="新宋体" w:cs="新宋体"/>
          <w:i w:val="0"/>
          <w:iCs w:val="0"/>
          <w:caps w:val="0"/>
          <w:color w:val="000000"/>
          <w:spacing w:val="0"/>
          <w:kern w:val="0"/>
          <w:sz w:val="20"/>
          <w:szCs w:val="20"/>
          <w:u w:val="single"/>
          <w:lang w:val="en-US" w:eastAsia="zh-CN" w:bidi="ar"/>
        </w:rPr>
        <w:t>甘肃省陇南市武都区泰和丽景8号楼1单元1701室</w:t>
      </w:r>
      <w:r>
        <w:rPr>
          <w:rFonts w:hint="eastAsia" w:ascii="新宋体" w:hAnsi="新宋体" w:eastAsia="新宋体" w:cs="新宋体"/>
          <w:i w:val="0"/>
          <w:iCs w:val="0"/>
          <w:caps w:val="0"/>
          <w:color w:val="000000"/>
          <w:spacing w:val="0"/>
          <w:kern w:val="0"/>
          <w:sz w:val="20"/>
          <w:szCs w:val="20"/>
          <w:lang w:val="en-US" w:eastAsia="zh-CN" w:bidi="ar"/>
        </w:rPr>
        <w:t xml:space="preserve"> </w:t>
      </w:r>
    </w:p>
    <w:p w14:paraId="6339B187">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default" w:ascii="新宋体" w:hAnsi="新宋体" w:eastAsia="新宋体" w:cs="新宋体"/>
          <w:i w:val="0"/>
          <w:iCs w:val="0"/>
          <w:caps w:val="0"/>
          <w:color w:val="000000"/>
          <w:spacing w:val="0"/>
          <w:sz w:val="20"/>
          <w:szCs w:val="20"/>
          <w:lang w:val="en-US"/>
        </w:rPr>
      </w:pPr>
      <w:r>
        <w:rPr>
          <w:rFonts w:hint="eastAsia" w:ascii="新宋体" w:hAnsi="新宋体" w:eastAsia="新宋体" w:cs="新宋体"/>
          <w:i w:val="0"/>
          <w:iCs w:val="0"/>
          <w:caps w:val="0"/>
          <w:color w:val="000000"/>
          <w:spacing w:val="0"/>
          <w:kern w:val="0"/>
          <w:sz w:val="20"/>
          <w:szCs w:val="20"/>
          <w:lang w:val="en-US" w:eastAsia="zh-CN" w:bidi="ar"/>
        </w:rPr>
        <w:t>联系方式：</w:t>
      </w:r>
      <w:r>
        <w:rPr>
          <w:rFonts w:hint="eastAsia" w:ascii="新宋体" w:hAnsi="新宋体" w:eastAsia="新宋体" w:cs="新宋体"/>
          <w:i w:val="0"/>
          <w:iCs w:val="0"/>
          <w:caps w:val="0"/>
          <w:color w:val="000000"/>
          <w:spacing w:val="0"/>
          <w:kern w:val="0"/>
          <w:sz w:val="20"/>
          <w:szCs w:val="20"/>
          <w:u w:val="single"/>
          <w:lang w:val="en-US" w:eastAsia="zh-CN" w:bidi="ar"/>
        </w:rPr>
        <w:t>13993991095</w:t>
      </w:r>
    </w:p>
    <w:p w14:paraId="2EC7269C">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3.项目联系方式</w:t>
      </w:r>
    </w:p>
    <w:p w14:paraId="51EFF2A4">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项目联系人：</w:t>
      </w:r>
      <w:r>
        <w:rPr>
          <w:rFonts w:hint="eastAsia" w:ascii="新宋体" w:hAnsi="新宋体" w:eastAsia="新宋体" w:cs="新宋体"/>
          <w:i w:val="0"/>
          <w:iCs w:val="0"/>
          <w:caps w:val="0"/>
          <w:color w:val="000000"/>
          <w:spacing w:val="0"/>
          <w:kern w:val="0"/>
          <w:sz w:val="20"/>
          <w:szCs w:val="20"/>
          <w:u w:val="single"/>
          <w:lang w:val="en-US" w:eastAsia="zh-CN" w:bidi="ar"/>
        </w:rPr>
        <w:t>李俊武</w:t>
      </w:r>
    </w:p>
    <w:p w14:paraId="489EDC14">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新宋体" w:hAnsi="新宋体" w:eastAsia="新宋体" w:cs="新宋体"/>
          <w:i w:val="0"/>
          <w:iCs w:val="0"/>
          <w:caps w:val="0"/>
          <w:color w:val="000000"/>
          <w:spacing w:val="0"/>
          <w:sz w:val="20"/>
          <w:szCs w:val="20"/>
        </w:rPr>
      </w:pPr>
      <w:r>
        <w:rPr>
          <w:rFonts w:hint="eastAsia" w:ascii="新宋体" w:hAnsi="新宋体" w:eastAsia="新宋体" w:cs="新宋体"/>
          <w:i w:val="0"/>
          <w:iCs w:val="0"/>
          <w:caps w:val="0"/>
          <w:color w:val="000000"/>
          <w:spacing w:val="0"/>
          <w:kern w:val="0"/>
          <w:sz w:val="20"/>
          <w:szCs w:val="20"/>
          <w:lang w:val="en-US" w:eastAsia="zh-CN" w:bidi="ar"/>
        </w:rPr>
        <w:t>电　话：0939-5916020</w:t>
      </w:r>
    </w:p>
    <w:p w14:paraId="07CF9C36">
      <w:pPr>
        <w:pStyle w:val="2"/>
        <w:numPr>
          <w:ilvl w:val="0"/>
          <w:numId w:val="0"/>
        </w:numPr>
        <w:snapToGrid w:val="0"/>
        <w:spacing w:before="0" w:after="0" w:line="540" w:lineRule="exact"/>
        <w:jc w:val="center"/>
        <w:rPr>
          <w:rFonts w:ascii="宋体" w:hAnsi="宋体"/>
          <w:b/>
          <w:bCs w:val="0"/>
          <w:color w:val="000000" w:themeColor="text1"/>
          <w14:textFill>
            <w14:solidFill>
              <w14:schemeClr w14:val="tx1"/>
            </w14:solidFill>
          </w14:textFill>
        </w:rPr>
      </w:pPr>
      <w:bookmarkStart w:id="2" w:name="_Toc27824"/>
      <w:r>
        <w:rPr>
          <w:rFonts w:hint="eastAsia" w:ascii="宋体" w:hAnsi="宋体"/>
          <w:b/>
          <w:bCs w:val="0"/>
          <w:color w:val="000000" w:themeColor="text1"/>
          <w:lang w:val="en-US" w:eastAsia="zh-CN"/>
          <w14:textFill>
            <w14:solidFill>
              <w14:schemeClr w14:val="tx1"/>
            </w14:solidFill>
          </w14:textFill>
        </w:rPr>
        <w:t xml:space="preserve">第一章 </w:t>
      </w:r>
      <w:r>
        <w:rPr>
          <w:rFonts w:hint="eastAsia" w:ascii="宋体" w:hAnsi="宋体"/>
          <w:b/>
          <w:bCs w:val="0"/>
          <w:color w:val="000000" w:themeColor="text1"/>
          <w14:textFill>
            <w14:solidFill>
              <w14:schemeClr w14:val="tx1"/>
            </w14:solidFill>
          </w14:textFill>
        </w:rPr>
        <w:t>投标须知</w:t>
      </w:r>
      <w:bookmarkEnd w:id="0"/>
      <w:bookmarkStart w:id="3" w:name="_Toc3314"/>
      <w:r>
        <w:rPr>
          <w:rFonts w:hint="eastAsia" w:ascii="宋体" w:hAnsi="宋体"/>
          <w:b/>
          <w:bCs w:val="0"/>
          <w:color w:val="000000" w:themeColor="text1"/>
          <w14:textFill>
            <w14:solidFill>
              <w14:schemeClr w14:val="tx1"/>
            </w14:solidFill>
          </w14:textFill>
        </w:rPr>
        <w:t>前附表</w:t>
      </w:r>
      <w:bookmarkEnd w:id="1"/>
      <w:bookmarkEnd w:id="2"/>
      <w:bookmarkEnd w:id="3"/>
    </w:p>
    <w:p w14:paraId="579A4396">
      <w:pPr>
        <w:rPr>
          <w:color w:val="000000" w:themeColor="text1"/>
          <w14:textFill>
            <w14:solidFill>
              <w14:schemeClr w14:val="tx1"/>
            </w14:solidFill>
          </w14:textFill>
        </w:rPr>
      </w:pPr>
    </w:p>
    <w:tbl>
      <w:tblPr>
        <w:tblStyle w:val="35"/>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96"/>
        <w:gridCol w:w="7054"/>
      </w:tblGrid>
      <w:tr w14:paraId="66E0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75" w:type="dxa"/>
            <w:vAlign w:val="center"/>
          </w:tcPr>
          <w:p w14:paraId="16A70DF8">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序号</w:t>
            </w:r>
          </w:p>
        </w:tc>
        <w:tc>
          <w:tcPr>
            <w:tcW w:w="2396" w:type="dxa"/>
            <w:vAlign w:val="center"/>
          </w:tcPr>
          <w:p w14:paraId="5CA86DBE">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投标须知条款号</w:t>
            </w:r>
          </w:p>
        </w:tc>
        <w:tc>
          <w:tcPr>
            <w:tcW w:w="7054" w:type="dxa"/>
            <w:vAlign w:val="center"/>
          </w:tcPr>
          <w:p w14:paraId="2AE4E439">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内</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容</w:t>
            </w:r>
          </w:p>
        </w:tc>
      </w:tr>
      <w:tr w14:paraId="40BD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675" w:type="dxa"/>
            <w:vAlign w:val="center"/>
          </w:tcPr>
          <w:p w14:paraId="2D95E11E">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w:t>
            </w:r>
          </w:p>
        </w:tc>
        <w:tc>
          <w:tcPr>
            <w:tcW w:w="2396" w:type="dxa"/>
            <w:vAlign w:val="center"/>
          </w:tcPr>
          <w:p w14:paraId="1223EA5E">
            <w:pPr>
              <w:keepNext w:val="0"/>
              <w:keepLines w:val="0"/>
              <w:pageBreakBefore w:val="0"/>
              <w:kinsoku/>
              <w:wordWrap/>
              <w:topLinePunct w:val="0"/>
              <w:bidi w:val="0"/>
              <w:snapToGrid w:val="0"/>
              <w:spacing w:line="48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w:t>
            </w:r>
          </w:p>
        </w:tc>
        <w:tc>
          <w:tcPr>
            <w:tcW w:w="7054" w:type="dxa"/>
          </w:tcPr>
          <w:p w14:paraId="711374B5">
            <w:pPr>
              <w:pStyle w:val="221"/>
              <w:bidi w:val="0"/>
              <w:jc w:val="both"/>
              <w:rPr>
                <w:rFonts w:hint="eastAsia" w:asciiTheme="minorEastAsia" w:hAnsiTheme="minorEastAsia" w:eastAsiaTheme="minorEastAsia" w:cstheme="minorEastAsia"/>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1、</w:t>
            </w:r>
            <w:r>
              <w:rPr>
                <w:rFonts w:hint="eastAsia" w:asciiTheme="minorEastAsia" w:hAnsiTheme="minorEastAsia" w:eastAsiaTheme="minorEastAsia" w:cstheme="minorEastAsia"/>
                <w:i w:val="0"/>
                <w:iCs w:val="0"/>
                <w:caps w:val="0"/>
                <w:color w:val="000000"/>
                <w:spacing w:val="0"/>
                <w:sz w:val="21"/>
                <w:szCs w:val="21"/>
              </w:rPr>
              <w:t>招标项目名称：</w:t>
            </w:r>
            <w:r>
              <w:rPr>
                <w:rFonts w:hint="eastAsia" w:asciiTheme="minorEastAsia" w:hAnsiTheme="minorEastAsia" w:eastAsiaTheme="minorEastAsia" w:cstheme="minorEastAsia"/>
                <w:i w:val="0"/>
                <w:iCs w:val="0"/>
                <w:caps w:val="0"/>
                <w:color w:val="000000"/>
                <w:spacing w:val="0"/>
                <w:sz w:val="21"/>
                <w:szCs w:val="21"/>
                <w:lang w:val="en-US" w:eastAsia="zh-CN"/>
              </w:rPr>
              <w:t>陇南市武都区农村经济经营服务中心土地承包经营权档案资料电子化项目</w:t>
            </w:r>
          </w:p>
          <w:p w14:paraId="48504F8C">
            <w:pPr>
              <w:pStyle w:val="221"/>
              <w:bidi w:val="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lang w:val="en-US" w:eastAsia="zh-CN"/>
              </w:rPr>
              <w:t>2、</w:t>
            </w:r>
            <w:r>
              <w:rPr>
                <w:rFonts w:hint="eastAsia" w:asciiTheme="minorEastAsia" w:hAnsiTheme="minorEastAsia" w:eastAsiaTheme="minorEastAsia" w:cstheme="minorEastAsia"/>
                <w:i w:val="0"/>
                <w:iCs w:val="0"/>
                <w:caps w:val="0"/>
                <w:color w:val="000000"/>
                <w:spacing w:val="0"/>
                <w:sz w:val="21"/>
                <w:szCs w:val="21"/>
              </w:rPr>
              <w:t>采购项目概况：</w:t>
            </w:r>
            <w:r>
              <w:rPr>
                <w:rFonts w:hint="eastAsia" w:asciiTheme="minorEastAsia" w:hAnsiTheme="minorEastAsia" w:eastAsiaTheme="minorEastAsia" w:cstheme="minorEastAsia"/>
                <w:i w:val="0"/>
                <w:iCs w:val="0"/>
                <w:caps w:val="0"/>
                <w:color w:val="000000"/>
                <w:spacing w:val="0"/>
                <w:sz w:val="21"/>
                <w:szCs w:val="21"/>
                <w:lang w:val="en-US" w:eastAsia="zh-CN"/>
              </w:rPr>
              <w:t>档案资料电子化扫描（具体详见磋商文件）</w:t>
            </w:r>
            <w:r>
              <w:rPr>
                <w:rFonts w:hint="eastAsia" w:asciiTheme="minorEastAsia" w:hAnsiTheme="minorEastAsia" w:eastAsiaTheme="minorEastAsia" w:cstheme="minorEastAsia"/>
                <w:i w:val="0"/>
                <w:iCs w:val="0"/>
                <w:caps w:val="0"/>
                <w:color w:val="000000"/>
                <w:spacing w:val="0"/>
                <w:sz w:val="21"/>
                <w:szCs w:val="21"/>
              </w:rPr>
              <w:t xml:space="preserve"> </w:t>
            </w:r>
          </w:p>
          <w:p w14:paraId="79A80D38">
            <w:pPr>
              <w:pStyle w:val="221"/>
              <w:bidi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spacing w:val="0"/>
                <w:sz w:val="21"/>
                <w:szCs w:val="21"/>
                <w:lang w:val="en-US" w:eastAsia="zh-CN"/>
              </w:rPr>
              <w:t>3、项目计划</w:t>
            </w:r>
            <w:r>
              <w:rPr>
                <w:rFonts w:hint="eastAsia" w:asciiTheme="minorEastAsia" w:hAnsiTheme="minorEastAsia" w:eastAsiaTheme="minorEastAsia" w:cstheme="minorEastAsia"/>
                <w:i w:val="0"/>
                <w:iCs w:val="0"/>
                <w:caps w:val="0"/>
                <w:color w:val="000000"/>
                <w:spacing w:val="0"/>
                <w:sz w:val="21"/>
                <w:szCs w:val="21"/>
              </w:rPr>
              <w:t>：签订一个总包合同。</w:t>
            </w:r>
          </w:p>
        </w:tc>
      </w:tr>
      <w:tr w14:paraId="1D18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Align w:val="center"/>
          </w:tcPr>
          <w:p w14:paraId="3A49E2FE">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2</w:t>
            </w:r>
          </w:p>
        </w:tc>
        <w:tc>
          <w:tcPr>
            <w:tcW w:w="2396" w:type="dxa"/>
            <w:vAlign w:val="center"/>
          </w:tcPr>
          <w:p w14:paraId="3179F94C">
            <w:pPr>
              <w:keepNext w:val="0"/>
              <w:keepLines w:val="0"/>
              <w:pageBreakBefore w:val="0"/>
              <w:kinsoku/>
              <w:wordWrap/>
              <w:topLinePunct w:val="0"/>
              <w:bidi w:val="0"/>
              <w:snapToGrid w:val="0"/>
              <w:spacing w:line="48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w:t>
            </w:r>
          </w:p>
        </w:tc>
        <w:tc>
          <w:tcPr>
            <w:tcW w:w="7054" w:type="dxa"/>
            <w:vAlign w:val="center"/>
          </w:tcPr>
          <w:p w14:paraId="4BABC4A5">
            <w:pPr>
              <w:keepNext w:val="0"/>
              <w:keepLines w:val="0"/>
              <w:pageBreakBefore w:val="0"/>
              <w:kinsoku/>
              <w:wordWrap/>
              <w:topLinePunct w:val="0"/>
              <w:bidi w:val="0"/>
              <w:snapToGrid w:val="0"/>
              <w:spacing w:line="480" w:lineRule="exact"/>
              <w:ind w:left="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招标人资金来源：</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财政</w:t>
            </w:r>
            <w:r>
              <w:rPr>
                <w:rFonts w:hint="eastAsia" w:asciiTheme="minorEastAsia" w:hAnsiTheme="minorEastAsia" w:eastAsiaTheme="minorEastAsia" w:cstheme="minorEastAsia"/>
                <w:color w:val="000000" w:themeColor="text1"/>
                <w:sz w:val="21"/>
                <w:szCs w:val="21"/>
                <w14:textFill>
                  <w14:solidFill>
                    <w14:schemeClr w14:val="tx1"/>
                  </w14:solidFill>
                </w14:textFill>
              </w:rPr>
              <w:t>资金。</w:t>
            </w:r>
          </w:p>
        </w:tc>
      </w:tr>
      <w:tr w14:paraId="48FF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75" w:type="dxa"/>
            <w:vAlign w:val="center"/>
          </w:tcPr>
          <w:p w14:paraId="2A1FBB3B">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3</w:t>
            </w:r>
          </w:p>
        </w:tc>
        <w:tc>
          <w:tcPr>
            <w:tcW w:w="2396" w:type="dxa"/>
            <w:vAlign w:val="center"/>
          </w:tcPr>
          <w:p w14:paraId="6153BC71">
            <w:pPr>
              <w:keepNext w:val="0"/>
              <w:keepLines w:val="0"/>
              <w:pageBreakBefore w:val="0"/>
              <w:kinsoku/>
              <w:wordWrap/>
              <w:topLinePunct w:val="0"/>
              <w:bidi w:val="0"/>
              <w:snapToGrid w:val="0"/>
              <w:spacing w:line="48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w:t>
            </w:r>
          </w:p>
        </w:tc>
        <w:tc>
          <w:tcPr>
            <w:tcW w:w="7054" w:type="dxa"/>
            <w:vAlign w:val="center"/>
          </w:tcPr>
          <w:p w14:paraId="5289DCB4">
            <w:pPr>
              <w:pStyle w:val="221"/>
              <w:bidi w:val="0"/>
              <w:jc w:val="both"/>
              <w:rPr>
                <w:rFonts w:hint="eastAsia" w:asciiTheme="minorEastAsia" w:hAnsiTheme="minorEastAsia" w:eastAsiaTheme="minorEastAsia" w:cstheme="minorEastAsia"/>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 xml:space="preserve">供应商资格标准： </w:t>
            </w:r>
          </w:p>
          <w:p w14:paraId="44284F48">
            <w:pPr>
              <w:pStyle w:val="221"/>
              <w:bidi w:val="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lang w:val="en-US" w:eastAsia="zh-CN"/>
              </w:rPr>
              <w:t>1.（1）满</w:t>
            </w:r>
            <w:r>
              <w:rPr>
                <w:rFonts w:hint="eastAsia" w:asciiTheme="minorEastAsia" w:hAnsiTheme="minorEastAsia" w:eastAsiaTheme="minorEastAsia" w:cstheme="minorEastAsia"/>
                <w:i w:val="0"/>
                <w:iCs w:val="0"/>
                <w:caps w:val="0"/>
                <w:color w:val="000000"/>
                <w:spacing w:val="0"/>
                <w:sz w:val="21"/>
                <w:szCs w:val="21"/>
              </w:rPr>
              <w:t>足《中华人民共和国政府采购法》第二十二条规定；（2）须具有合法有效的法人营业执照、国家和地方税务登记证、组织机构代码证、开户许可证；前述法人营业执照、税务登记证、组织机构代码证已三证合一的，则需提供具有统一社会信用代码的营业执照；（3）须提供法人授权函及被授权人身份证（正、反面复印件）；（4）本项目不接受联合体投标；（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1AC24134">
            <w:pPr>
              <w:pStyle w:val="221"/>
              <w:bidi w:val="0"/>
              <w:jc w:val="both"/>
              <w:rPr>
                <w:rFonts w:hint="eastAsia" w:asciiTheme="minorEastAsia" w:hAnsiTheme="minorEastAsia" w:eastAsiaTheme="minorEastAsia" w:cstheme="minorEastAsia"/>
                <w:i w:val="0"/>
                <w:iCs w:val="0"/>
                <w:caps w:val="0"/>
                <w:color w:val="000000"/>
                <w:spacing w:val="0"/>
                <w:sz w:val="21"/>
                <w:szCs w:val="21"/>
                <w:lang w:val="en-US"/>
              </w:rPr>
            </w:pPr>
            <w:r>
              <w:rPr>
                <w:rFonts w:hint="eastAsia" w:asciiTheme="minorEastAsia" w:hAnsiTheme="minorEastAsia" w:eastAsiaTheme="minorEastAsia" w:cstheme="minorEastAsia"/>
                <w:i w:val="0"/>
                <w:iCs w:val="0"/>
                <w:caps w:val="0"/>
                <w:color w:val="000000"/>
                <w:spacing w:val="0"/>
                <w:sz w:val="21"/>
                <w:szCs w:val="21"/>
                <w:lang w:val="en-US" w:eastAsia="zh-CN"/>
              </w:rPr>
              <w:t>2.本项目的特定资格要求：投标人须具有国家测绘部门颁发的甲级测绘资质。</w:t>
            </w:r>
          </w:p>
        </w:tc>
      </w:tr>
      <w:tr w14:paraId="346C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5" w:type="dxa"/>
            <w:vAlign w:val="center"/>
          </w:tcPr>
          <w:p w14:paraId="2A47A94E">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w:t>
            </w:r>
          </w:p>
        </w:tc>
        <w:tc>
          <w:tcPr>
            <w:tcW w:w="2396" w:type="dxa"/>
            <w:vAlign w:val="center"/>
          </w:tcPr>
          <w:p w14:paraId="31FF8A9E">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4.1</w:t>
            </w:r>
          </w:p>
        </w:tc>
        <w:tc>
          <w:tcPr>
            <w:tcW w:w="7054" w:type="dxa"/>
            <w:vAlign w:val="center"/>
          </w:tcPr>
          <w:p w14:paraId="7995F25D">
            <w:pPr>
              <w:keepNext w:val="0"/>
              <w:keepLines w:val="0"/>
              <w:pageBreakBefore w:val="0"/>
              <w:kinsoku/>
              <w:wordWrap/>
              <w:topLinePunct w:val="0"/>
              <w:bidi w:val="0"/>
              <w:snapToGrid w:val="0"/>
              <w:spacing w:line="480" w:lineRule="exact"/>
              <w:ind w:left="0"/>
              <w:rPr>
                <w:rFonts w:hAnsi="宋体"/>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投标有效期</w:t>
            </w:r>
            <w:r>
              <w:rPr>
                <w:rFonts w:hint="eastAsia" w:hAnsi="宋体"/>
                <w:color w:val="000000" w:themeColor="text1"/>
                <w:szCs w:val="21"/>
                <w14:textFill>
                  <w14:solidFill>
                    <w14:schemeClr w14:val="tx1"/>
                  </w14:solidFill>
                </w14:textFill>
              </w:rPr>
              <w:t>：自递交投标响应文件截止时间起算</w:t>
            </w:r>
            <w:r>
              <w:rPr>
                <w:rFonts w:hint="eastAsia" w:hAnsi="宋体"/>
                <w:color w:val="000000" w:themeColor="text1"/>
                <w:szCs w:val="21"/>
                <w:u w:val="single"/>
                <w14:textFill>
                  <w14:solidFill>
                    <w14:schemeClr w14:val="tx1"/>
                  </w14:solidFill>
                </w14:textFill>
              </w:rPr>
              <w:t>60个</w:t>
            </w:r>
            <w:r>
              <w:rPr>
                <w:rFonts w:hint="eastAsia" w:hAnsi="宋体"/>
                <w:color w:val="000000" w:themeColor="text1"/>
                <w:szCs w:val="21"/>
                <w14:textFill>
                  <w14:solidFill>
                    <w14:schemeClr w14:val="tx1"/>
                  </w14:solidFill>
                </w14:textFill>
              </w:rPr>
              <w:t>日历天。</w:t>
            </w:r>
          </w:p>
        </w:tc>
      </w:tr>
      <w:tr w14:paraId="2E63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75" w:type="dxa"/>
            <w:vAlign w:val="center"/>
          </w:tcPr>
          <w:p w14:paraId="010F47EA">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w:t>
            </w:r>
          </w:p>
        </w:tc>
        <w:tc>
          <w:tcPr>
            <w:tcW w:w="2396" w:type="dxa"/>
            <w:vAlign w:val="center"/>
          </w:tcPr>
          <w:p w14:paraId="0C67B48E">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5.1</w:t>
            </w:r>
          </w:p>
        </w:tc>
        <w:tc>
          <w:tcPr>
            <w:tcW w:w="7054" w:type="dxa"/>
            <w:vAlign w:val="center"/>
          </w:tcPr>
          <w:p w14:paraId="2243FBF2">
            <w:pPr>
              <w:keepNext w:val="0"/>
              <w:keepLines w:val="0"/>
              <w:pageBreakBefore w:val="0"/>
              <w:widowControl/>
              <w:numPr>
                <w:ilvl w:val="0"/>
                <w:numId w:val="0"/>
              </w:numPr>
              <w:kinsoku/>
              <w:wordWrap/>
              <w:overflowPunct w:val="0"/>
              <w:topLinePunct w:val="0"/>
              <w:autoSpaceDE w:val="0"/>
              <w:autoSpaceDN w:val="0"/>
              <w:bidi w:val="0"/>
              <w:adjustRightInd w:val="0"/>
              <w:snapToGrid w:val="0"/>
              <w:spacing w:line="480" w:lineRule="exact"/>
              <w:jc w:val="left"/>
              <w:textAlignment w:val="baseline"/>
              <w:rPr>
                <w:rFonts w:hAnsi="宋体"/>
                <w:color w:val="000000" w:themeColor="text1"/>
                <w:szCs w:val="21"/>
                <w14:textFill>
                  <w14:solidFill>
                    <w14:schemeClr w14:val="tx1"/>
                  </w14:solidFill>
                </w14:textFill>
              </w:rPr>
            </w:pPr>
            <w:r>
              <w:rPr>
                <w:sz w:val="21"/>
                <w:szCs w:val="20"/>
              </w:rPr>
              <w:t xml:space="preserve">根据《甘肃省财政厅关于进一步加大政府采购支持中小企业力度的通知》(甘财采(2022)16号)，本项目不收取投标保证金。 </w:t>
            </w:r>
          </w:p>
        </w:tc>
      </w:tr>
      <w:tr w14:paraId="44AC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Align w:val="center"/>
          </w:tcPr>
          <w:p w14:paraId="6AB5BD77">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w:t>
            </w:r>
          </w:p>
        </w:tc>
        <w:tc>
          <w:tcPr>
            <w:tcW w:w="2396" w:type="dxa"/>
            <w:vAlign w:val="center"/>
          </w:tcPr>
          <w:p w14:paraId="33E3366A">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7054" w:type="dxa"/>
            <w:vAlign w:val="center"/>
          </w:tcPr>
          <w:p w14:paraId="0B7980C3">
            <w:pPr>
              <w:keepNext w:val="0"/>
              <w:keepLines w:val="0"/>
              <w:pageBreakBefore w:val="0"/>
              <w:kinsoku/>
              <w:wordWrap/>
              <w:topLinePunct w:val="0"/>
              <w:bidi w:val="0"/>
              <w:snapToGrid w:val="0"/>
              <w:spacing w:line="480" w:lineRule="exact"/>
              <w:ind w:left="0"/>
              <w:rPr>
                <w:rFonts w:hint="eastAsia" w:hAnsi="宋体" w:eastAsia="宋体"/>
                <w:color w:val="000000" w:themeColor="text1"/>
                <w:szCs w:val="21"/>
                <w:lang w:eastAsia="zh-CN"/>
                <w14:textFill>
                  <w14:solidFill>
                    <w14:schemeClr w14:val="tx1"/>
                  </w14:solidFill>
                </w14:textFill>
              </w:rPr>
            </w:pPr>
            <w:r>
              <w:rPr>
                <w:rFonts w:hint="eastAsia" w:hAnsi="宋体"/>
                <w:b/>
                <w:color w:val="000000" w:themeColor="text1"/>
                <w:sz w:val="22"/>
                <w:szCs w:val="22"/>
                <w14:textFill>
                  <w14:solidFill>
                    <w14:schemeClr w14:val="tx1"/>
                  </w14:solidFill>
                </w14:textFill>
              </w:rPr>
              <w:t>投标报价</w:t>
            </w:r>
            <w:r>
              <w:rPr>
                <w:rFonts w:hint="eastAsia"/>
                <w:b/>
                <w:bCs/>
                <w:sz w:val="22"/>
                <w:szCs w:val="22"/>
              </w:rPr>
              <w:t>限价</w:t>
            </w:r>
            <w:r>
              <w:rPr>
                <w:rFonts w:hint="eastAsia"/>
                <w:sz w:val="22"/>
                <w:szCs w:val="22"/>
              </w:rPr>
              <w:t>：</w:t>
            </w:r>
            <w:r>
              <w:rPr>
                <w:rFonts w:hint="eastAsia"/>
                <w:sz w:val="22"/>
                <w:szCs w:val="22"/>
                <w:lang w:val="en-US" w:eastAsia="zh-CN"/>
              </w:rPr>
              <w:t>90万元。</w:t>
            </w:r>
            <w:r>
              <w:rPr>
                <w:rFonts w:hint="eastAsia" w:hAnsi="宋体"/>
                <w:color w:val="000000" w:themeColor="text1"/>
                <w:szCs w:val="21"/>
                <w14:textFill>
                  <w14:solidFill>
                    <w14:schemeClr w14:val="tx1"/>
                  </w14:solidFill>
                </w14:textFill>
              </w:rPr>
              <w:t xml:space="preserve"> 超过现价按废标处理</w:t>
            </w:r>
          </w:p>
        </w:tc>
      </w:tr>
      <w:tr w14:paraId="368A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5" w:type="dxa"/>
            <w:vAlign w:val="center"/>
          </w:tcPr>
          <w:p w14:paraId="06E0B0AC">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w:t>
            </w:r>
          </w:p>
        </w:tc>
        <w:tc>
          <w:tcPr>
            <w:tcW w:w="2396" w:type="dxa"/>
            <w:vAlign w:val="center"/>
          </w:tcPr>
          <w:p w14:paraId="59748B29">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7054" w:type="dxa"/>
          </w:tcPr>
          <w:p w14:paraId="22A6F46E">
            <w:pPr>
              <w:keepNext w:val="0"/>
              <w:keepLines w:val="0"/>
              <w:pageBreakBefore w:val="0"/>
              <w:kinsoku/>
              <w:wordWrap/>
              <w:topLinePunct w:val="0"/>
              <w:bidi w:val="0"/>
              <w:snapToGrid w:val="0"/>
              <w:spacing w:line="480" w:lineRule="exact"/>
              <w:ind w:left="0"/>
              <w:rPr>
                <w:rFonts w:hAnsi="宋体"/>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招标预备会</w:t>
            </w:r>
            <w:r>
              <w:rPr>
                <w:rFonts w:hint="eastAsia" w:hAnsi="宋体"/>
                <w:color w:val="000000" w:themeColor="text1"/>
                <w:szCs w:val="21"/>
                <w14:textFill>
                  <w14:solidFill>
                    <w14:schemeClr w14:val="tx1"/>
                  </w14:solidFill>
                </w14:textFill>
              </w:rPr>
              <w:t>：日期：  年    月   日   时（本项目不组织招标预备会）</w:t>
            </w:r>
          </w:p>
        </w:tc>
      </w:tr>
      <w:tr w14:paraId="3E68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75" w:type="dxa"/>
            <w:vAlign w:val="center"/>
          </w:tcPr>
          <w:p w14:paraId="16702877">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w:t>
            </w:r>
          </w:p>
        </w:tc>
        <w:tc>
          <w:tcPr>
            <w:tcW w:w="2396" w:type="dxa"/>
            <w:vAlign w:val="center"/>
          </w:tcPr>
          <w:p w14:paraId="1EF0EA22">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8.1</w:t>
            </w:r>
          </w:p>
        </w:tc>
        <w:tc>
          <w:tcPr>
            <w:tcW w:w="7054" w:type="dxa"/>
          </w:tcPr>
          <w:p w14:paraId="00C028DF">
            <w:pPr>
              <w:keepNext w:val="0"/>
              <w:keepLines w:val="0"/>
              <w:pageBreakBefore w:val="0"/>
              <w:widowControl w:val="0"/>
              <w:kinsoku/>
              <w:wordWrap/>
              <w:overflowPunct/>
              <w:topLinePunct w:val="0"/>
              <w:autoSpaceDE/>
              <w:autoSpaceDN/>
              <w:bidi w:val="0"/>
              <w:adjustRightInd/>
              <w:snapToGrid w:val="0"/>
              <w:spacing w:line="480" w:lineRule="exact"/>
              <w:ind w:left="0" w:firstLine="420" w:firstLineChars="200"/>
              <w:textAlignment w:val="auto"/>
              <w:rPr>
                <w:rFonts w:hint="default" w:ascii="Tahoma" w:hAnsi="Tahoma" w:eastAsia="Tahoma" w:cs="Tahoma"/>
                <w:i w:val="0"/>
                <w:caps w:val="0"/>
                <w:color w:val="000000"/>
                <w:spacing w:val="0"/>
                <w:kern w:val="0"/>
                <w:sz w:val="21"/>
                <w:szCs w:val="21"/>
                <w:lang w:val="en-US" w:eastAsia="zh-CN" w:bidi="ar"/>
              </w:rPr>
            </w:pPr>
            <w:r>
              <w:rPr>
                <w:rFonts w:hint="default" w:ascii="Tahoma" w:hAnsi="Tahoma" w:eastAsia="Tahoma" w:cs="Tahoma"/>
                <w:i w:val="0"/>
                <w:caps w:val="0"/>
                <w:color w:val="000000"/>
                <w:spacing w:val="0"/>
                <w:kern w:val="0"/>
                <w:sz w:val="21"/>
                <w:szCs w:val="21"/>
                <w:lang w:val="en-US" w:eastAsia="zh-CN" w:bidi="ar"/>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p>
          <w:p w14:paraId="632D875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hAnsi="宋体" w:eastAsia="宋体"/>
                <w:b/>
                <w:color w:val="000000" w:themeColor="text1"/>
                <w:szCs w:val="21"/>
                <w:lang w:eastAsia="zh-CN"/>
                <w14:textFill>
                  <w14:solidFill>
                    <w14:schemeClr w14:val="tx1"/>
                  </w14:solidFill>
                </w14:textFill>
              </w:rPr>
            </w:pPr>
            <w:r>
              <w:rPr>
                <w:rFonts w:hint="eastAsia"/>
                <w:b/>
                <w:bCs/>
                <w:color w:val="FF0000"/>
              </w:rPr>
              <w:t>开标之后</w:t>
            </w:r>
            <w:r>
              <w:rPr>
                <w:rFonts w:hint="eastAsia"/>
                <w:b/>
                <w:bCs/>
                <w:color w:val="FF0000"/>
                <w:lang w:val="en-US" w:eastAsia="zh-CN"/>
              </w:rPr>
              <w:t>所有参与本项目的</w:t>
            </w:r>
            <w:r>
              <w:rPr>
                <w:rFonts w:hint="eastAsia"/>
                <w:b/>
                <w:bCs/>
                <w:color w:val="FF0000"/>
              </w:rPr>
              <w:t>投标单位须将投标文件纸质版</w:t>
            </w:r>
            <w:r>
              <w:rPr>
                <w:rFonts w:hint="eastAsia"/>
                <w:b/>
                <w:bCs/>
                <w:color w:val="FF0000"/>
                <w:lang w:val="en-US" w:eastAsia="zh-CN"/>
              </w:rPr>
              <w:t>一份</w:t>
            </w:r>
            <w:r>
              <w:rPr>
                <w:rFonts w:hint="eastAsia"/>
                <w:b/>
                <w:bCs/>
                <w:color w:val="FF0000"/>
              </w:rPr>
              <w:t>邮寄至代理公司</w:t>
            </w:r>
            <w:r>
              <w:rPr>
                <w:rFonts w:hint="eastAsia"/>
                <w:b/>
                <w:bCs/>
                <w:color w:val="FF0000"/>
                <w:lang w:eastAsia="zh-CN"/>
              </w:rPr>
              <w:t>。</w:t>
            </w:r>
          </w:p>
        </w:tc>
      </w:tr>
      <w:tr w14:paraId="7DFF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751210C8">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w:t>
            </w:r>
          </w:p>
        </w:tc>
        <w:tc>
          <w:tcPr>
            <w:tcW w:w="2396" w:type="dxa"/>
            <w:vAlign w:val="center"/>
          </w:tcPr>
          <w:p w14:paraId="79607573">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9.1</w:t>
            </w:r>
          </w:p>
        </w:tc>
        <w:tc>
          <w:tcPr>
            <w:tcW w:w="7054" w:type="dxa"/>
          </w:tcPr>
          <w:p w14:paraId="1E224926">
            <w:pPr>
              <w:keepNext w:val="0"/>
              <w:keepLines w:val="0"/>
              <w:pageBreakBefore w:val="0"/>
              <w:kinsoku/>
              <w:wordWrap/>
              <w:topLinePunct w:val="0"/>
              <w:bidi w:val="0"/>
              <w:snapToGrid w:val="0"/>
              <w:spacing w:line="480" w:lineRule="exact"/>
              <w:ind w:left="0" w:firstLine="27"/>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投标响应文件递交</w:t>
            </w:r>
          </w:p>
          <w:p w14:paraId="7FEA463B">
            <w:pPr>
              <w:keepNext w:val="0"/>
              <w:keepLines w:val="0"/>
              <w:pageBreakBefore w:val="0"/>
              <w:kinsoku/>
              <w:wordWrap/>
              <w:topLinePunct w:val="0"/>
              <w:bidi w:val="0"/>
              <w:snapToGrid w:val="0"/>
              <w:spacing w:line="480" w:lineRule="exact"/>
              <w:ind w:left="0"/>
              <w:rPr>
                <w:rFonts w:hAnsi="宋体"/>
                <w:color w:val="000000" w:themeColor="text1"/>
                <w:szCs w:val="21"/>
                <w14:textFill>
                  <w14:solidFill>
                    <w14:schemeClr w14:val="tx1"/>
                  </w14:solidFill>
                </w14:textFill>
              </w:rPr>
            </w:pPr>
            <w:r>
              <w:rPr>
                <w:rFonts w:hint="default" w:ascii="Tahoma" w:hAnsi="Tahoma" w:eastAsia="Tahoma" w:cs="Tahoma"/>
                <w:i w:val="0"/>
                <w:caps w:val="0"/>
                <w:color w:val="000000"/>
                <w:spacing w:val="0"/>
                <w:kern w:val="0"/>
                <w:sz w:val="21"/>
                <w:szCs w:val="21"/>
                <w:lang w:val="en-US" w:eastAsia="zh-CN" w:bidi="ar"/>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p>
        </w:tc>
      </w:tr>
      <w:tr w14:paraId="0A72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75" w:type="dxa"/>
            <w:vAlign w:val="center"/>
          </w:tcPr>
          <w:p w14:paraId="62128D97">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w:t>
            </w:r>
          </w:p>
        </w:tc>
        <w:tc>
          <w:tcPr>
            <w:tcW w:w="2396" w:type="dxa"/>
            <w:vAlign w:val="center"/>
          </w:tcPr>
          <w:p w14:paraId="589FC6E5">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10.1</w:t>
            </w:r>
          </w:p>
        </w:tc>
        <w:tc>
          <w:tcPr>
            <w:tcW w:w="7054" w:type="dxa"/>
          </w:tcPr>
          <w:p w14:paraId="00871795">
            <w:pPr>
              <w:keepNext w:val="0"/>
              <w:keepLines w:val="0"/>
              <w:pageBreakBefore w:val="0"/>
              <w:kinsoku/>
              <w:wordWrap/>
              <w:topLinePunct w:val="0"/>
              <w:bidi w:val="0"/>
              <w:snapToGrid w:val="0"/>
              <w:spacing w:line="480" w:lineRule="exact"/>
              <w:ind w:left="0"/>
              <w:rPr>
                <w:rFonts w:hAnsi="宋体"/>
                <w:color w:val="000000" w:themeColor="text1"/>
                <w:szCs w:val="21"/>
                <w:highlight w:val="yellow"/>
                <w14:textFill>
                  <w14:solidFill>
                    <w14:schemeClr w14:val="tx1"/>
                  </w14:solidFill>
                </w14:textFill>
              </w:rPr>
            </w:pPr>
            <w:r>
              <w:rPr>
                <w:rFonts w:hint="eastAsia" w:hAnsi="宋体"/>
                <w:b/>
                <w:color w:val="000000" w:themeColor="text1"/>
                <w:szCs w:val="21"/>
                <w:highlight w:val="yellow"/>
                <w14:textFill>
                  <w14:solidFill>
                    <w14:schemeClr w14:val="tx1"/>
                  </w14:solidFill>
                </w14:textFill>
              </w:rPr>
              <w:t>开标时间</w:t>
            </w:r>
            <w:r>
              <w:rPr>
                <w:rFonts w:hint="eastAsia" w:hAnsi="宋体"/>
                <w:color w:val="000000" w:themeColor="text1"/>
                <w:szCs w:val="21"/>
                <w:highlight w:val="yellow"/>
                <w14:textFill>
                  <w14:solidFill>
                    <w14:schemeClr w14:val="tx1"/>
                  </w14:solidFill>
                </w14:textFill>
              </w:rPr>
              <w:t>：202</w:t>
            </w:r>
            <w:r>
              <w:rPr>
                <w:rFonts w:hint="eastAsia" w:hAnsi="宋体"/>
                <w:color w:val="000000" w:themeColor="text1"/>
                <w:szCs w:val="21"/>
                <w:highlight w:val="yellow"/>
                <w:lang w:val="en-US" w:eastAsia="zh-CN"/>
                <w14:textFill>
                  <w14:solidFill>
                    <w14:schemeClr w14:val="tx1"/>
                  </w14:solidFill>
                </w14:textFill>
              </w:rPr>
              <w:t>4</w:t>
            </w:r>
            <w:r>
              <w:rPr>
                <w:rFonts w:hint="eastAsia" w:hAnsi="宋体"/>
                <w:color w:val="000000" w:themeColor="text1"/>
                <w:szCs w:val="21"/>
                <w:highlight w:val="yellow"/>
                <w14:textFill>
                  <w14:solidFill>
                    <w14:schemeClr w14:val="tx1"/>
                  </w14:solidFill>
                </w14:textFill>
              </w:rPr>
              <w:t>年</w:t>
            </w:r>
            <w:r>
              <w:rPr>
                <w:rFonts w:hint="eastAsia" w:hAnsi="宋体"/>
                <w:color w:val="000000" w:themeColor="text1"/>
                <w:szCs w:val="21"/>
                <w:highlight w:val="yellow"/>
                <w:lang w:val="en-US" w:eastAsia="zh-CN"/>
                <w14:textFill>
                  <w14:solidFill>
                    <w14:schemeClr w14:val="tx1"/>
                  </w14:solidFill>
                </w14:textFill>
              </w:rPr>
              <w:t>06</w:t>
            </w:r>
            <w:r>
              <w:rPr>
                <w:rFonts w:hint="eastAsia" w:hAnsi="宋体"/>
                <w:color w:val="000000" w:themeColor="text1"/>
                <w:szCs w:val="21"/>
                <w:highlight w:val="yellow"/>
                <w14:textFill>
                  <w14:solidFill>
                    <w14:schemeClr w14:val="tx1"/>
                  </w14:solidFill>
                </w14:textFill>
              </w:rPr>
              <w:t>月</w:t>
            </w:r>
            <w:r>
              <w:rPr>
                <w:rFonts w:hint="eastAsia" w:hAnsi="宋体"/>
                <w:color w:val="000000" w:themeColor="text1"/>
                <w:szCs w:val="21"/>
                <w:highlight w:val="yellow"/>
                <w:lang w:val="en-US" w:eastAsia="zh-CN"/>
                <w14:textFill>
                  <w14:solidFill>
                    <w14:schemeClr w14:val="tx1"/>
                  </w14:solidFill>
                </w14:textFill>
              </w:rPr>
              <w:t>17</w:t>
            </w:r>
            <w:r>
              <w:rPr>
                <w:rFonts w:hint="eastAsia" w:hAnsi="宋体"/>
                <w:color w:val="000000" w:themeColor="text1"/>
                <w:szCs w:val="21"/>
                <w:highlight w:val="yellow"/>
                <w14:textFill>
                  <w14:solidFill>
                    <w14:schemeClr w14:val="tx1"/>
                  </w14:solidFill>
                </w14:textFill>
              </w:rPr>
              <w:t>日</w:t>
            </w:r>
            <w:r>
              <w:rPr>
                <w:rFonts w:hint="eastAsia" w:hAnsi="宋体"/>
                <w:color w:val="000000" w:themeColor="text1"/>
                <w:szCs w:val="21"/>
                <w:highlight w:val="yellow"/>
                <w:lang w:val="en-US" w:eastAsia="zh-CN"/>
                <w14:textFill>
                  <w14:solidFill>
                    <w14:schemeClr w14:val="tx1"/>
                  </w14:solidFill>
                </w14:textFill>
              </w:rPr>
              <w:t>下</w:t>
            </w:r>
            <w:r>
              <w:rPr>
                <w:rFonts w:hint="eastAsia" w:hAnsi="宋体"/>
                <w:color w:val="000000" w:themeColor="text1"/>
                <w:szCs w:val="21"/>
                <w:highlight w:val="yellow"/>
                <w14:textFill>
                  <w14:solidFill>
                    <w14:schemeClr w14:val="tx1"/>
                  </w14:solidFill>
                </w14:textFill>
              </w:rPr>
              <w:t>午</w:t>
            </w:r>
            <w:r>
              <w:rPr>
                <w:rFonts w:hint="eastAsia" w:hAnsi="宋体"/>
                <w:color w:val="000000" w:themeColor="text1"/>
                <w:szCs w:val="21"/>
                <w:highlight w:val="yellow"/>
                <w:lang w:val="en-US" w:eastAsia="zh-CN"/>
                <w14:textFill>
                  <w14:solidFill>
                    <w14:schemeClr w14:val="tx1"/>
                  </w14:solidFill>
                </w14:textFill>
              </w:rPr>
              <w:t>15：00</w:t>
            </w:r>
            <w:r>
              <w:rPr>
                <w:rFonts w:hint="eastAsia" w:hAnsi="宋体"/>
                <w:color w:val="000000" w:themeColor="text1"/>
                <w:szCs w:val="21"/>
                <w:highlight w:val="yellow"/>
                <w14:textFill>
                  <w14:solidFill>
                    <w14:schemeClr w14:val="tx1"/>
                  </w14:solidFill>
                </w14:textFill>
              </w:rPr>
              <w:t>时（北京时间）。</w:t>
            </w:r>
          </w:p>
          <w:p w14:paraId="55086BBF">
            <w:pPr>
              <w:keepNext w:val="0"/>
              <w:keepLines w:val="0"/>
              <w:pageBreakBefore w:val="0"/>
              <w:kinsoku/>
              <w:wordWrap/>
              <w:topLinePunct w:val="0"/>
              <w:bidi w:val="0"/>
              <w:snapToGrid w:val="0"/>
              <w:spacing w:line="480" w:lineRule="exact"/>
              <w:ind w:left="0"/>
              <w:rPr>
                <w:rFonts w:hAnsi="宋体"/>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地    点</w:t>
            </w:r>
            <w:r>
              <w:rPr>
                <w:rFonts w:hint="eastAsia" w:hAnsi="宋体"/>
                <w:color w:val="000000" w:themeColor="text1"/>
                <w:szCs w:val="21"/>
                <w14:textFill>
                  <w14:solidFill>
                    <w14:schemeClr w14:val="tx1"/>
                  </w14:solidFill>
                </w14:textFill>
              </w:rPr>
              <w:t>：</w:t>
            </w:r>
            <w:r>
              <w:rPr>
                <w:rFonts w:hint="default" w:ascii="Arial" w:hAnsi="Arial" w:eastAsia="微软雅黑" w:cs="Arial"/>
                <w:color w:val="0000FF"/>
                <w:kern w:val="0"/>
                <w:sz w:val="24"/>
                <w:szCs w:val="24"/>
                <w:highlight w:val="yellow"/>
                <w:shd w:val="clear" w:fill="FFFFFF"/>
                <w:lang w:val="en-US" w:eastAsia="zh-CN" w:bidi="ar"/>
              </w:rPr>
              <w:t>陇南市公共资源交易中心网络开标直播一厅第3坐席（陇南市行政中心5号楼环保大厦）</w:t>
            </w:r>
            <w:r>
              <w:rPr>
                <w:rFonts w:hint="default" w:ascii="Arial" w:hAnsi="Arial" w:eastAsia="微软雅黑" w:cs="Arial"/>
                <w:color w:val="333333"/>
                <w:kern w:val="0"/>
                <w:sz w:val="24"/>
                <w:szCs w:val="24"/>
                <w:shd w:val="clear" w:fill="FFFFFF"/>
                <w:lang w:val="en-US" w:eastAsia="zh-CN" w:bidi="ar"/>
              </w:rPr>
              <w:t xml:space="preserve"> </w:t>
            </w:r>
          </w:p>
        </w:tc>
      </w:tr>
      <w:tr w14:paraId="26CD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6031F02A">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w:t>
            </w:r>
          </w:p>
        </w:tc>
        <w:tc>
          <w:tcPr>
            <w:tcW w:w="2396" w:type="dxa"/>
            <w:vAlign w:val="center"/>
          </w:tcPr>
          <w:p w14:paraId="065D27EA">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11.1</w:t>
            </w:r>
          </w:p>
        </w:tc>
        <w:tc>
          <w:tcPr>
            <w:tcW w:w="7054" w:type="dxa"/>
          </w:tcPr>
          <w:p w14:paraId="3F96946C">
            <w:pPr>
              <w:keepNext w:val="0"/>
              <w:keepLines w:val="0"/>
              <w:pageBreakBefore w:val="0"/>
              <w:kinsoku/>
              <w:wordWrap/>
              <w:topLinePunct w:val="0"/>
              <w:bidi w:val="0"/>
              <w:snapToGrid w:val="0"/>
              <w:spacing w:line="480" w:lineRule="exact"/>
              <w:ind w:left="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履约保证金：不适用</w:t>
            </w:r>
          </w:p>
        </w:tc>
      </w:tr>
      <w:tr w14:paraId="748C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06D282D7">
            <w:pPr>
              <w:keepNext w:val="0"/>
              <w:keepLines w:val="0"/>
              <w:pageBreakBefore w:val="0"/>
              <w:kinsoku/>
              <w:wordWrap/>
              <w:topLinePunct w:val="0"/>
              <w:bidi w:val="0"/>
              <w:snapToGrid w:val="0"/>
              <w:spacing w:line="480" w:lineRule="exact"/>
              <w:ind w:left="0"/>
              <w:jc w:val="center"/>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12</w:t>
            </w:r>
          </w:p>
        </w:tc>
        <w:tc>
          <w:tcPr>
            <w:tcW w:w="2396" w:type="dxa"/>
            <w:vAlign w:val="center"/>
          </w:tcPr>
          <w:p w14:paraId="4CCA4AEC">
            <w:pPr>
              <w:snapToGrid w:val="0"/>
              <w:spacing w:line="500" w:lineRule="exact"/>
              <w:rPr>
                <w:rFonts w:hint="eastAsia" w:hAnsi="宋体"/>
                <w:color w:val="000000" w:themeColor="text1"/>
                <w:szCs w:val="21"/>
                <w14:textFill>
                  <w14:solidFill>
                    <w14:schemeClr w14:val="tx1"/>
                  </w14:solidFill>
                </w14:textFill>
              </w:rPr>
            </w:pPr>
            <w:r>
              <w:rPr>
                <w:rFonts w:hint="eastAsia" w:ascii="宋体" w:hAnsi="宋体" w:eastAsia="宋体" w:cs="宋体"/>
                <w:lang w:val="en-US" w:eastAsia="zh-CN"/>
              </w:rPr>
              <w:t>中小企业采购预留份额比例</w:t>
            </w:r>
          </w:p>
        </w:tc>
        <w:tc>
          <w:tcPr>
            <w:tcW w:w="7054" w:type="dxa"/>
            <w:vAlign w:val="center"/>
          </w:tcPr>
          <w:p w14:paraId="1661C6B0">
            <w:pPr>
              <w:snapToGrid w:val="0"/>
              <w:spacing w:line="500" w:lineRule="exact"/>
              <w:rPr>
                <w:rFonts w:hint="eastAsia" w:hAnsi="宋体"/>
                <w:color w:val="000000" w:themeColor="text1"/>
                <w:szCs w:val="21"/>
                <w14:textFill>
                  <w14:solidFill>
                    <w14:schemeClr w14:val="tx1"/>
                  </w14:solidFill>
                </w14:textFill>
              </w:rPr>
            </w:pP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w:t>
            </w:r>
          </w:p>
        </w:tc>
      </w:tr>
      <w:tr w14:paraId="7A9C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675" w:type="dxa"/>
            <w:vAlign w:val="center"/>
          </w:tcPr>
          <w:p w14:paraId="00D29CB0">
            <w:pPr>
              <w:keepNext w:val="0"/>
              <w:keepLines w:val="0"/>
              <w:pageBreakBefore w:val="0"/>
              <w:kinsoku/>
              <w:wordWrap/>
              <w:topLinePunct w:val="0"/>
              <w:bidi w:val="0"/>
              <w:snapToGrid w:val="0"/>
              <w:spacing w:line="480" w:lineRule="exact"/>
              <w:ind w:left="0"/>
              <w:jc w:val="center"/>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13</w:t>
            </w:r>
          </w:p>
        </w:tc>
        <w:tc>
          <w:tcPr>
            <w:tcW w:w="2396" w:type="dxa"/>
            <w:vAlign w:val="center"/>
          </w:tcPr>
          <w:p w14:paraId="4C65E5B6">
            <w:pPr>
              <w:snapToGrid w:val="0"/>
              <w:spacing w:line="500" w:lineRule="exact"/>
              <w:rPr>
                <w:rFonts w:hint="eastAsia" w:hAnsi="宋体"/>
                <w:color w:val="000000" w:themeColor="text1"/>
                <w:szCs w:val="21"/>
                <w14:textFill>
                  <w14:solidFill>
                    <w14:schemeClr w14:val="tx1"/>
                  </w14:solidFill>
                </w14:textFill>
              </w:rPr>
            </w:pPr>
            <w:r>
              <w:rPr>
                <w:rFonts w:hint="eastAsia" w:ascii="宋体" w:hAnsi="宋体" w:eastAsia="宋体" w:cs="宋体"/>
                <w:lang w:val="en-US" w:eastAsia="zh-CN"/>
              </w:rPr>
              <w:t>落实支持中小企业政府采购政策</w:t>
            </w:r>
          </w:p>
        </w:tc>
        <w:tc>
          <w:tcPr>
            <w:tcW w:w="7054" w:type="dxa"/>
            <w:vAlign w:val="top"/>
          </w:tcPr>
          <w:p w14:paraId="2148BBD3">
            <w:pPr>
              <w:snapToGrid w:val="0"/>
              <w:spacing w:line="500" w:lineRule="exact"/>
              <w:rPr>
                <w:rFonts w:hint="eastAsia" w:ascii="宋体" w:hAnsi="宋体" w:eastAsia="宋体" w:cs="宋体"/>
                <w:lang w:val="en-US" w:eastAsia="zh-CN"/>
              </w:rPr>
            </w:pPr>
            <w:r>
              <w:rPr>
                <w:rFonts w:hint="eastAsia" w:ascii="宋体" w:hAnsi="宋体" w:eastAsia="宋体" w:cs="宋体"/>
                <w:lang w:val="en-US" w:eastAsia="zh-CN"/>
              </w:rPr>
              <w:t>1、执行中小企业声明函制度。根据工业和信息化部、国家统计局、国 家发展和改革委员会、财政部等部委发布的《关于印发中小企业划型标准規定的通知》（工信部联企业（2011)300号），按照本次采购标的所属行业的划型标准，符合条件的中小微企业应按照招标文件格式要求提供《中小企业声明函》，仅需出具《中小企业声明函》即可享受相关扶 持政策。投标供应商需对《中小企业声明函》内容的真实性负责，成交供应商享受中小企业扶持政策的，《中小企业声明函》随成交结果一并公开。</w:t>
            </w:r>
          </w:p>
          <w:p w14:paraId="530AD134">
            <w:pPr>
              <w:snapToGrid w:val="0"/>
              <w:spacing w:line="500" w:lineRule="exact"/>
              <w:rPr>
                <w:rFonts w:hint="eastAsia" w:ascii="宋体" w:hAnsi="宋体" w:eastAsia="宋体" w:cs="宋体"/>
                <w:lang w:val="en-US" w:eastAsia="zh-CN"/>
              </w:rPr>
            </w:pPr>
            <w:r>
              <w:rPr>
                <w:rFonts w:hint="eastAsia" w:ascii="宋体" w:hAnsi="宋体" w:eastAsia="宋体" w:cs="宋体"/>
                <w:lang w:val="en-US" w:eastAsia="zh-CN"/>
              </w:rPr>
              <w:t>2、根据财政部、工业和信息化部发布的《政府采购促进中小企业发展管理办法》（财库（2020）46号）和财政部《关于进一步加大政府采购支持中小企业力度的通知》（财库（2022)19号）规定，对小型和微型企业产品的投标价格给予</w:t>
            </w:r>
            <w:r>
              <w:rPr>
                <w:rFonts w:hint="eastAsia" w:ascii="宋体" w:hAnsi="宋体" w:eastAsia="宋体" w:cs="宋体"/>
                <w:color w:val="auto"/>
                <w:highlight w:val="none"/>
                <w:lang w:val="en-US" w:eastAsia="zh-CN"/>
              </w:rPr>
              <w:t>10％</w:t>
            </w:r>
            <w:r>
              <w:rPr>
                <w:rFonts w:hint="eastAsia" w:ascii="宋体" w:hAnsi="宋体" w:eastAsia="宋体" w:cs="宋体"/>
                <w:highlight w:val="none"/>
                <w:lang w:val="en-US" w:eastAsia="zh-CN"/>
              </w:rPr>
              <w:t>的扣</w:t>
            </w:r>
            <w:r>
              <w:rPr>
                <w:rFonts w:hint="eastAsia" w:ascii="宋体" w:hAnsi="宋体" w:eastAsia="宋体" w:cs="宋体"/>
                <w:lang w:val="en-US" w:eastAsia="zh-CN"/>
              </w:rPr>
              <w:t xml:space="preserve">除，用扣除后的价格参与评审。 </w:t>
            </w:r>
          </w:p>
          <w:p w14:paraId="59CBED5F">
            <w:pPr>
              <w:snapToGrid w:val="0"/>
              <w:spacing w:line="500" w:lineRule="exact"/>
              <w:rPr>
                <w:rFonts w:hint="eastAsia" w:ascii="宋体" w:hAnsi="宋体" w:eastAsia="宋体" w:cs="宋体"/>
                <w:lang w:val="en-US" w:eastAsia="zh-CN"/>
              </w:rPr>
            </w:pPr>
            <w:r>
              <w:rPr>
                <w:rFonts w:hint="eastAsia" w:ascii="宋体" w:hAnsi="宋体" w:eastAsia="宋体" w:cs="宋体"/>
                <w:lang w:val="en-US" w:eastAsia="zh-CN"/>
              </w:rPr>
              <w:t>3、投标人提供的货物由中小企业生产且使用该中小企业商号或者注册商标的，享受中小企业扶持政策。供应商提供的货物既有中小企业制造的货物。也有大型企业制造的货物的，不享受中小企业扶持政策。</w:t>
            </w:r>
          </w:p>
          <w:p w14:paraId="35220125">
            <w:pPr>
              <w:snapToGrid w:val="0"/>
              <w:spacing w:line="500" w:lineRule="exact"/>
              <w:rPr>
                <w:rFonts w:hint="eastAsia" w:ascii="宋体" w:hAnsi="宋体" w:eastAsia="宋体" w:cs="宋体"/>
                <w:lang w:val="en-US" w:eastAsia="zh-CN"/>
              </w:rPr>
            </w:pPr>
            <w:r>
              <w:rPr>
                <w:rFonts w:hint="eastAsia" w:ascii="宋体" w:hAnsi="宋体" w:eastAsia="宋体" w:cs="宋体"/>
                <w:lang w:val="en-US" w:eastAsia="zh-CN"/>
              </w:rPr>
              <w:t>4、提供由省级以上监狱管理局、戒毒管理局（含新疆生产建设兵团） 出具的属于监狱企业证明文件（原件彩色扫描件）的，视同为小型和微型企业。</w:t>
            </w:r>
          </w:p>
          <w:p w14:paraId="50C5F2CB">
            <w:pPr>
              <w:snapToGrid w:val="0"/>
              <w:spacing w:line="500" w:lineRule="exact"/>
              <w:rPr>
                <w:rFonts w:hint="eastAsia" w:ascii="宋体" w:hAnsi="宋体" w:eastAsia="宋体" w:cs="宋体"/>
                <w:lang w:val="en-US" w:eastAsia="zh-CN"/>
              </w:rPr>
            </w:pPr>
            <w:r>
              <w:rPr>
                <w:rFonts w:hint="eastAsia" w:ascii="宋体" w:hAnsi="宋体" w:eastAsia="宋体" w:cs="宋体"/>
                <w:lang w:val="en-US" w:eastAsia="zh-CN"/>
              </w:rPr>
              <w:t>5、符合享受政府采购支持政策的残疾人福利性单位条件且提供《残疾人福利性单位声明函》的，视同为小型和微型企业。</w:t>
            </w:r>
          </w:p>
          <w:p w14:paraId="623A97D0">
            <w:pPr>
              <w:snapToGrid w:val="0"/>
              <w:spacing w:line="500" w:lineRule="exact"/>
              <w:rPr>
                <w:rFonts w:hint="eastAsia" w:hAnsi="宋体"/>
                <w:color w:val="000000" w:themeColor="text1"/>
                <w:szCs w:val="21"/>
                <w14:textFill>
                  <w14:solidFill>
                    <w14:schemeClr w14:val="tx1"/>
                  </w14:solidFill>
                </w14:textFill>
              </w:rPr>
            </w:pPr>
            <w:r>
              <w:rPr>
                <w:rFonts w:hint="eastAsia" w:ascii="宋体" w:hAnsi="宋体" w:eastAsia="宋体" w:cs="宋体"/>
                <w:lang w:val="en-US" w:eastAsia="zh-CN"/>
              </w:rPr>
              <w:t>6、投标人不属于中小企业的，则不享受中小企业扶持政策。</w:t>
            </w:r>
          </w:p>
        </w:tc>
      </w:tr>
      <w:tr w14:paraId="144A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70561CA4">
            <w:pPr>
              <w:keepNext w:val="0"/>
              <w:keepLines w:val="0"/>
              <w:pageBreakBefore w:val="0"/>
              <w:kinsoku/>
              <w:wordWrap/>
              <w:topLinePunct w:val="0"/>
              <w:bidi w:val="0"/>
              <w:snapToGrid w:val="0"/>
              <w:spacing w:line="480" w:lineRule="exact"/>
              <w:ind w:left="0"/>
              <w:jc w:val="center"/>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14</w:t>
            </w:r>
          </w:p>
        </w:tc>
        <w:tc>
          <w:tcPr>
            <w:tcW w:w="2396" w:type="dxa"/>
            <w:vAlign w:val="center"/>
          </w:tcPr>
          <w:p w14:paraId="064D6DFC">
            <w:pPr>
              <w:snapToGrid w:val="0"/>
              <w:spacing w:line="500" w:lineRule="exact"/>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是否存在以注册资本金、资产总额、营业收入、从业人员等规模条件对中小企业实行差别待遇或歧视待遇的情况</w:t>
            </w:r>
          </w:p>
        </w:tc>
        <w:tc>
          <w:tcPr>
            <w:tcW w:w="7054" w:type="dxa"/>
            <w:vAlign w:val="center"/>
          </w:tcPr>
          <w:p w14:paraId="66106C6C">
            <w:pPr>
              <w:snapToGrid w:val="0"/>
              <w:spacing w:line="500" w:lineRule="exact"/>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否</w:t>
            </w:r>
          </w:p>
        </w:tc>
      </w:tr>
      <w:tr w14:paraId="69F9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3D36A394">
            <w:pPr>
              <w:keepNext w:val="0"/>
              <w:keepLines w:val="0"/>
              <w:pageBreakBefore w:val="0"/>
              <w:kinsoku/>
              <w:wordWrap/>
              <w:topLinePunct w:val="0"/>
              <w:bidi w:val="0"/>
              <w:snapToGrid w:val="0"/>
              <w:spacing w:line="480" w:lineRule="exact"/>
              <w:ind w:left="0"/>
              <w:jc w:val="center"/>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15</w:t>
            </w:r>
          </w:p>
        </w:tc>
        <w:tc>
          <w:tcPr>
            <w:tcW w:w="2396" w:type="dxa"/>
            <w:vAlign w:val="center"/>
          </w:tcPr>
          <w:p w14:paraId="3945B951">
            <w:pPr>
              <w:snapToGrid w:val="0"/>
              <w:spacing w:line="500" w:lineRule="exact"/>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政府采购合同融资</w:t>
            </w:r>
          </w:p>
        </w:tc>
        <w:tc>
          <w:tcPr>
            <w:tcW w:w="7054" w:type="dxa"/>
            <w:vAlign w:val="center"/>
          </w:tcPr>
          <w:p w14:paraId="2505DA5F">
            <w:pPr>
              <w:snapToGrid w:val="0"/>
              <w:spacing w:line="500" w:lineRule="exact"/>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在甘肃省注册、具有法人资格且依法取得省内政府采购合同的中小微企业在依法签订政府采购合同后，即可通过融资平台自行选择金融机构及合同融资产品，申请合同融资。详见《甘肃省财政厅关于开展甘肃省政府采购合同融资业务有关事宜的通知》（甘财采〔2019〕16号）。</w:t>
            </w:r>
          </w:p>
        </w:tc>
      </w:tr>
      <w:tr w14:paraId="40D4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71" w:type="dxa"/>
            <w:gridSpan w:val="2"/>
            <w:vAlign w:val="center"/>
          </w:tcPr>
          <w:p w14:paraId="750A8A95">
            <w:pPr>
              <w:keepNext w:val="0"/>
              <w:keepLines w:val="0"/>
              <w:pageBreakBefore w:val="0"/>
              <w:kinsoku/>
              <w:wordWrap/>
              <w:topLinePunct w:val="0"/>
              <w:bidi w:val="0"/>
              <w:snapToGrid w:val="0"/>
              <w:spacing w:line="480" w:lineRule="exact"/>
              <w:ind w:left="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w:t>
            </w:r>
          </w:p>
        </w:tc>
        <w:tc>
          <w:tcPr>
            <w:tcW w:w="7054" w:type="dxa"/>
          </w:tcPr>
          <w:p w14:paraId="0C063C1A">
            <w:pPr>
              <w:keepNext w:val="0"/>
              <w:keepLines w:val="0"/>
              <w:pageBreakBefore w:val="0"/>
              <w:kinsoku/>
              <w:wordWrap/>
              <w:topLinePunct w:val="0"/>
              <w:bidi w:val="0"/>
              <w:snapToGrid w:val="0"/>
              <w:spacing w:line="480" w:lineRule="exact"/>
              <w:ind w:left="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如前后不一致之处，以前附表为准。招标代理费由中标人支付</w:t>
            </w:r>
          </w:p>
        </w:tc>
      </w:tr>
      <w:tr w14:paraId="3857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125" w:type="dxa"/>
            <w:gridSpan w:val="3"/>
            <w:vAlign w:val="center"/>
          </w:tcPr>
          <w:p w14:paraId="751C9626">
            <w:pPr>
              <w:keepNext w:val="0"/>
              <w:keepLines w:val="0"/>
              <w:pageBreakBefore w:val="0"/>
              <w:kinsoku/>
              <w:wordWrap/>
              <w:topLinePunct w:val="0"/>
              <w:bidi w:val="0"/>
              <w:snapToGrid w:val="0"/>
              <w:spacing w:line="480" w:lineRule="exact"/>
              <w:ind w:left="0"/>
              <w:rPr>
                <w:rFonts w:hint="eastAsia" w:hAnsi="宋体"/>
                <w:color w:val="FF0000"/>
                <w:szCs w:val="21"/>
                <w:lang w:val="en-US" w:eastAsia="zh-CN"/>
              </w:rPr>
            </w:pPr>
            <w:r>
              <w:rPr>
                <w:rFonts w:hint="eastAsia" w:hAnsi="宋体"/>
                <w:color w:val="FF0000"/>
                <w:szCs w:val="21"/>
                <w:lang w:val="en-US" w:eastAsia="zh-CN"/>
              </w:rPr>
              <w:t>注：注：1.投标人对招标文件、招标过程或者中标结果的质疑必须在有效的质疑期内一次性提出针对同一采购程序环节的质疑，不接受二次质疑。</w:t>
            </w:r>
          </w:p>
          <w:p w14:paraId="533907D8">
            <w:pPr>
              <w:keepNext w:val="0"/>
              <w:keepLines w:val="0"/>
              <w:pageBreakBefore w:val="0"/>
              <w:kinsoku/>
              <w:wordWrap/>
              <w:topLinePunct w:val="0"/>
              <w:bidi w:val="0"/>
              <w:snapToGrid w:val="0"/>
              <w:spacing w:line="480" w:lineRule="exact"/>
              <w:ind w:left="0" w:firstLine="420" w:firstLineChars="200"/>
              <w:rPr>
                <w:rFonts w:hint="eastAsia" w:hAnsi="宋体"/>
                <w:color w:val="000000" w:themeColor="text1"/>
                <w:szCs w:val="21"/>
                <w14:textFill>
                  <w14:solidFill>
                    <w14:schemeClr w14:val="tx1"/>
                  </w14:solidFill>
                </w14:textFill>
              </w:rPr>
            </w:pPr>
            <w:r>
              <w:rPr>
                <w:rFonts w:hint="eastAsia" w:hAnsi="宋体"/>
                <w:color w:val="FF0000"/>
                <w:szCs w:val="21"/>
                <w:lang w:val="en-US" w:eastAsia="zh-CN"/>
              </w:rPr>
              <w:t>2、开始开标前检查自己开标设备网络稳定性，如有中途退出等问题，后果自负</w:t>
            </w:r>
          </w:p>
        </w:tc>
      </w:tr>
    </w:tbl>
    <w:p w14:paraId="23FA683A">
      <w:pPr>
        <w:jc w:val="center"/>
        <w:outlineLvl w:val="9"/>
        <w:rPr>
          <w:rFonts w:hint="eastAsia" w:ascii="宋体" w:hAnsi="宋体" w:cs="宋体"/>
          <w:b/>
          <w:bCs/>
          <w:color w:val="000000" w:themeColor="text1"/>
          <w:kern w:val="0"/>
          <w:sz w:val="32"/>
          <w:szCs w:val="32"/>
          <w14:textFill>
            <w14:solidFill>
              <w14:schemeClr w14:val="tx1"/>
            </w14:solidFill>
          </w14:textFill>
        </w:rPr>
      </w:pPr>
      <w:bookmarkStart w:id="4" w:name="_Toc27594"/>
    </w:p>
    <w:p w14:paraId="6ADFC630">
      <w:pPr>
        <w:outlineLvl w:val="9"/>
        <w:rPr>
          <w:rFonts w:hint="eastAsia" w:ascii="宋体" w:hAnsi="宋体" w:cs="宋体"/>
          <w:b/>
          <w:bCs/>
          <w:color w:val="000000" w:themeColor="text1"/>
          <w:kern w:val="0"/>
          <w:sz w:val="32"/>
          <w:szCs w:val="32"/>
          <w14:textFill>
            <w14:solidFill>
              <w14:schemeClr w14:val="tx1"/>
            </w14:solidFill>
          </w14:textFill>
        </w:rPr>
      </w:pPr>
    </w:p>
    <w:p w14:paraId="372EDC7E">
      <w:pPr>
        <w:outlineLvl w:val="9"/>
        <w:rPr>
          <w:rFonts w:hint="eastAsia" w:ascii="宋体" w:hAnsi="宋体" w:cs="宋体"/>
          <w:b/>
          <w:bCs/>
          <w:color w:val="000000" w:themeColor="text1"/>
          <w:kern w:val="0"/>
          <w:sz w:val="32"/>
          <w:szCs w:val="32"/>
          <w14:textFill>
            <w14:solidFill>
              <w14:schemeClr w14:val="tx1"/>
            </w14:solidFill>
          </w14:textFill>
        </w:rPr>
        <w:sectPr>
          <w:footerReference r:id="rId5" w:type="default"/>
          <w:pgSz w:w="11906" w:h="16838"/>
          <w:pgMar w:top="1440" w:right="1274" w:bottom="1440" w:left="1418" w:header="851" w:footer="992" w:gutter="0"/>
          <w:pgNumType w:start="1"/>
          <w:cols w:space="720" w:num="1"/>
          <w:docGrid w:type="linesAndChars" w:linePitch="312" w:charSpace="0"/>
        </w:sectPr>
      </w:pPr>
    </w:p>
    <w:p w14:paraId="06EF699F">
      <w:pPr>
        <w:jc w:val="center"/>
        <w:outlineLvl w:val="0"/>
        <w:rPr>
          <w:rFonts w:hint="eastAsia" w:ascii="宋体" w:hAnsi="宋体" w:eastAsia="宋体" w:cs="宋体"/>
          <w:color w:val="000000"/>
          <w:kern w:val="0"/>
          <w:sz w:val="24"/>
          <w:szCs w:val="24"/>
          <w:lang w:eastAsia="zh-CN"/>
        </w:rPr>
      </w:pPr>
      <w:bookmarkStart w:id="5" w:name="_Toc11720"/>
      <w:r>
        <w:rPr>
          <w:rFonts w:hint="eastAsia" w:ascii="宋体" w:hAnsi="宋体" w:cs="宋体"/>
          <w:b/>
          <w:bCs/>
          <w:color w:val="000000" w:themeColor="text1"/>
          <w:kern w:val="0"/>
          <w:sz w:val="36"/>
          <w:szCs w:val="36"/>
          <w14:textFill>
            <w14:solidFill>
              <w14:schemeClr w14:val="tx1"/>
            </w14:solidFill>
          </w14:textFill>
        </w:rPr>
        <w:t>第二章</w:t>
      </w:r>
      <w:r>
        <w:rPr>
          <w:rFonts w:hint="eastAsia" w:ascii="宋体" w:hAnsi="宋体" w:cs="宋体"/>
          <w:b/>
          <w:bCs/>
          <w:color w:val="000000" w:themeColor="text1"/>
          <w:kern w:val="0"/>
          <w:sz w:val="36"/>
          <w:szCs w:val="36"/>
          <w:lang w:val="en-US" w:eastAsia="zh-CN"/>
          <w14:textFill>
            <w14:solidFill>
              <w14:schemeClr w14:val="tx1"/>
            </w14:solidFill>
          </w14:textFill>
        </w:rPr>
        <w:t xml:space="preserve">  </w:t>
      </w:r>
      <w:bookmarkEnd w:id="4"/>
      <w:bookmarkStart w:id="6" w:name="_Toc13986"/>
      <w:r>
        <w:rPr>
          <w:rFonts w:hint="eastAsia" w:ascii="宋体" w:hAnsi="宋体" w:cs="宋体"/>
          <w:b/>
          <w:bCs/>
          <w:color w:val="000000" w:themeColor="text1"/>
          <w:kern w:val="0"/>
          <w:sz w:val="36"/>
          <w:szCs w:val="36"/>
          <w:lang w:val="en-US" w:eastAsia="zh-CN"/>
          <w14:textFill>
            <w14:solidFill>
              <w14:schemeClr w14:val="tx1"/>
            </w14:solidFill>
          </w14:textFill>
        </w:rPr>
        <w:t>工作内容</w:t>
      </w:r>
      <w:bookmarkEnd w:id="5"/>
    </w:p>
    <w:p w14:paraId="080B3462">
      <w:pPr>
        <w:spacing w:line="490" w:lineRule="exact"/>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lang w:val="en-US" w:eastAsia="zh-CN"/>
        </w:rPr>
        <w:t>陇南市武都区农村经济经营服务中心土地承包经营权档案资料电子化项目</w:t>
      </w:r>
      <w:r>
        <w:rPr>
          <w:rFonts w:hint="eastAsia" w:ascii="宋体" w:hAnsi="宋体" w:cs="宋体"/>
          <w:color w:val="FF0000"/>
          <w:sz w:val="24"/>
          <w:szCs w:val="24"/>
          <w:highlight w:val="none"/>
          <w:lang w:val="en-US" w:eastAsia="zh-CN"/>
        </w:rPr>
        <w:t>工作内容为：完成约</w:t>
      </w:r>
      <w:r>
        <w:rPr>
          <w:rFonts w:hint="eastAsia" w:ascii="宋体" w:hAnsi="宋体" w:eastAsia="宋体" w:cs="宋体"/>
          <w:color w:val="FF0000"/>
          <w:sz w:val="24"/>
          <w:szCs w:val="24"/>
          <w:highlight w:val="none"/>
          <w:lang w:val="en-US" w:eastAsia="zh-CN"/>
        </w:rPr>
        <w:t>120000户，合计4000000张土地承包经营权登记档案资料</w:t>
      </w:r>
      <w:r>
        <w:rPr>
          <w:rFonts w:hint="eastAsia" w:ascii="宋体" w:hAnsi="宋体" w:cs="宋体"/>
          <w:color w:val="FF0000"/>
          <w:sz w:val="24"/>
          <w:szCs w:val="24"/>
          <w:highlight w:val="none"/>
          <w:lang w:val="en-US" w:eastAsia="zh-CN"/>
        </w:rPr>
        <w:t>和</w:t>
      </w:r>
      <w:r>
        <w:rPr>
          <w:rFonts w:hint="eastAsia" w:ascii="宋体" w:hAnsi="宋体" w:eastAsia="宋体" w:cs="宋体"/>
          <w:color w:val="FF0000"/>
          <w:sz w:val="24"/>
          <w:szCs w:val="24"/>
          <w:highlight w:val="none"/>
          <w:lang w:val="en-US" w:eastAsia="zh-CN"/>
        </w:rPr>
        <w:t>约12000张调查底图、公示图等其他图件资料</w:t>
      </w:r>
      <w:r>
        <w:rPr>
          <w:rFonts w:hint="eastAsia" w:ascii="宋体" w:hAnsi="宋体" w:cs="宋体"/>
          <w:color w:val="FF0000"/>
          <w:sz w:val="24"/>
          <w:szCs w:val="24"/>
          <w:highlight w:val="none"/>
          <w:lang w:val="en-US" w:eastAsia="zh-CN"/>
        </w:rPr>
        <w:t>的电子化工作。</w:t>
      </w:r>
      <w:r>
        <w:rPr>
          <w:rFonts w:hint="eastAsia" w:ascii="宋体" w:hAnsi="宋体" w:eastAsia="宋体" w:cs="宋体"/>
          <w:color w:val="FF0000"/>
          <w:sz w:val="24"/>
          <w:szCs w:val="24"/>
          <w:highlight w:val="none"/>
          <w:lang w:val="en-US" w:eastAsia="zh-CN"/>
        </w:rPr>
        <w:t>电子化完成后的档案做好归档，不错扫、不漏扫。</w:t>
      </w:r>
    </w:p>
    <w:p w14:paraId="17F89A3A">
      <w:pPr>
        <w:autoSpaceDE w:val="0"/>
        <w:autoSpaceDN w:val="0"/>
        <w:adjustRightInd w:val="0"/>
        <w:jc w:val="center"/>
        <w:outlineLvl w:val="0"/>
        <w:rPr>
          <w:rFonts w:hint="eastAsia" w:ascii="黑体" w:hAnsi="黑体" w:eastAsia="黑体" w:cs="黑体"/>
          <w:b w:val="0"/>
          <w:bCs/>
          <w:color w:val="000000" w:themeColor="text1"/>
          <w:sz w:val="32"/>
          <w:szCs w:val="32"/>
          <w14:textFill>
            <w14:solidFill>
              <w14:schemeClr w14:val="tx1"/>
            </w14:solidFill>
          </w14:textFill>
        </w:rPr>
      </w:pPr>
      <w:bookmarkStart w:id="7" w:name="_Toc20632"/>
      <w:r>
        <w:rPr>
          <w:rFonts w:hint="eastAsia" w:ascii="黑体" w:hAnsi="黑体" w:eastAsia="黑体" w:cs="黑体"/>
          <w:b w:val="0"/>
          <w:bCs/>
          <w:color w:val="000000" w:themeColor="text1"/>
          <w:kern w:val="0"/>
          <w:sz w:val="32"/>
          <w:szCs w:val="32"/>
          <w14:textFill>
            <w14:solidFill>
              <w14:schemeClr w14:val="tx1"/>
            </w14:solidFill>
          </w14:textFill>
        </w:rPr>
        <w:t>第三章 投标人须知</w:t>
      </w:r>
      <w:bookmarkEnd w:id="6"/>
      <w:bookmarkEnd w:id="7"/>
    </w:p>
    <w:p w14:paraId="5245D96A">
      <w:pPr>
        <w:autoSpaceDE w:val="0"/>
        <w:autoSpaceDN w:val="0"/>
        <w:adjustRightInd w:val="0"/>
        <w:jc w:val="center"/>
        <w:outlineLvl w:val="1"/>
        <w:rPr>
          <w:rFonts w:hAnsi="宋体" w:cs="Times New Roman"/>
          <w:color w:val="000000" w:themeColor="text1"/>
          <w:sz w:val="21"/>
          <w:szCs w:val="21"/>
          <w14:textFill>
            <w14:solidFill>
              <w14:schemeClr w14:val="tx1"/>
            </w14:solidFill>
          </w14:textFill>
        </w:rPr>
      </w:pPr>
      <w:bookmarkStart w:id="8" w:name="_Toc1613"/>
      <w:r>
        <w:rPr>
          <w:rFonts w:hint="eastAsia" w:ascii="宋体" w:hAnsi="宋体" w:cs="黑体"/>
          <w:b/>
          <w:color w:val="000000" w:themeColor="text1"/>
          <w:kern w:val="0"/>
          <w:sz w:val="32"/>
          <w:szCs w:val="32"/>
          <w14:textFill>
            <w14:solidFill>
              <w14:schemeClr w14:val="tx1"/>
            </w14:solidFill>
          </w14:textFill>
        </w:rPr>
        <w:t>一、总 则</w:t>
      </w:r>
      <w:bookmarkEnd w:id="8"/>
    </w:p>
    <w:p w14:paraId="0B39D842">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 适用法律、法规 </w:t>
      </w:r>
    </w:p>
    <w:p w14:paraId="17242EB2">
      <w:pPr>
        <w:spacing w:line="49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1.1本次招标适用的主要法律、法规为《中华人民共和国政府采购法》、《政府采购货物和服务招标投标管理办法》及其它相关法规。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48FEE9DE">
      <w:pPr>
        <w:spacing w:line="49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资金</w:t>
      </w:r>
      <w:r>
        <w:rPr>
          <w:rFonts w:hint="eastAsia" w:ascii="宋体" w:hAnsi="宋体" w:eastAsia="宋体" w:cs="宋体"/>
          <w:color w:val="000000" w:themeColor="text1"/>
          <w:kern w:val="0"/>
          <w:sz w:val="24"/>
          <w:szCs w:val="24"/>
          <w14:textFill>
            <w14:solidFill>
              <w14:schemeClr w14:val="tx1"/>
            </w14:solidFill>
          </w14:textFill>
        </w:rPr>
        <w:t xml:space="preserve"> </w:t>
      </w:r>
    </w:p>
    <w:p w14:paraId="42C7DE95">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2.1本项目的资金属于</w:t>
      </w:r>
      <w:r>
        <w:rPr>
          <w:rFonts w:hint="eastAsia" w:ascii="宋体" w:hAnsi="宋体" w:eastAsia="宋体" w:cs="宋体"/>
          <w:color w:val="000000" w:themeColor="text1"/>
          <w:sz w:val="24"/>
          <w:szCs w:val="24"/>
          <w:lang w:eastAsia="zh-CN"/>
          <w14:textFill>
            <w14:solidFill>
              <w14:schemeClr w14:val="tx1"/>
            </w14:solidFill>
          </w14:textFill>
        </w:rPr>
        <w:t>自筹</w:t>
      </w:r>
      <w:r>
        <w:rPr>
          <w:rFonts w:hint="eastAsia" w:ascii="宋体" w:hAnsi="宋体" w:eastAsia="宋体" w:cs="宋体"/>
          <w:color w:val="000000" w:themeColor="text1"/>
          <w:sz w:val="24"/>
          <w:szCs w:val="24"/>
          <w14:textFill>
            <w14:solidFill>
              <w14:schemeClr w14:val="tx1"/>
            </w14:solidFill>
          </w14:textFill>
        </w:rPr>
        <w:t xml:space="preserve">资金，资金来源已经落实，计划用于支付本次采购后所签订的合同项下的款项。 </w:t>
      </w:r>
    </w:p>
    <w:p w14:paraId="348A3618">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3. 释义 </w:t>
      </w:r>
    </w:p>
    <w:p w14:paraId="30071635">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 采购人：系指依法进行政府采购的国家机关、事业单位、团体组织。 </w:t>
      </w:r>
    </w:p>
    <w:p w14:paraId="52853ECF">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 招标代理机构：系指接受采购人委托，经财政部门认定资格的代理机构。 </w:t>
      </w:r>
    </w:p>
    <w:p w14:paraId="2D8AE5F0">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 投标人：是指按招标公告购买了磋商文件进行投标的供应商。 </w:t>
      </w:r>
    </w:p>
    <w:p w14:paraId="26C7D80C">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3.4. 中标人：指依法确定中标资格并授予合同的投标人。 </w:t>
      </w:r>
    </w:p>
    <w:p w14:paraId="0A37E6A9">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3.5. 磋商文件：是指包括项目公告、磋商文件以及磋商文件的补充、变更和澄清等一系列文件。 </w:t>
      </w:r>
    </w:p>
    <w:p w14:paraId="34395C51">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3.6. 货物：系指投标人按磋商文件要求，向采购人提供的各种形态和种类的物品，包括原材料、设备、产品(包括软件)及相关的备品备件、工具、手册及其它技术资料和材料。 </w:t>
      </w:r>
    </w:p>
    <w:p w14:paraId="00F234ED">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3.7. 服务：系指磋商文件规定投标人须承担的系统集成、安装、调试、技术协助、校准、培训以及其它类似的义务。 </w:t>
      </w:r>
    </w:p>
    <w:p w14:paraId="134AF1B6">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3.8. 偏离：系指投标响应文件对磋商文件的偏离，即不满足、或不响应磋商文件的要求。偏离分为对磋商文件的实质性要求条款偏离和对磋商文件的一般商务和技术条款（参数）偏离。 </w:t>
      </w:r>
    </w:p>
    <w:p w14:paraId="28545EC0">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3.9. 实质性条款：除法律、法规和规章规定外，磋商文件中用“拒绝”、“不接受”、“无效”、“不得”等文字规定条款为实质性要求条款（即重要条款），对其中任何一条的偏离，在评标时将其视为无效投标。未用上述文字规定条款为非实质性要求条款(即一般条款)。 </w:t>
      </w:r>
    </w:p>
    <w:p w14:paraId="5002261C">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3.10. 日期、天数、时间：未有特别说明时，均为公历日（天）及北京时间。 </w:t>
      </w:r>
    </w:p>
    <w:p w14:paraId="43D3B253">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4. 投标人资格要求 </w:t>
      </w:r>
    </w:p>
    <w:p w14:paraId="307DCBF0">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根据《政府采购法》第二十二条的要求，。</w:t>
      </w:r>
    </w:p>
    <w:p w14:paraId="3B0BF188">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4.2. 招标公告中规定的特定资格要求； </w:t>
      </w:r>
    </w:p>
    <w:p w14:paraId="0711DA27">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4.3. 投标人投标不得存在下列情形之一： </w:t>
      </w:r>
    </w:p>
    <w:p w14:paraId="063452AA">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1）与采购人或招标代理机构存在隶属关系或者其他利害关系； </w:t>
      </w:r>
    </w:p>
    <w:p w14:paraId="5184FFF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2）法定代表人或者负责人为同一人或者存在控股、管理关系的两个以上投标人，不得参加同一政府采购项目同一包（标段）的投标。 </w:t>
      </w:r>
    </w:p>
    <w:p w14:paraId="327F67C3">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4.4. 投标人购买了本磋商文件并非意味着完全满足了合格投标人的条件，一切均以评标委员会审核的结果为准。 </w:t>
      </w:r>
    </w:p>
    <w:p w14:paraId="7F08157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4.5. 不接受联合体投标。 </w:t>
      </w:r>
    </w:p>
    <w:p w14:paraId="2A07BFEC">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5. 授权委托 </w:t>
      </w:r>
    </w:p>
    <w:p w14:paraId="3254BC3C">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5.1. 投标人代表不是投标人的法定代表人或负责人，应持有授权委托书，并附法定代表人或负责人身份证明。 </w:t>
      </w:r>
    </w:p>
    <w:p w14:paraId="606BC06C">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6. 投标费用 </w:t>
      </w:r>
    </w:p>
    <w:p w14:paraId="4BD69069">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6.1. 投标人应承担所有与准备和参加投标有关的费用。不论投标的结果如何，招标代理机构和采购人在任何情况下均无义务和责任承担这些费用。 </w:t>
      </w:r>
    </w:p>
    <w:p w14:paraId="71602590">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现场考察：招标人不组织现场踏勘，投标人自行考察现场，费用自理。</w:t>
      </w:r>
    </w:p>
    <w:p w14:paraId="05DB003E">
      <w:pPr>
        <w:pStyle w:val="11"/>
        <w:rPr>
          <w:rFonts w:hint="eastAsia" w:ascii="宋体" w:hAnsi="宋体" w:eastAsia="宋体" w:cs="宋体"/>
          <w:sz w:val="24"/>
          <w:szCs w:val="24"/>
        </w:rPr>
      </w:pPr>
    </w:p>
    <w:p w14:paraId="32265DB2">
      <w:pPr>
        <w:numPr>
          <w:ilvl w:val="0"/>
          <w:numId w:val="0"/>
        </w:numPr>
        <w:autoSpaceDE w:val="0"/>
        <w:autoSpaceDN w:val="0"/>
        <w:adjustRightInd w:val="0"/>
        <w:jc w:val="center"/>
        <w:outlineLvl w:val="1"/>
        <w:rPr>
          <w:rFonts w:hint="eastAsia" w:ascii="宋体" w:hAnsi="宋体" w:eastAsia="宋体" w:cs="宋体"/>
          <w:b/>
          <w:color w:val="000000" w:themeColor="text1"/>
          <w:kern w:val="0"/>
          <w:sz w:val="32"/>
          <w:szCs w:val="32"/>
          <w14:textFill>
            <w14:solidFill>
              <w14:schemeClr w14:val="tx1"/>
            </w14:solidFill>
          </w14:textFill>
        </w:rPr>
      </w:pPr>
      <w:bookmarkStart w:id="9" w:name="_Toc22897"/>
      <w:r>
        <w:rPr>
          <w:rFonts w:hint="eastAsia" w:ascii="宋体" w:hAnsi="宋体" w:eastAsia="宋体" w:cs="宋体"/>
          <w:b/>
          <w:color w:val="000000" w:themeColor="text1"/>
          <w:kern w:val="0"/>
          <w:sz w:val="32"/>
          <w:szCs w:val="32"/>
          <w:lang w:val="en-US" w:eastAsia="zh-CN" w:bidi="ar-SA"/>
          <w14:textFill>
            <w14:solidFill>
              <w14:schemeClr w14:val="tx1"/>
            </w14:solidFill>
          </w14:textFill>
        </w:rPr>
        <w:t>二、</w:t>
      </w:r>
      <w:r>
        <w:rPr>
          <w:rFonts w:hint="eastAsia" w:ascii="宋体" w:hAnsi="宋体" w:eastAsia="宋体" w:cs="宋体"/>
          <w:b/>
          <w:color w:val="000000" w:themeColor="text1"/>
          <w:kern w:val="0"/>
          <w:sz w:val="32"/>
          <w:szCs w:val="32"/>
          <w14:textFill>
            <w14:solidFill>
              <w14:schemeClr w14:val="tx1"/>
            </w14:solidFill>
          </w14:textFill>
        </w:rPr>
        <w:t>磋商文件</w:t>
      </w:r>
      <w:bookmarkEnd w:id="9"/>
    </w:p>
    <w:p w14:paraId="7123DECE">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 磋商文件组成</w:t>
      </w:r>
    </w:p>
    <w:p w14:paraId="7E301E7F">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 磋商文件共分六章，其内容如下： </w:t>
      </w:r>
    </w:p>
    <w:p w14:paraId="7A57504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第一章 招标公告 </w:t>
      </w:r>
    </w:p>
    <w:p w14:paraId="24AF1117">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第二章 </w:t>
      </w:r>
      <w:r>
        <w:rPr>
          <w:rFonts w:hint="eastAsia" w:ascii="宋体" w:hAnsi="宋体" w:cs="宋体"/>
          <w:color w:val="000000" w:themeColor="text1"/>
          <w:sz w:val="24"/>
          <w:szCs w:val="24"/>
          <w:lang w:val="en-US" w:eastAsia="zh-CN"/>
          <w14:textFill>
            <w14:solidFill>
              <w14:schemeClr w14:val="tx1"/>
            </w14:solidFill>
          </w14:textFill>
        </w:rPr>
        <w:t>工作内容</w:t>
      </w:r>
      <w:r>
        <w:rPr>
          <w:rFonts w:hint="eastAsia" w:ascii="宋体" w:hAnsi="宋体" w:eastAsia="宋体" w:cs="宋体"/>
          <w:color w:val="000000" w:themeColor="text1"/>
          <w:sz w:val="24"/>
          <w:szCs w:val="24"/>
          <w14:textFill>
            <w14:solidFill>
              <w14:schemeClr w14:val="tx1"/>
            </w14:solidFill>
          </w14:textFill>
        </w:rPr>
        <w:t xml:space="preserve"> </w:t>
      </w:r>
    </w:p>
    <w:p w14:paraId="4CBEEBEA">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第三章 投标须知 </w:t>
      </w:r>
    </w:p>
    <w:p w14:paraId="0102886D">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第四章 评标方法及标准 </w:t>
      </w:r>
    </w:p>
    <w:p w14:paraId="2DD66BE9">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第五章 政府采购合同 </w:t>
      </w:r>
    </w:p>
    <w:p w14:paraId="21D5F4AA">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第六章 投标响应文件格式 </w:t>
      </w:r>
    </w:p>
    <w:p w14:paraId="1F4D59F2">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7.2. 对磋商文件所作的澄清、修改，构成磋商文件的组成部分。 </w:t>
      </w:r>
    </w:p>
    <w:p w14:paraId="123B3DE7">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7.3. 投标人应仔细阅读磋商文件的全部内容，按照磋商文件要求编制投标响应文件。任何对磋商文件的忽略或误解不能作为投标响应文件存在缺陷或瑕疵的理由，其风险由投标人自行承担。 </w:t>
      </w:r>
    </w:p>
    <w:p w14:paraId="1967BEEB">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8. 磋商文件的澄清、修改 </w:t>
      </w:r>
    </w:p>
    <w:p w14:paraId="10734AF8">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 采购人及招标代理机构对已发出的磋商文件进行必要澄清或者修改的，应当在磋商文件要求提交投标响应文件截止时间5日前，在财政部门指定的政府采购信息发布媒体（甘肃政府采购网，下同）上发布更正公告，并以书面形式通知所有磋商文件收受人。该澄清或者修改的内容为磋商文件的组成部分。 </w:t>
      </w:r>
    </w:p>
    <w:p w14:paraId="3E30E4EF">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8.2. 采购人及招标代理机构可以视采购具体情况，延长投标截止时间和开标时间，但至少应当在磋商文件要求提交投标响应文件的截止时间三日前，将变更时间书面通知所有磋商文件收受人，并在财政部门指定的政府采购信息发布媒体上发布变更公告。 </w:t>
      </w:r>
    </w:p>
    <w:p w14:paraId="010AAD93">
      <w:pPr>
        <w:pStyle w:val="136"/>
        <w:rPr>
          <w:rFonts w:hint="eastAsia" w:ascii="宋体" w:hAnsi="宋体" w:eastAsia="宋体" w:cs="宋体"/>
          <w:color w:val="000000" w:themeColor="text1"/>
          <w:sz w:val="24"/>
          <w:szCs w:val="24"/>
          <w14:textFill>
            <w14:solidFill>
              <w14:schemeClr w14:val="tx1"/>
            </w14:solidFill>
          </w14:textFill>
        </w:rPr>
      </w:pPr>
    </w:p>
    <w:p w14:paraId="39B4F150">
      <w:pPr>
        <w:autoSpaceDE w:val="0"/>
        <w:autoSpaceDN w:val="0"/>
        <w:adjustRightInd w:val="0"/>
        <w:jc w:val="center"/>
        <w:outlineLvl w:val="1"/>
        <w:rPr>
          <w:rFonts w:hint="eastAsia" w:ascii="宋体" w:hAnsi="宋体" w:eastAsia="宋体" w:cs="宋体"/>
          <w:b/>
          <w:color w:val="000000" w:themeColor="text1"/>
          <w:sz w:val="32"/>
          <w:szCs w:val="32"/>
          <w14:textFill>
            <w14:solidFill>
              <w14:schemeClr w14:val="tx1"/>
            </w14:solidFill>
          </w14:textFill>
        </w:rPr>
      </w:pPr>
      <w:bookmarkStart w:id="10" w:name="_Toc22313"/>
      <w:r>
        <w:rPr>
          <w:rFonts w:hint="eastAsia" w:ascii="宋体" w:hAnsi="宋体" w:eastAsia="宋体" w:cs="宋体"/>
          <w:b/>
          <w:color w:val="000000" w:themeColor="text1"/>
          <w:kern w:val="0"/>
          <w:sz w:val="32"/>
          <w:szCs w:val="32"/>
          <w14:textFill>
            <w14:solidFill>
              <w14:schemeClr w14:val="tx1"/>
            </w14:solidFill>
          </w14:textFill>
        </w:rPr>
        <w:t>三、投标响应文件</w:t>
      </w:r>
      <w:bookmarkEnd w:id="10"/>
    </w:p>
    <w:p w14:paraId="6D84D37D">
      <w:pPr>
        <w:spacing w:line="490" w:lineRule="exact"/>
        <w:rPr>
          <w:rFonts w:hint="eastAsia" w:ascii="宋体" w:hAnsi="宋体" w:eastAsia="宋体" w:cs="宋体"/>
          <w:b/>
          <w:color w:val="000000" w:themeColor="text1"/>
          <w:sz w:val="24"/>
          <w:szCs w:val="24"/>
          <w14:textFill>
            <w14:solidFill>
              <w14:schemeClr w14:val="tx1"/>
            </w14:solidFill>
          </w14:textFill>
        </w:rPr>
      </w:pPr>
    </w:p>
    <w:p w14:paraId="3B4BB248">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9. 编制原则 </w:t>
      </w:r>
    </w:p>
    <w:p w14:paraId="14D9FA0B">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 投标响应文件应突出重点，精简扼要。所提供的资料必须符合诚实信用、客观真实的原则，对弄虚作假或违背诚信的违法行为，应承担相应的后果及法律责任。 </w:t>
      </w:r>
    </w:p>
    <w:p w14:paraId="5A7C325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9.2. 投标人应仔细阅读磋商文件的所有内容，按照磋商文件的要求提交投标响应文件。投标响应文件应对磋商文件的要求作出实质性响应，并保证所提供的全部资料的真实性。 </w:t>
      </w:r>
    </w:p>
    <w:p w14:paraId="516F6899">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10. 编制要求 </w:t>
      </w:r>
    </w:p>
    <w:p w14:paraId="3DD44FA2">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10.1. 投标响应文件应按照 “投标响应文件格式”的要求以A4版面统一编制。 </w:t>
      </w:r>
    </w:p>
    <w:p w14:paraId="5630D4B5">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 对于有特定格式要求的，不允许改动其内容，否则，其投标无效。 </w:t>
      </w:r>
    </w:p>
    <w:p w14:paraId="7B2A610F">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10.3. 投标响应文件的制作，应使用简体中文。 </w:t>
      </w:r>
    </w:p>
    <w:p w14:paraId="31653104">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 投标响应文件在加盖投标人公章时，不得使用合同专用章、财务专用章、公司部门章、授权（投标）专用章等代替；否则，投标响应文件按无效投标处理。</w:t>
      </w:r>
    </w:p>
    <w:p w14:paraId="51B9620C">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10.5. 投标响应文件应该用计算机打印，并加注页码，用不可拆卸的胶状方式整册装订牢固，任何塑料夹条、订书针装订或打孔装订的按无效投标响应文件处理。 </w:t>
      </w:r>
    </w:p>
    <w:p w14:paraId="00FD624A">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10.6. 任何行间插字、涂改和增删，须由投标人授权代表在旁边签字后方为有效。 </w:t>
      </w:r>
    </w:p>
    <w:p w14:paraId="0BBC59FD">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11. 投标响应文件的组成 </w:t>
      </w:r>
    </w:p>
    <w:p w14:paraId="5BBF4A6D">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 投标响应文件由商务文件、技术文件两部分组成。各部分的内容如下： </w:t>
      </w:r>
    </w:p>
    <w:p w14:paraId="40A770AA">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商务文件 </w:t>
      </w:r>
    </w:p>
    <w:p w14:paraId="5465FE1D">
      <w:pPr>
        <w:spacing w:line="49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（1）投标承诺书 </w:t>
      </w:r>
    </w:p>
    <w:p w14:paraId="4125BCF8">
      <w:pPr>
        <w:spacing w:line="49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 </w:t>
      </w:r>
    </w:p>
    <w:p w14:paraId="3D2C3F91">
      <w:pPr>
        <w:spacing w:line="49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（3）开标报价一览表 </w:t>
      </w:r>
    </w:p>
    <w:p w14:paraId="09C417B4">
      <w:pPr>
        <w:spacing w:line="49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（4）分项价格表 </w:t>
      </w:r>
    </w:p>
    <w:p w14:paraId="482C6E6D">
      <w:pPr>
        <w:spacing w:line="49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（5）投标人资格证明文件 </w:t>
      </w:r>
    </w:p>
    <w:p w14:paraId="7D36F55E">
      <w:pPr>
        <w:spacing w:line="49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（6）商务响应说明书 </w:t>
      </w:r>
    </w:p>
    <w:p w14:paraId="45CCF424">
      <w:pPr>
        <w:spacing w:line="49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技术文件 </w:t>
      </w:r>
    </w:p>
    <w:p w14:paraId="78461473">
      <w:pPr>
        <w:spacing w:line="49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（7）投标方案说明书 </w:t>
      </w:r>
    </w:p>
    <w:p w14:paraId="60201ABC">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12. 投标报价 </w:t>
      </w:r>
    </w:p>
    <w:p w14:paraId="04473E16">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12.1. 投标人应按磋商文件规定的供货及服务要求、责任范围和合同条件，以人民币进行报价。 </w:t>
      </w:r>
    </w:p>
    <w:p w14:paraId="33FECE93">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12.2. 投标人应按开标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 </w:t>
      </w:r>
    </w:p>
    <w:p w14:paraId="79ED3C7C">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12.3. 投标人对每种货物及服务只允许有一个报价，不接受选择性报价，否则，在评标时将其视为无效投标。 </w:t>
      </w:r>
    </w:p>
    <w:p w14:paraId="552EEDF7">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12.4. 投标响应文件中标明的价格在合同执行过程中是固定不变的，不得以任何理由予以变更。任何包含价格调整要求和条件的投标，在评标时将其视为无效投标。 </w:t>
      </w:r>
    </w:p>
    <w:p w14:paraId="285DA9F7">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13. 备选方案 </w:t>
      </w:r>
    </w:p>
    <w:p w14:paraId="17802F13">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13.1. 本采购项目不接受备选方案投标。 </w:t>
      </w:r>
    </w:p>
    <w:p w14:paraId="50CCC496">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14. 投标人的资格证明文件 </w:t>
      </w:r>
    </w:p>
    <w:p w14:paraId="4070C5A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投标人应提交满足资格条件要求的证明文件。</w:t>
      </w:r>
    </w:p>
    <w:p w14:paraId="5F82D7EF">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15. 投标货物符合磋商文件规定的证明文件 </w:t>
      </w:r>
    </w:p>
    <w:p w14:paraId="68FA3357">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15.1. 投标人应当提交其拟供的合同项下货物及其服务符合磋商文件规定的证明文件,该证明文件作为投标响应文件的一部分。 </w:t>
      </w:r>
    </w:p>
    <w:p w14:paraId="014BE381">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15.2. 投标人应当说明投标货物的品牌型号、规格参数、制造商及原产地等，交货时应出具原产地证明及出厂合格证明。 </w:t>
      </w:r>
    </w:p>
    <w:p w14:paraId="5EF4432F">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15.3. 上述证明文件可以是文字资料、图纸和数据，并须提供： </w:t>
      </w:r>
    </w:p>
    <w:p w14:paraId="7B78579B">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（1）货物主要性能和参数的详细说明； </w:t>
      </w:r>
    </w:p>
    <w:p w14:paraId="7AC4BC1B">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（2）对照磋商文件技术规格，逐条说明所提供货物和服务对磋商文件的技术规格条文的响应与偏离。对有具体参数要求的指标，投标人应提供具体参数值。 </w:t>
      </w:r>
    </w:p>
    <w:p w14:paraId="70F214F3">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15.4. 采购人在技术规格中指出的货物/服务的标准以及参照的牌号或分类号仅起说明作用，并没有任何限制性。投标人在投标中可以选用替代标准、牌号或分类号，但这些替代要实质上相当于或优于技术规格的要求。 </w:t>
      </w:r>
    </w:p>
    <w:p w14:paraId="7B4A2326">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16. 投标保证金 </w:t>
      </w:r>
    </w:p>
    <w:p w14:paraId="0526EE82">
      <w:pPr>
        <w:spacing w:line="490" w:lineRule="exact"/>
        <w:ind w:firstLine="480" w:firstLineChars="200"/>
        <w:rPr>
          <w:sz w:val="24"/>
        </w:rPr>
      </w:pPr>
      <w:r>
        <w:rPr>
          <w:sz w:val="24"/>
        </w:rPr>
        <w:t xml:space="preserve">根据《甘肃省财政厅关于进一步加大政府采购支持中小企业力度的通知》(甘财采(2022)16 号)，本项目不收取投标保证金。 </w:t>
      </w:r>
    </w:p>
    <w:p w14:paraId="60743E5F">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17. 投标有效期 </w:t>
      </w:r>
    </w:p>
    <w:p w14:paraId="3E591611">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17.1. 投标有效期为60天，在此期间投标响应文件对投标人具有法律约束力，以保证采购人有足够的时间完成评标、定标以及签订合同。投标有效期从规定的投标截止之日起计算。投标有效期不足的，在评标时将其视为无效投标。 </w:t>
      </w:r>
    </w:p>
    <w:p w14:paraId="10DDE833">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17.2. 特殊情况需延长投标有效期的，招标代理机构可于投标有效期届满之前，要求投标人同意延长有效期，招标代理机构的要求与投标人的答复均应为书面形式。投标人拒绝延长的，其投标在原投标有效期期届满后将不再有效，但有权收回其投标保证金；投标人同意延长的，应相应延长其投标保证金的有效期，但不允许修改或撤回投标响应文件。 </w:t>
      </w:r>
    </w:p>
    <w:p w14:paraId="1BF74B2C">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18. 投标响应文件份数和签署、盖章 </w:t>
      </w:r>
    </w:p>
    <w:p w14:paraId="68B5BD57">
      <w:pPr>
        <w:spacing w:line="49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18.1.</w:t>
      </w:r>
      <w:r>
        <w:rPr>
          <w:rFonts w:hint="eastAsia" w:ascii="宋体" w:hAnsi="宋体" w:eastAsia="宋体" w:cs="宋体"/>
          <w:i w:val="0"/>
          <w:caps w:val="0"/>
          <w:color w:val="000000"/>
          <w:spacing w:val="0"/>
          <w:kern w:val="0"/>
          <w:sz w:val="24"/>
          <w:szCs w:val="24"/>
          <w:lang w:val="en-US" w:eastAsia="zh-CN" w:bidi="ar"/>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r>
        <w:rPr>
          <w:rFonts w:hint="eastAsia" w:ascii="宋体" w:hAnsi="宋体" w:eastAsia="宋体" w:cs="宋体"/>
          <w:color w:val="000000"/>
          <w:sz w:val="24"/>
          <w:szCs w:val="24"/>
        </w:rPr>
        <w:t xml:space="preserve">。 </w:t>
      </w:r>
    </w:p>
    <w:p w14:paraId="6A8F102D">
      <w:pPr>
        <w:spacing w:line="490" w:lineRule="exact"/>
        <w:ind w:firstLine="480" w:firstLineChars="200"/>
        <w:rPr>
          <w:rFonts w:hint="eastAsia" w:ascii="宋体" w:hAnsi="宋体" w:eastAsia="宋体" w:cs="宋体"/>
          <w:sz w:val="24"/>
          <w:szCs w:val="24"/>
          <w:highlight w:val="none"/>
        </w:rPr>
      </w:pPr>
      <w:r>
        <w:rPr>
          <w:rFonts w:hint="eastAsia" w:ascii="宋体" w:hAnsi="宋体" w:eastAsia="宋体" w:cs="宋体"/>
          <w:i w:val="0"/>
          <w:caps w:val="0"/>
          <w:color w:val="000000"/>
          <w:spacing w:val="0"/>
          <w:kern w:val="0"/>
          <w:sz w:val="24"/>
          <w:szCs w:val="24"/>
          <w:lang w:val="en-US" w:eastAsia="zh-CN" w:bidi="ar"/>
        </w:rPr>
        <w:t>18.2. 投标文件中要求由投标人法定代表人或被授权人签字的内容必须签字、盖章。投标文件应使用不能擦去的墨水打印或书写。全套投标文件应无涂改和行间插字，除非这些删改是根据招标人的指示进行的，或者是投标人造</w:t>
      </w:r>
      <w:r>
        <w:rPr>
          <w:rFonts w:hint="eastAsia" w:ascii="宋体" w:hAnsi="宋体" w:eastAsia="宋体" w:cs="宋体"/>
          <w:color w:val="000000"/>
          <w:sz w:val="24"/>
          <w:szCs w:val="24"/>
          <w:highlight w:val="none"/>
        </w:rPr>
        <w:t>成的必须修改的错误。修改处应由投标文件签字人签字证明。</w:t>
      </w:r>
    </w:p>
    <w:p w14:paraId="4034233E">
      <w:pPr>
        <w:spacing w:line="49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9AB3085">
      <w:pPr>
        <w:autoSpaceDE w:val="0"/>
        <w:autoSpaceDN w:val="0"/>
        <w:adjustRightInd w:val="0"/>
        <w:jc w:val="center"/>
        <w:outlineLvl w:val="1"/>
        <w:rPr>
          <w:rFonts w:hint="eastAsia" w:ascii="宋体" w:hAnsi="宋体" w:eastAsia="宋体" w:cs="宋体"/>
          <w:b/>
          <w:color w:val="000000" w:themeColor="text1"/>
          <w:sz w:val="32"/>
          <w:szCs w:val="32"/>
          <w14:textFill>
            <w14:solidFill>
              <w14:schemeClr w14:val="tx1"/>
            </w14:solidFill>
          </w14:textFill>
        </w:rPr>
      </w:pPr>
      <w:bookmarkStart w:id="11" w:name="_Toc15561"/>
      <w:r>
        <w:rPr>
          <w:rFonts w:hint="eastAsia" w:ascii="宋体" w:hAnsi="宋体" w:eastAsia="宋体" w:cs="宋体"/>
          <w:b/>
          <w:color w:val="000000" w:themeColor="text1"/>
          <w:kern w:val="0"/>
          <w:sz w:val="32"/>
          <w:szCs w:val="32"/>
          <w14:textFill>
            <w14:solidFill>
              <w14:schemeClr w14:val="tx1"/>
            </w14:solidFill>
          </w14:textFill>
        </w:rPr>
        <w:t>四、投标响应文件的递交</w:t>
      </w:r>
      <w:bookmarkEnd w:id="11"/>
    </w:p>
    <w:p w14:paraId="762FAE1B">
      <w:pPr>
        <w:spacing w:line="490" w:lineRule="exact"/>
        <w:rPr>
          <w:rFonts w:hint="eastAsia" w:ascii="宋体" w:hAnsi="宋体" w:eastAsia="宋体" w:cs="宋体"/>
          <w:b/>
          <w:color w:val="000000" w:themeColor="text1"/>
          <w:sz w:val="24"/>
          <w:szCs w:val="24"/>
          <w14:textFill>
            <w14:solidFill>
              <w14:schemeClr w14:val="tx1"/>
            </w14:solidFill>
          </w14:textFill>
        </w:rPr>
      </w:pPr>
    </w:p>
    <w:p w14:paraId="368B798B">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19. 投标响应文件的密封 </w:t>
      </w:r>
    </w:p>
    <w:p w14:paraId="1FD39A33">
      <w:pPr>
        <w:spacing w:line="490" w:lineRule="exact"/>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i w:val="0"/>
          <w:caps w:val="0"/>
          <w:color w:val="000000"/>
          <w:spacing w:val="0"/>
          <w:kern w:val="0"/>
          <w:sz w:val="24"/>
          <w:szCs w:val="24"/>
          <w:lang w:val="en-US" w:eastAsia="zh-CN" w:bidi="ar"/>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r>
        <w:rPr>
          <w:rFonts w:hint="eastAsia" w:ascii="宋体" w:hAnsi="宋体" w:eastAsia="宋体" w:cs="宋体"/>
          <w:b/>
          <w:color w:val="auto"/>
          <w:sz w:val="24"/>
          <w:szCs w:val="24"/>
          <w:highlight w:val="none"/>
        </w:rPr>
        <w:t>开标之后</w:t>
      </w:r>
      <w:r>
        <w:rPr>
          <w:rFonts w:hint="eastAsia" w:ascii="宋体" w:hAnsi="宋体" w:eastAsia="宋体" w:cs="宋体"/>
          <w:b/>
          <w:color w:val="auto"/>
          <w:sz w:val="24"/>
          <w:szCs w:val="24"/>
          <w:highlight w:val="none"/>
          <w:lang w:val="en-US" w:eastAsia="zh-CN"/>
        </w:rPr>
        <w:t>所有参与本项目的</w:t>
      </w:r>
      <w:r>
        <w:rPr>
          <w:rFonts w:hint="eastAsia" w:ascii="宋体" w:hAnsi="宋体" w:eastAsia="宋体" w:cs="宋体"/>
          <w:b/>
          <w:color w:val="auto"/>
          <w:sz w:val="24"/>
          <w:szCs w:val="24"/>
          <w:highlight w:val="none"/>
        </w:rPr>
        <w:t>投标单位须将投标文件纸质版</w:t>
      </w:r>
      <w:r>
        <w:rPr>
          <w:rFonts w:hint="eastAsia" w:ascii="宋体" w:hAnsi="宋体" w:cs="宋体"/>
          <w:b/>
          <w:color w:val="auto"/>
          <w:sz w:val="24"/>
          <w:szCs w:val="24"/>
          <w:highlight w:val="none"/>
          <w:lang w:eastAsia="zh-CN"/>
        </w:rPr>
        <w:t>一正二副</w:t>
      </w:r>
      <w:r>
        <w:rPr>
          <w:rFonts w:hint="eastAsia" w:ascii="宋体" w:hAnsi="宋体" w:eastAsia="宋体" w:cs="宋体"/>
          <w:b/>
          <w:color w:val="auto"/>
          <w:sz w:val="24"/>
          <w:szCs w:val="24"/>
          <w:highlight w:val="none"/>
        </w:rPr>
        <w:t>邮寄至代理公司</w:t>
      </w:r>
      <w:r>
        <w:rPr>
          <w:rFonts w:hint="eastAsia" w:ascii="宋体" w:hAnsi="宋体" w:eastAsia="宋体" w:cs="宋体"/>
          <w:b/>
          <w:color w:val="auto"/>
          <w:sz w:val="24"/>
          <w:szCs w:val="24"/>
          <w:highlight w:val="none"/>
          <w:lang w:eastAsia="zh-CN"/>
        </w:rPr>
        <w:t>。</w:t>
      </w:r>
    </w:p>
    <w:p w14:paraId="10178CD3">
      <w:pPr>
        <w:spacing w:line="490" w:lineRule="exact"/>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名 称：甘肃荣都工程咨询有限公司</w:t>
      </w:r>
    </w:p>
    <w:p w14:paraId="5C84C1B3">
      <w:pPr>
        <w:spacing w:line="490" w:lineRule="exact"/>
        <w:ind w:firstLine="480"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地 址：甘肃省陇南市武都区泰和丽景8号楼1单元1701室 </w:t>
      </w:r>
    </w:p>
    <w:p w14:paraId="7D3B2D50">
      <w:pPr>
        <w:spacing w:line="490" w:lineRule="exact"/>
        <w:ind w:firstLine="480"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联系方式：</w:t>
      </w:r>
      <w:r>
        <w:rPr>
          <w:rFonts w:hint="eastAsia" w:ascii="宋体" w:hAnsi="宋体" w:cs="宋体"/>
          <w:b/>
          <w:color w:val="auto"/>
          <w:sz w:val="24"/>
          <w:szCs w:val="24"/>
          <w:highlight w:val="none"/>
          <w:lang w:val="en-US" w:eastAsia="zh-CN"/>
        </w:rPr>
        <w:t xml:space="preserve"> 谷德云 </w:t>
      </w:r>
      <w:r>
        <w:rPr>
          <w:rFonts w:hint="eastAsia" w:ascii="宋体" w:hAnsi="宋体" w:eastAsia="宋体" w:cs="宋体"/>
          <w:b/>
          <w:color w:val="auto"/>
          <w:sz w:val="24"/>
          <w:szCs w:val="24"/>
          <w:highlight w:val="none"/>
          <w:lang w:val="en-US" w:eastAsia="zh-CN"/>
        </w:rPr>
        <w:t>13993991095</w:t>
      </w:r>
    </w:p>
    <w:p w14:paraId="4A0B0E35">
      <w:pPr>
        <w:spacing w:line="490" w:lineRule="exact"/>
        <w:ind w:firstLine="480" w:firstLineChars="200"/>
        <w:rPr>
          <w:rFonts w:hint="eastAsia" w:ascii="宋体" w:hAnsi="宋体" w:eastAsia="宋体" w:cs="宋体"/>
          <w:b/>
          <w:color w:val="000000" w:themeColor="text1"/>
          <w:sz w:val="24"/>
          <w:szCs w:val="24"/>
          <w:highlight w:val="red"/>
          <w:lang w:eastAsia="zh-CN"/>
          <w14:textFill>
            <w14:solidFill>
              <w14:schemeClr w14:val="tx1"/>
            </w14:solidFill>
          </w14:textFill>
        </w:rPr>
      </w:pPr>
    </w:p>
    <w:p w14:paraId="3BDCA249">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20. 投标响应文件的递交 </w:t>
      </w:r>
    </w:p>
    <w:p w14:paraId="1E8DCDAC">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p>
    <w:p w14:paraId="48444755">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21. 投标响应文件的修改和撤回 </w:t>
      </w:r>
    </w:p>
    <w:p w14:paraId="6249BA60">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21.1. 在投标截止时间前，投标人可以书面形式修改、补充或撤回己递交的投标响应文件，但应以书面形式通知招标代理机构。 </w:t>
      </w:r>
    </w:p>
    <w:p w14:paraId="6D05E810">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21.2. 修改、补充的内容为投标响应文件的组成部分。修改、补充的投标响应文件应按规定编制、签署、密封、标记和递交，并标明“修改、补充”字样。 </w:t>
      </w:r>
    </w:p>
    <w:p w14:paraId="0D5EE2ED">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 投标人撤回投标响应文件的，招标代理机构自收到投标人书面撤回通知之日起五日内退还已收取的投标保证金。</w:t>
      </w:r>
    </w:p>
    <w:p w14:paraId="4A7FF8D5">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25D41E91">
      <w:pPr>
        <w:autoSpaceDE w:val="0"/>
        <w:autoSpaceDN w:val="0"/>
        <w:adjustRightInd w:val="0"/>
        <w:jc w:val="center"/>
        <w:outlineLvl w:val="1"/>
        <w:rPr>
          <w:rFonts w:hint="eastAsia" w:ascii="宋体" w:hAnsi="宋体" w:eastAsia="宋体" w:cs="宋体"/>
          <w:b/>
          <w:color w:val="000000" w:themeColor="text1"/>
          <w:sz w:val="32"/>
          <w:szCs w:val="32"/>
          <w14:textFill>
            <w14:solidFill>
              <w14:schemeClr w14:val="tx1"/>
            </w14:solidFill>
          </w14:textFill>
        </w:rPr>
      </w:pPr>
      <w:bookmarkStart w:id="12" w:name="_Toc25350"/>
      <w:r>
        <w:rPr>
          <w:rFonts w:hint="eastAsia" w:ascii="宋体" w:hAnsi="宋体" w:eastAsia="宋体" w:cs="宋体"/>
          <w:b/>
          <w:color w:val="000000" w:themeColor="text1"/>
          <w:kern w:val="0"/>
          <w:sz w:val="32"/>
          <w:szCs w:val="32"/>
          <w14:textFill>
            <w14:solidFill>
              <w14:schemeClr w14:val="tx1"/>
            </w14:solidFill>
          </w14:textFill>
        </w:rPr>
        <w:t>五、开标、评标与定标</w:t>
      </w:r>
      <w:bookmarkEnd w:id="12"/>
    </w:p>
    <w:p w14:paraId="1827B828">
      <w:pPr>
        <w:spacing w:line="490" w:lineRule="exact"/>
        <w:rPr>
          <w:rFonts w:hint="eastAsia" w:ascii="宋体" w:hAnsi="宋体" w:eastAsia="宋体" w:cs="宋体"/>
          <w:b/>
          <w:color w:val="000000" w:themeColor="text1"/>
          <w:sz w:val="24"/>
          <w:szCs w:val="24"/>
          <w14:textFill>
            <w14:solidFill>
              <w14:schemeClr w14:val="tx1"/>
            </w14:solidFill>
          </w14:textFill>
        </w:rPr>
      </w:pPr>
    </w:p>
    <w:p w14:paraId="419C5B0C">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22. 开标 </w:t>
      </w:r>
    </w:p>
    <w:p w14:paraId="42D0A351">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22.1. 招标代理机构规定的投标截止时间(开标时间)和地点组织公开开标，并邀请所有投标人法定代表人（负责人）或其授权的代理人参加。参加开标的投标人代表应签名以证明其出席。 </w:t>
      </w:r>
    </w:p>
    <w:p w14:paraId="11314480">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22.2. 开标时，公布在投标截止时间前递交投标响应文件的投标人名称；由投标人或其推选的代表检查投标响应文件的密封情况，也可以由招标代理机构委托的公证机构检查并公证；经确认无误后，由招标代理机构工作人员当众拆封，宣读投标人名称、投标价格、价格折扣、磋商文件允许提供的备选方案和投标响应文件的其他主要内容。 </w:t>
      </w:r>
    </w:p>
    <w:p w14:paraId="2E204C51">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22.3. 未宣读的投标价格、价格折扣和磋商文件允许提供的备选方案等实质内容，评标时不予承认。 </w:t>
      </w:r>
    </w:p>
    <w:p w14:paraId="0D634565">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22.4. 投标人代表、监督人、记录人等有关人员在开标记录上签字确认。 </w:t>
      </w:r>
    </w:p>
    <w:p w14:paraId="0532C55B">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22.5. 开标时，投标响应文件中开标报价一览表内容与投标响应文件中分项价格表内容不一致的，以开标报价一览表为准。 </w:t>
      </w:r>
    </w:p>
    <w:p w14:paraId="0B4FE065">
      <w:pPr>
        <w:spacing w:line="49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23. 评标委员会 </w:t>
      </w:r>
    </w:p>
    <w:p w14:paraId="6C01742F">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 磋商小组由采购人代表</w:t>
      </w:r>
      <w:r>
        <w:rPr>
          <w:rFonts w:hint="eastAsia" w:ascii="宋体" w:hAnsi="宋体" w:eastAsia="宋体" w:cs="宋体"/>
          <w:color w:val="auto"/>
          <w:sz w:val="24"/>
          <w:szCs w:val="24"/>
        </w:rPr>
        <w:t>和评</w:t>
      </w:r>
      <w:r>
        <w:rPr>
          <w:rFonts w:hint="eastAsia" w:ascii="宋体" w:hAnsi="宋体" w:eastAsia="宋体" w:cs="宋体"/>
          <w:color w:val="auto"/>
          <w:sz w:val="24"/>
          <w:szCs w:val="24"/>
          <w:highlight w:val="none"/>
        </w:rPr>
        <w:t>审专家共3人组成，</w:t>
      </w:r>
      <w:r>
        <w:rPr>
          <w:rFonts w:hint="eastAsia" w:ascii="宋体" w:hAnsi="宋体" w:eastAsia="宋体" w:cs="宋体"/>
          <w:color w:val="auto"/>
          <w:sz w:val="24"/>
          <w:szCs w:val="24"/>
        </w:rPr>
        <w:t>其中评</w:t>
      </w:r>
      <w:r>
        <w:rPr>
          <w:rFonts w:hint="eastAsia" w:ascii="宋体" w:hAnsi="宋体" w:eastAsia="宋体" w:cs="宋体"/>
          <w:color w:val="000000" w:themeColor="text1"/>
          <w:sz w:val="24"/>
          <w:szCs w:val="24"/>
          <w14:textFill>
            <w14:solidFill>
              <w14:schemeClr w14:val="tx1"/>
            </w14:solidFill>
          </w14:textFill>
        </w:rPr>
        <w:t>审专家人数不得少于磋商小组成员总数的2/3。采购人代表不得以评审专家身份参加本部门或本单位采购项目的评审。采购代理机构人员不得参加本机构代理的采购项目的评审。</w:t>
      </w:r>
    </w:p>
    <w:p w14:paraId="737F5896">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23.2. 评标委员会成员与投标人存在利害关系的，应当回避。 </w:t>
      </w:r>
    </w:p>
    <w:p w14:paraId="795E63E4">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24. 评标 </w:t>
      </w:r>
    </w:p>
    <w:p w14:paraId="205467D3">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24.1. 评标委员会按照 “评标方法及标准” 规定的评标方法、评审因素、标准和程序对投标响应文件进行评审。 </w:t>
      </w:r>
    </w:p>
    <w:p w14:paraId="582E5E59">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25. 无效投标的情形 </w:t>
      </w:r>
    </w:p>
    <w:p w14:paraId="32757DE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 未按照磋商文件规定要求密封、签字、盖章的； </w:t>
      </w:r>
    </w:p>
    <w:p w14:paraId="5B193C8D">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 不具备磋商文件中规定资格要求的； </w:t>
      </w:r>
    </w:p>
    <w:p w14:paraId="1840ED6A">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投标人资格证明文件不全或是虚假的； </w:t>
      </w:r>
    </w:p>
    <w:p w14:paraId="50DD249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 投标有效期不符合磋商文件要求的； </w:t>
      </w:r>
    </w:p>
    <w:p w14:paraId="61AE9B6A">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 同一个项目或同一种货物提供了两种及以上备选方案或报价的； </w:t>
      </w:r>
    </w:p>
    <w:p w14:paraId="2CA6971D">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 xml:space="preserve">. 投标响应文件内容不齐全或者投标响应文件份数不够的； </w:t>
      </w:r>
    </w:p>
    <w:p w14:paraId="7F015C75">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 xml:space="preserve">. 投标响应文件出现重大负偏离的； </w:t>
      </w:r>
    </w:p>
    <w:p w14:paraId="4314C3DB">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 xml:space="preserve">. 投标响应文件不满足其他要求的； </w:t>
      </w:r>
    </w:p>
    <w:p w14:paraId="0A461164">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 xml:space="preserve">. 投标响应文件不符合规定格式的； </w:t>
      </w:r>
    </w:p>
    <w:p w14:paraId="354F103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 xml:space="preserve">. 投标响应文件含有采购人不能接受的条件或声明的； </w:t>
      </w:r>
    </w:p>
    <w:p w14:paraId="52FF7DBB">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 xml:space="preserve">. 不符合法律、法规和本磋商文件中规定的其他实质性要求的。 </w:t>
      </w:r>
    </w:p>
    <w:p w14:paraId="08E7F864">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26. 定标 </w:t>
      </w:r>
    </w:p>
    <w:p w14:paraId="7FFD100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26.1. 评标委员会根据评审方法及标准，提出书面评标报告，推荐中标候选人。 </w:t>
      </w:r>
    </w:p>
    <w:p w14:paraId="3691600A">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26.2. 采购人确认中标结果。 </w:t>
      </w:r>
    </w:p>
    <w:p w14:paraId="23C2DCF8">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26.3. 由招标代理机构按要求将中标结果在公告发布媒体上公告。 </w:t>
      </w:r>
    </w:p>
    <w:p w14:paraId="619B0893">
      <w:pPr>
        <w:autoSpaceDE w:val="0"/>
        <w:autoSpaceDN w:val="0"/>
        <w:adjustRightInd w:val="0"/>
        <w:jc w:val="center"/>
        <w:rPr>
          <w:rFonts w:hint="eastAsia" w:ascii="宋体" w:hAnsi="宋体" w:eastAsia="宋体" w:cs="宋体"/>
          <w:b/>
          <w:color w:val="000000" w:themeColor="text1"/>
          <w:kern w:val="0"/>
          <w:sz w:val="24"/>
          <w:szCs w:val="24"/>
          <w14:textFill>
            <w14:solidFill>
              <w14:schemeClr w14:val="tx1"/>
            </w14:solidFill>
          </w14:textFill>
        </w:rPr>
      </w:pPr>
    </w:p>
    <w:p w14:paraId="5CC04291">
      <w:pPr>
        <w:autoSpaceDE w:val="0"/>
        <w:autoSpaceDN w:val="0"/>
        <w:adjustRightInd w:val="0"/>
        <w:jc w:val="center"/>
        <w:outlineLvl w:val="1"/>
        <w:rPr>
          <w:rFonts w:hint="eastAsia" w:ascii="宋体" w:hAnsi="宋体" w:eastAsia="宋体" w:cs="宋体"/>
          <w:color w:val="000000" w:themeColor="text1"/>
          <w:sz w:val="32"/>
          <w:szCs w:val="32"/>
          <w14:textFill>
            <w14:solidFill>
              <w14:schemeClr w14:val="tx1"/>
            </w14:solidFill>
          </w14:textFill>
        </w:rPr>
      </w:pPr>
      <w:bookmarkStart w:id="13" w:name="_Toc20644"/>
      <w:r>
        <w:rPr>
          <w:rFonts w:hint="eastAsia" w:ascii="宋体" w:hAnsi="宋体" w:eastAsia="宋体" w:cs="宋体"/>
          <w:b/>
          <w:color w:val="000000" w:themeColor="text1"/>
          <w:kern w:val="0"/>
          <w:sz w:val="32"/>
          <w:szCs w:val="32"/>
          <w14:textFill>
            <w14:solidFill>
              <w14:schemeClr w14:val="tx1"/>
            </w14:solidFill>
          </w14:textFill>
        </w:rPr>
        <w:t>六、质 疑</w:t>
      </w:r>
      <w:bookmarkEnd w:id="13"/>
    </w:p>
    <w:p w14:paraId="418AC502">
      <w:pPr>
        <w:spacing w:line="490" w:lineRule="exact"/>
        <w:rPr>
          <w:rFonts w:hint="eastAsia" w:ascii="宋体" w:hAnsi="宋体" w:eastAsia="宋体" w:cs="宋体"/>
          <w:b/>
          <w:color w:val="000000" w:themeColor="text1"/>
          <w:sz w:val="24"/>
          <w:szCs w:val="24"/>
          <w14:textFill>
            <w14:solidFill>
              <w14:schemeClr w14:val="tx1"/>
            </w14:solidFill>
          </w14:textFill>
        </w:rPr>
      </w:pPr>
    </w:p>
    <w:p w14:paraId="68585383">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27. 投标人质疑 </w:t>
      </w:r>
    </w:p>
    <w:p w14:paraId="59619B39">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27.1. 投标人对政府采购活动事项有疑问的，可以向采购人或招标代理机构提出询问。采购人或招标代理机构将在</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 xml:space="preserve">个工作日内作出答复。 </w:t>
      </w:r>
    </w:p>
    <w:p w14:paraId="65BF4229">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27.2. 投标人若认为磋商文件、采购过程和中标结果使自己的权益受到损害，应当在下列时间内以书面形式向采购人或招标代理机构提出： </w:t>
      </w:r>
    </w:p>
    <w:p w14:paraId="528EFA0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（1）关于磋商文件的质疑，应从磋商文件发出之日起</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 xml:space="preserve">日内提出。 </w:t>
      </w:r>
    </w:p>
    <w:p w14:paraId="289E4201">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（2）关于采购过程的质疑，应在采购程序环节结束之日起</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 xml:space="preserve">日内提出。 </w:t>
      </w:r>
    </w:p>
    <w:p w14:paraId="6296772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（3）关于中标结果的质疑，应在中标结果信息发布后</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 xml:space="preserve">日内提出。 </w:t>
      </w:r>
    </w:p>
    <w:p w14:paraId="266F9399">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27.3. 投标人提出质疑的，应提供质疑书原件。采购人或招标代理机构应当向质疑供应商签收回执。 </w:t>
      </w:r>
    </w:p>
    <w:p w14:paraId="51300249">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27.4. 质疑书应当包括下列内容： </w:t>
      </w:r>
    </w:p>
    <w:p w14:paraId="25BD62D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（1）质疑供应商的名称、地址及有效联系方式； </w:t>
      </w:r>
    </w:p>
    <w:p w14:paraId="5AE0CBC0">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（2）质疑事项； </w:t>
      </w:r>
    </w:p>
    <w:p w14:paraId="15691191">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（3）事实依据及相关证明材料； </w:t>
      </w:r>
    </w:p>
    <w:p w14:paraId="469AAA91">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（4）相关请求及主张。 </w:t>
      </w:r>
    </w:p>
    <w:p w14:paraId="32CF22A6">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27.5. 质疑书应当由投标人法定代表人或其授权的代理人签字并加盖投标人单位章，质疑书由授权的代理人签字的应附投标人法定代表人委托授权书。 </w:t>
      </w:r>
    </w:p>
    <w:p w14:paraId="2B98796E">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27.6. 采购人或招标代理机构将在签收回执之日起七个工作日内作出书面答复，并以书面形式通知质疑投标人和其他有关的投标人。 </w:t>
      </w:r>
    </w:p>
    <w:p w14:paraId="489378A3">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27.7. 投标人对采购人或招标代理机构的答复不满意，或采购人或招标代理机构未在规定的期限作出答复的，可在答复期满后十五个工作日内，按政府采购相关法律法规规章的规定及程序，向同级财政部门提出投诉。 </w:t>
      </w:r>
    </w:p>
    <w:p w14:paraId="1912AADE">
      <w:pPr>
        <w:pStyle w:val="136"/>
        <w:jc w:val="center"/>
        <w:rPr>
          <w:rFonts w:hint="eastAsia" w:ascii="宋体" w:hAnsi="宋体" w:eastAsia="宋体" w:cs="宋体"/>
          <w:b/>
          <w:color w:val="000000" w:themeColor="text1"/>
          <w:sz w:val="24"/>
          <w:szCs w:val="24"/>
          <w14:textFill>
            <w14:solidFill>
              <w14:schemeClr w14:val="tx1"/>
            </w14:solidFill>
          </w14:textFill>
        </w:rPr>
      </w:pPr>
    </w:p>
    <w:p w14:paraId="18E2D1A3">
      <w:pPr>
        <w:pStyle w:val="136"/>
        <w:jc w:val="center"/>
        <w:outlineLvl w:val="1"/>
        <w:rPr>
          <w:rFonts w:hint="eastAsia" w:ascii="宋体" w:hAnsi="宋体" w:eastAsia="宋体" w:cs="宋体"/>
          <w:b/>
          <w:color w:val="000000" w:themeColor="text1"/>
          <w:sz w:val="32"/>
          <w:szCs w:val="32"/>
          <w14:textFill>
            <w14:solidFill>
              <w14:schemeClr w14:val="tx1"/>
            </w14:solidFill>
          </w14:textFill>
        </w:rPr>
      </w:pPr>
      <w:bookmarkStart w:id="14" w:name="_Toc30134"/>
      <w:r>
        <w:rPr>
          <w:rFonts w:hint="eastAsia" w:ascii="宋体" w:hAnsi="宋体" w:eastAsia="宋体" w:cs="宋体"/>
          <w:b/>
          <w:color w:val="000000" w:themeColor="text1"/>
          <w:sz w:val="32"/>
          <w:szCs w:val="32"/>
          <w14:textFill>
            <w14:solidFill>
              <w14:schemeClr w14:val="tx1"/>
            </w14:solidFill>
          </w14:textFill>
        </w:rPr>
        <w:t>七、签订合同</w:t>
      </w:r>
      <w:bookmarkEnd w:id="14"/>
    </w:p>
    <w:p w14:paraId="38F6E143">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28. 招标代理服务费</w:t>
      </w:r>
    </w:p>
    <w:p w14:paraId="37CF9410">
      <w:pPr>
        <w:pStyle w:val="11"/>
        <w:ind w:left="0" w:leftChars="0"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由中标人支付，支付金额为中标价的1.5%</w:t>
      </w:r>
    </w:p>
    <w:p w14:paraId="1B400D07">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29. 中标通知书 </w:t>
      </w:r>
      <w:r>
        <w:rPr>
          <w:rFonts w:hint="eastAsia" w:ascii="宋体" w:hAnsi="宋体" w:eastAsia="宋体" w:cs="宋体"/>
          <w:color w:val="000000" w:themeColor="text1"/>
          <w:sz w:val="24"/>
          <w:szCs w:val="24"/>
          <w14:textFill>
            <w14:solidFill>
              <w14:schemeClr w14:val="tx1"/>
            </w14:solidFill>
          </w14:textFill>
        </w:rPr>
        <w:t xml:space="preserve"> </w:t>
      </w:r>
    </w:p>
    <w:p w14:paraId="2E4C504F">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29.1. 在规定的投标有效期内，招标代理机构办理《中标通知书》发出事宜。 </w:t>
      </w:r>
    </w:p>
    <w:p w14:paraId="678C76AF">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29.2. 中标通知书对采购人和中标供应商具有同等法律效力。 </w:t>
      </w:r>
    </w:p>
    <w:p w14:paraId="762616F5">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29.3. 中标通知书发出后，采购人改变中标结果，或者中标人放弃中标，应当承担相应的法律责任。 </w:t>
      </w:r>
    </w:p>
    <w:p w14:paraId="684509A5">
      <w:pPr>
        <w:spacing w:line="49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29.4. 中标通知书是中标人签订合同的依据，是合同必不可少的一个组成部分。 </w:t>
      </w:r>
    </w:p>
    <w:p w14:paraId="2C41472B">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30. 签订合同 </w:t>
      </w:r>
    </w:p>
    <w:p w14:paraId="0C8233C1">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30.1. 采购人应当自开标结束中标公示三日后交清各项费用联系代理单位领取中标通知书，中标通知书发出之日起三十日内，按照磋商文件和中标供应商投标响应文件的约定，与中标供应商签订书面合同。所签订的合同不得对磋商文件和中标供应商投标响应文件作实质性修改。 </w:t>
      </w:r>
    </w:p>
    <w:p w14:paraId="08A59774">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30.2. 采购人不得向中标供应商提出任何不合理的要求，作为签订合同的条件，不得与中标供应商私下订立背离合同实质性内容的协议。 </w:t>
      </w:r>
    </w:p>
    <w:p w14:paraId="7DF9849A">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30.3. 采购人或者招标代理机构应当自采购合同签订之日起七个工作日内，按照有关规定将采购合同副本报同级人民政府财政部门备案。 </w:t>
      </w:r>
    </w:p>
    <w:p w14:paraId="3B62B5C8">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31. 分包履行合同 </w:t>
      </w:r>
    </w:p>
    <w:p w14:paraId="7F466EC9">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31.1. 经采购人同意，中标供应商可以依法采取分包方式履行合同。 </w:t>
      </w:r>
    </w:p>
    <w:p w14:paraId="6DC11095">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31.2. 政府采购合同分包履行的，中标、成交供应商就采购项目和分包项目向采购人负责，分包供应商就分包项目承担责任。 </w:t>
      </w:r>
    </w:p>
    <w:p w14:paraId="52F9B8CB">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32. 政府采购合同履行中合同标的的追加 </w:t>
      </w:r>
    </w:p>
    <w:p w14:paraId="3D9B8189">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32.1. 政府采购合同履行中，采购人需追加与合同标的相同的货物、工程或者服务的，在不改变合同其他条款的前提下，可以与供应商协商签订补充合同，但所有补充合同的采购金额不得超过原合同采购金额的百分之十。 </w:t>
      </w:r>
    </w:p>
    <w:p w14:paraId="40FEA9B3">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33. 废标条款 </w:t>
      </w:r>
    </w:p>
    <w:p w14:paraId="6574D86D">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33.1. 在招标采购中，出现有下列情形之一的，予以废标： </w:t>
      </w:r>
    </w:p>
    <w:p w14:paraId="496D5E8C">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（1）符合专业条件的投标人或者对磋商文件作实质性响应的投标人不足三家的</w:t>
      </w:r>
      <w:r>
        <w:rPr>
          <w:rFonts w:hint="eastAsia" w:ascii="宋体" w:hAnsi="宋体" w:eastAsia="宋体" w:cs="宋体"/>
          <w:b/>
          <w:color w:val="000000" w:themeColor="text1"/>
          <w:sz w:val="24"/>
          <w:szCs w:val="24"/>
          <w14:textFill>
            <w14:solidFill>
              <w14:schemeClr w14:val="tx1"/>
            </w14:solidFill>
          </w14:textFill>
        </w:rPr>
        <w:t>（根据财库[2015]124号文件之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Pr>
          <w:rFonts w:hint="eastAsia" w:ascii="宋体" w:hAnsi="宋体" w:eastAsia="宋体" w:cs="宋体"/>
          <w:color w:val="000000" w:themeColor="text1"/>
          <w:sz w:val="24"/>
          <w:szCs w:val="24"/>
          <w14:textFill>
            <w14:solidFill>
              <w14:schemeClr w14:val="tx1"/>
            </w14:solidFill>
          </w14:textFill>
        </w:rPr>
        <w:t xml:space="preserve">； </w:t>
      </w:r>
    </w:p>
    <w:p w14:paraId="0091829F">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（2）出现影响采购公正的违法、违规行为的； </w:t>
      </w:r>
    </w:p>
    <w:p w14:paraId="6B92C97A">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（3）投标人的报价均超过了采购预算，采购人不能支付的； </w:t>
      </w:r>
    </w:p>
    <w:p w14:paraId="21F6B17A">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（4）因重大变故，采购任务取消的。 </w:t>
      </w:r>
    </w:p>
    <w:p w14:paraId="2622BA9E">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（5）未响应磋商文件要求的。</w:t>
      </w:r>
    </w:p>
    <w:p w14:paraId="2FD8B2A7">
      <w:pPr>
        <w:spacing w:line="49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34. 其他 </w:t>
      </w:r>
    </w:p>
    <w:p w14:paraId="2A14C1B0">
      <w:pPr>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34.1. 本磋商文件如与网上发布的招标公告、更正公告等有差异的部分，以网上发布的为准。 </w:t>
      </w:r>
    </w:p>
    <w:p w14:paraId="179CECD7">
      <w:pPr>
        <w:autoSpaceDE w:val="0"/>
        <w:autoSpaceDN w:val="0"/>
        <w:adjustRightInd w:val="0"/>
        <w:jc w:val="center"/>
        <w:outlineLvl w:val="0"/>
        <w:rPr>
          <w:rFonts w:hint="eastAsia" w:ascii="黑体" w:hAnsi="黑体" w:eastAsia="黑体" w:cs="黑体"/>
          <w:b/>
          <w:color w:val="000000" w:themeColor="text1"/>
          <w:kern w:val="0"/>
          <w:sz w:val="36"/>
          <w:szCs w:val="36"/>
          <w14:textFill>
            <w14:solidFill>
              <w14:schemeClr w14:val="tx1"/>
            </w14:solidFill>
          </w14:textFill>
        </w:rPr>
      </w:pPr>
      <w:bookmarkStart w:id="15" w:name="_Toc3923"/>
      <w:bookmarkStart w:id="16" w:name="_Toc20462"/>
      <w:r>
        <w:rPr>
          <w:rFonts w:hint="eastAsia" w:ascii="黑体" w:hAnsi="黑体" w:eastAsia="黑体" w:cs="黑体"/>
          <w:b/>
          <w:color w:val="000000" w:themeColor="text1"/>
          <w:kern w:val="0"/>
          <w:sz w:val="36"/>
          <w:szCs w:val="36"/>
          <w14:textFill>
            <w14:solidFill>
              <w14:schemeClr w14:val="tx1"/>
            </w14:solidFill>
          </w14:textFill>
        </w:rPr>
        <w:t>第四章 评标方法及标准</w:t>
      </w:r>
      <w:bookmarkEnd w:id="15"/>
      <w:bookmarkEnd w:id="16"/>
    </w:p>
    <w:p w14:paraId="405976AA">
      <w:pPr>
        <w:autoSpaceDE w:val="0"/>
        <w:autoSpaceDN w:val="0"/>
        <w:adjustRightInd w:val="0"/>
        <w:jc w:val="center"/>
        <w:outlineLvl w:val="1"/>
        <w:rPr>
          <w:rFonts w:hint="eastAsia" w:ascii="宋体" w:hAnsi="宋体" w:cs="黑体"/>
          <w:b/>
          <w:color w:val="000000" w:themeColor="text1"/>
          <w:kern w:val="0"/>
          <w:sz w:val="32"/>
          <w:szCs w:val="32"/>
          <w14:textFill>
            <w14:solidFill>
              <w14:schemeClr w14:val="tx1"/>
            </w14:solidFill>
          </w14:textFill>
        </w:rPr>
      </w:pPr>
      <w:bookmarkStart w:id="17" w:name="_Toc27499"/>
      <w:r>
        <w:rPr>
          <w:rFonts w:hint="eastAsia" w:ascii="宋体" w:hAnsi="宋体" w:cs="黑体"/>
          <w:b/>
          <w:color w:val="000000" w:themeColor="text1"/>
          <w:kern w:val="0"/>
          <w:sz w:val="32"/>
          <w:szCs w:val="32"/>
          <w14:textFill>
            <w14:solidFill>
              <w14:schemeClr w14:val="tx1"/>
            </w14:solidFill>
          </w14:textFill>
        </w:rPr>
        <w:t>一、总则</w:t>
      </w:r>
      <w:bookmarkEnd w:id="17"/>
    </w:p>
    <w:p w14:paraId="3402F8BF">
      <w:pPr>
        <w:spacing w:line="490" w:lineRule="exact"/>
        <w:ind w:firstLine="315" w:firstLineChars="150"/>
        <w:rPr>
          <w:b/>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b/>
          <w:color w:val="000000" w:themeColor="text1"/>
          <w:lang w:val="en-US" w:eastAsia="zh-CN"/>
          <w14:textFill>
            <w14:solidFill>
              <w14:schemeClr w14:val="tx1"/>
            </w14:solidFill>
          </w14:textFill>
        </w:rPr>
        <w:t>.</w:t>
      </w:r>
      <w:r>
        <w:rPr>
          <w:b/>
          <w:color w:val="000000" w:themeColor="text1"/>
          <w14:textFill>
            <w14:solidFill>
              <w14:schemeClr w14:val="tx1"/>
            </w14:solidFill>
          </w14:textFill>
        </w:rPr>
        <w:t xml:space="preserve">磋商 </w:t>
      </w:r>
    </w:p>
    <w:p w14:paraId="707EF6BE">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1.1 招标代理机构将在“供应商须知前附表”规定的时间、地点组织磋商。 供应商应委派代表参加，并向磋商小组递交响应文件。</w:t>
      </w:r>
    </w:p>
    <w:p w14:paraId="0A461B30">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1.2 提交了可接受的“撤回”通知的响应文件将不予开封。 </w:t>
      </w:r>
    </w:p>
    <w:p w14:paraId="0FDE2D3A">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1.3 评标方法：综合评分法。</w:t>
      </w:r>
    </w:p>
    <w:p w14:paraId="0E36C56A">
      <w:pPr>
        <w:spacing w:line="490" w:lineRule="exact"/>
        <w:ind w:firstLine="315" w:firstLineChars="150"/>
        <w:rPr>
          <w:b/>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b/>
          <w:color w:val="000000" w:themeColor="text1"/>
          <w:lang w:val="en-US" w:eastAsia="zh-CN"/>
          <w14:textFill>
            <w14:solidFill>
              <w14:schemeClr w14:val="tx1"/>
            </w14:solidFill>
          </w14:textFill>
        </w:rPr>
        <w:t>.</w:t>
      </w:r>
      <w:r>
        <w:rPr>
          <w:b/>
          <w:color w:val="000000" w:themeColor="text1"/>
          <w14:textFill>
            <w14:solidFill>
              <w14:schemeClr w14:val="tx1"/>
            </w14:solidFill>
          </w14:textFill>
        </w:rPr>
        <w:t xml:space="preserve">磋商小组 </w:t>
      </w:r>
    </w:p>
    <w:p w14:paraId="087CBB2E">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2.1 招标机构将按照《中华人民共和国政府采购法》及有关规定组建磋商小组。</w:t>
      </w:r>
    </w:p>
    <w:p w14:paraId="5886F6E5">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2.2 磋商小组由采购人代表及有关技术、经济等方面的专家组成。 </w:t>
      </w:r>
    </w:p>
    <w:p w14:paraId="33B76018">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2.3 磋商小组所有成员应当集中与单一供应商分别进行磋商。在磋商中，磋商的任何一方不得透露与磋商有关的其他供应商的技术资料、价格和其他信息。磋商文件有实质性变动的，磋商小组应当以书面形式通知所有参加磋商的供应商。</w:t>
      </w:r>
    </w:p>
    <w:p w14:paraId="443FD796">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 2.4 </w:t>
      </w:r>
      <w:r>
        <w:rPr>
          <w:rFonts w:hint="eastAsia"/>
          <w:color w:val="000000" w:themeColor="text1"/>
          <w14:textFill>
            <w14:solidFill>
              <w14:schemeClr w14:val="tx1"/>
            </w14:solidFill>
          </w14:textFill>
        </w:rPr>
        <w:t>本项目进行二轮报价即响应文件投标报价视为第一轮报价</w:t>
      </w:r>
      <w:r>
        <w:rPr>
          <w:color w:val="000000" w:themeColor="text1"/>
          <w14:textFill>
            <w14:solidFill>
              <w14:schemeClr w14:val="tx1"/>
            </w14:solidFill>
          </w14:textFill>
        </w:rPr>
        <w:t>磋商结束后，磋商小组应当要求所有实质性响应的供应商在规定时间内提交</w:t>
      </w:r>
      <w:r>
        <w:rPr>
          <w:rFonts w:hint="eastAsia"/>
          <w:color w:val="000000" w:themeColor="text1"/>
          <w14:textFill>
            <w14:solidFill>
              <w14:schemeClr w14:val="tx1"/>
            </w14:solidFill>
          </w14:textFill>
        </w:rPr>
        <w:t>第二轮</w:t>
      </w:r>
      <w:r>
        <w:rPr>
          <w:color w:val="000000" w:themeColor="text1"/>
          <w14:textFill>
            <w14:solidFill>
              <w14:schemeClr w14:val="tx1"/>
            </w14:solidFill>
          </w14:textFill>
        </w:rPr>
        <w:t>报价，经磋商确定最终采购需求和提交最后报价的供应商后，由磋商小组采用综合评分法对提交最后报价的供应商的响应文件和最后报价进行综合评分。</w:t>
      </w:r>
    </w:p>
    <w:p w14:paraId="51AAE9C1">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 2.5 参加磋商的供应商应当对磋商的承诺和最后报价以书面形式确认，并由全权代表签章。</w:t>
      </w:r>
    </w:p>
    <w:p w14:paraId="347969AE">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b/>
          <w:color w:val="000000" w:themeColor="text1"/>
          <w14:textFill>
            <w14:solidFill>
              <w14:schemeClr w14:val="tx1"/>
            </w14:solidFill>
          </w14:textFill>
        </w:rPr>
        <w:t>3</w:t>
      </w:r>
      <w:r>
        <w:rPr>
          <w:rFonts w:hint="eastAsia"/>
          <w:b/>
          <w:color w:val="000000" w:themeColor="text1"/>
          <w:lang w:val="en-US" w:eastAsia="zh-CN"/>
          <w14:textFill>
            <w14:solidFill>
              <w14:schemeClr w14:val="tx1"/>
            </w14:solidFill>
          </w14:textFill>
        </w:rPr>
        <w:t>.</w:t>
      </w:r>
      <w:r>
        <w:rPr>
          <w:b/>
          <w:color w:val="000000" w:themeColor="text1"/>
          <w14:textFill>
            <w14:solidFill>
              <w14:schemeClr w14:val="tx1"/>
            </w14:solidFill>
          </w14:textFill>
        </w:rPr>
        <w:t>磋商过程的保密性</w:t>
      </w:r>
      <w:r>
        <w:rPr>
          <w:color w:val="000000" w:themeColor="text1"/>
          <w14:textFill>
            <w14:solidFill>
              <w14:schemeClr w14:val="tx1"/>
            </w14:solidFill>
          </w14:textFill>
        </w:rPr>
        <w:t xml:space="preserve"> </w:t>
      </w:r>
    </w:p>
    <w:p w14:paraId="4911B526">
      <w:pPr>
        <w:spacing w:line="49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3.1 磋商后，直到向成交的供应商授予合同时止，凡与审查、澄清、评价和比较文件的有关资料以及授标意见等，均不得向供应商及与磋商无关的其他人透露。 </w:t>
      </w:r>
    </w:p>
    <w:p w14:paraId="35B67598">
      <w:pPr>
        <w:spacing w:line="49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 在磋商响应过程中，如果供应商试图在响应文件审查、澄清、比较及授予合同方面向买方施加任何影响，其响应文件将被拒绝。</w:t>
      </w:r>
    </w:p>
    <w:p w14:paraId="2078D7A7">
      <w:pPr>
        <w:spacing w:line="490" w:lineRule="exact"/>
        <w:ind w:firstLine="420" w:firstLineChars="200"/>
        <w:rPr>
          <w:color w:val="000000" w:themeColor="text1"/>
          <w14:textFill>
            <w14:solidFill>
              <w14:schemeClr w14:val="tx1"/>
            </w14:solidFill>
          </w14:textFill>
        </w:rPr>
      </w:pPr>
    </w:p>
    <w:p w14:paraId="1F250471">
      <w:pPr>
        <w:spacing w:line="490" w:lineRule="exact"/>
        <w:ind w:firstLine="420" w:firstLineChars="200"/>
        <w:rPr>
          <w:color w:val="000000" w:themeColor="text1"/>
          <w14:textFill>
            <w14:solidFill>
              <w14:schemeClr w14:val="tx1"/>
            </w14:solidFill>
          </w14:textFill>
        </w:rPr>
      </w:pPr>
    </w:p>
    <w:p w14:paraId="50612D73">
      <w:pPr>
        <w:spacing w:line="490" w:lineRule="exact"/>
        <w:ind w:firstLine="420" w:firstLineChars="200"/>
        <w:rPr>
          <w:color w:val="000000" w:themeColor="text1"/>
          <w14:textFill>
            <w14:solidFill>
              <w14:schemeClr w14:val="tx1"/>
            </w14:solidFill>
          </w14:textFill>
        </w:rPr>
      </w:pPr>
    </w:p>
    <w:p w14:paraId="0912FECC">
      <w:pPr>
        <w:autoSpaceDE w:val="0"/>
        <w:autoSpaceDN w:val="0"/>
        <w:adjustRightInd w:val="0"/>
        <w:jc w:val="center"/>
        <w:outlineLvl w:val="1"/>
        <w:rPr>
          <w:rFonts w:hint="eastAsia" w:ascii="宋体" w:hAnsi="宋体" w:cs="黑体"/>
          <w:b/>
          <w:color w:val="000000" w:themeColor="text1"/>
          <w:kern w:val="0"/>
          <w:sz w:val="32"/>
          <w:szCs w:val="32"/>
          <w14:textFill>
            <w14:solidFill>
              <w14:schemeClr w14:val="tx1"/>
            </w14:solidFill>
          </w14:textFill>
        </w:rPr>
      </w:pPr>
      <w:bookmarkStart w:id="18" w:name="_Toc2"/>
      <w:bookmarkStart w:id="19" w:name="_Toc32125"/>
      <w:bookmarkStart w:id="20" w:name="_Toc18234"/>
      <w:r>
        <w:rPr>
          <w:rFonts w:hint="eastAsia" w:ascii="宋体" w:hAnsi="宋体" w:cs="黑体"/>
          <w:b/>
          <w:color w:val="000000" w:themeColor="text1"/>
          <w:kern w:val="0"/>
          <w:sz w:val="32"/>
          <w:szCs w:val="32"/>
          <w:lang w:val="en-US" w:eastAsia="zh-CN"/>
          <w14:textFill>
            <w14:solidFill>
              <w14:schemeClr w14:val="tx1"/>
            </w14:solidFill>
          </w14:textFill>
        </w:rPr>
        <w:t>二、</w:t>
      </w:r>
      <w:r>
        <w:rPr>
          <w:rFonts w:hint="eastAsia" w:ascii="宋体" w:hAnsi="宋体" w:cs="黑体"/>
          <w:b/>
          <w:color w:val="000000" w:themeColor="text1"/>
          <w:kern w:val="0"/>
          <w:sz w:val="32"/>
          <w:szCs w:val="32"/>
          <w14:textFill>
            <w14:solidFill>
              <w14:schemeClr w14:val="tx1"/>
            </w14:solidFill>
          </w14:textFill>
        </w:rPr>
        <w:t>评标标准</w:t>
      </w:r>
      <w:bookmarkEnd w:id="18"/>
      <w:r>
        <w:rPr>
          <w:rFonts w:hint="eastAsia" w:ascii="宋体" w:hAnsi="宋体" w:cs="黑体"/>
          <w:b/>
          <w:color w:val="000000" w:themeColor="text1"/>
          <w:kern w:val="0"/>
          <w:sz w:val="32"/>
          <w:szCs w:val="32"/>
          <w14:textFill>
            <w14:solidFill>
              <w14:schemeClr w14:val="tx1"/>
            </w14:solidFill>
          </w14:textFill>
        </w:rPr>
        <w:t xml:space="preserve"> </w:t>
      </w:r>
      <w:bookmarkStart w:id="21" w:name="_Toc20477"/>
      <w:r>
        <w:rPr>
          <w:rFonts w:hint="eastAsia" w:ascii="宋体" w:hAnsi="宋体" w:cs="黑体"/>
          <w:b/>
          <w:color w:val="000000" w:themeColor="text1"/>
          <w:kern w:val="0"/>
          <w:sz w:val="32"/>
          <w:szCs w:val="32"/>
          <w14:textFill>
            <w14:solidFill>
              <w14:schemeClr w14:val="tx1"/>
            </w14:solidFill>
          </w14:textFill>
        </w:rPr>
        <w:t>（综合评分法）</w:t>
      </w:r>
      <w:bookmarkEnd w:id="19"/>
      <w:bookmarkEnd w:id="20"/>
      <w:bookmarkEnd w:id="21"/>
      <w:r>
        <w:rPr>
          <w:rFonts w:hint="eastAsia" w:ascii="宋体" w:hAnsi="宋体" w:cs="黑体"/>
          <w:b/>
          <w:color w:val="000000" w:themeColor="text1"/>
          <w:kern w:val="0"/>
          <w:sz w:val="32"/>
          <w:szCs w:val="32"/>
          <w14:textFill>
            <w14:solidFill>
              <w14:schemeClr w14:val="tx1"/>
            </w14:solidFill>
          </w14:textFill>
        </w:rPr>
        <w:t xml:space="preserve"> </w:t>
      </w:r>
    </w:p>
    <w:tbl>
      <w:tblPr>
        <w:tblStyle w:val="35"/>
        <w:tblW w:w="9220"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133"/>
        <w:gridCol w:w="1559"/>
        <w:gridCol w:w="5568"/>
      </w:tblGrid>
      <w:tr w14:paraId="016931D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0" w:type="dxa"/>
            <w:tcBorders>
              <w:top w:val="single" w:color="auto" w:sz="4" w:space="0"/>
            </w:tcBorders>
            <w:shd w:val="clear" w:color="auto" w:fill="auto"/>
            <w:noWrap w:val="0"/>
            <w:vAlign w:val="center"/>
          </w:tcPr>
          <w:p w14:paraId="07DD1552">
            <w:pPr>
              <w:spacing w:line="240" w:lineRule="auto"/>
              <w:ind w:firstLine="0" w:firstLineChars="0"/>
              <w:jc w:val="center"/>
              <w:rPr>
                <w:rFonts w:cs="宋体"/>
                <w:b/>
                <w:bCs/>
                <w:color w:val="auto"/>
                <w:spacing w:val="0"/>
                <w:szCs w:val="21"/>
                <w:highlight w:val="none"/>
                <w:lang w:eastAsia="zh-CN" w:bidi="ar-SA"/>
              </w:rPr>
            </w:pPr>
            <w:r>
              <w:rPr>
                <w:rFonts w:hint="eastAsia" w:cs="宋体"/>
                <w:b/>
                <w:bCs/>
                <w:color w:val="auto"/>
                <w:spacing w:val="0"/>
                <w:szCs w:val="21"/>
                <w:highlight w:val="none"/>
                <w:lang w:eastAsia="zh-CN" w:bidi="ar-SA"/>
              </w:rPr>
              <w:t>序号</w:t>
            </w:r>
          </w:p>
        </w:tc>
        <w:tc>
          <w:tcPr>
            <w:tcW w:w="1133" w:type="dxa"/>
            <w:tcBorders>
              <w:top w:val="single" w:color="auto" w:sz="4" w:space="0"/>
            </w:tcBorders>
            <w:shd w:val="clear" w:color="auto" w:fill="auto"/>
            <w:noWrap w:val="0"/>
            <w:vAlign w:val="center"/>
          </w:tcPr>
          <w:p w14:paraId="592C82DC">
            <w:pPr>
              <w:spacing w:line="240" w:lineRule="auto"/>
              <w:ind w:firstLine="0" w:firstLineChars="0"/>
              <w:jc w:val="center"/>
              <w:rPr>
                <w:rFonts w:hint="eastAsia" w:cs="宋体"/>
                <w:b/>
                <w:bCs/>
                <w:color w:val="auto"/>
                <w:spacing w:val="0"/>
                <w:szCs w:val="21"/>
                <w:highlight w:val="none"/>
                <w:lang w:eastAsia="zh-CN" w:bidi="ar-SA"/>
              </w:rPr>
            </w:pPr>
            <w:r>
              <w:rPr>
                <w:rFonts w:hint="eastAsia" w:cs="宋体"/>
                <w:b/>
                <w:bCs/>
                <w:color w:val="auto"/>
                <w:spacing w:val="0"/>
                <w:szCs w:val="21"/>
                <w:highlight w:val="none"/>
                <w:lang w:eastAsia="zh-CN" w:bidi="ar-SA"/>
              </w:rPr>
              <w:t>评分项目</w:t>
            </w:r>
          </w:p>
        </w:tc>
        <w:tc>
          <w:tcPr>
            <w:tcW w:w="1559" w:type="dxa"/>
            <w:tcBorders>
              <w:top w:val="single" w:color="auto" w:sz="4" w:space="0"/>
            </w:tcBorders>
            <w:shd w:val="clear" w:color="auto" w:fill="auto"/>
            <w:noWrap w:val="0"/>
            <w:vAlign w:val="center"/>
          </w:tcPr>
          <w:p w14:paraId="1CEF9629">
            <w:pPr>
              <w:spacing w:line="240" w:lineRule="auto"/>
              <w:ind w:firstLine="0" w:firstLineChars="0"/>
              <w:jc w:val="center"/>
              <w:rPr>
                <w:rFonts w:hint="eastAsia" w:cs="宋体"/>
                <w:b/>
                <w:bCs/>
                <w:color w:val="auto"/>
                <w:spacing w:val="0"/>
                <w:szCs w:val="21"/>
                <w:highlight w:val="none"/>
                <w:lang w:eastAsia="zh-CN" w:bidi="ar-SA"/>
              </w:rPr>
            </w:pPr>
            <w:r>
              <w:rPr>
                <w:rFonts w:hint="eastAsia" w:cs="宋体"/>
                <w:b/>
                <w:bCs/>
                <w:color w:val="auto"/>
                <w:spacing w:val="0"/>
                <w:szCs w:val="21"/>
                <w:highlight w:val="none"/>
                <w:lang w:eastAsia="zh-CN" w:bidi="ar-SA"/>
              </w:rPr>
              <w:t>评分基础</w:t>
            </w:r>
          </w:p>
        </w:tc>
        <w:tc>
          <w:tcPr>
            <w:tcW w:w="5568" w:type="dxa"/>
            <w:tcBorders>
              <w:top w:val="single" w:color="auto" w:sz="4" w:space="0"/>
            </w:tcBorders>
            <w:shd w:val="clear" w:color="auto" w:fill="auto"/>
            <w:noWrap w:val="0"/>
            <w:vAlign w:val="center"/>
          </w:tcPr>
          <w:p w14:paraId="506BFB13">
            <w:pPr>
              <w:spacing w:line="240" w:lineRule="auto"/>
              <w:ind w:firstLine="0" w:firstLineChars="0"/>
              <w:jc w:val="center"/>
              <w:rPr>
                <w:rFonts w:hint="eastAsia" w:cs="宋体"/>
                <w:b/>
                <w:bCs/>
                <w:color w:val="auto"/>
                <w:spacing w:val="0"/>
                <w:szCs w:val="21"/>
                <w:highlight w:val="none"/>
                <w:lang w:eastAsia="zh-CN" w:bidi="ar-SA"/>
              </w:rPr>
            </w:pPr>
            <w:r>
              <w:rPr>
                <w:rFonts w:hint="eastAsia" w:cs="宋体"/>
                <w:b/>
                <w:bCs/>
                <w:color w:val="auto"/>
                <w:spacing w:val="0"/>
                <w:szCs w:val="21"/>
                <w:highlight w:val="none"/>
                <w:lang w:eastAsia="zh-CN" w:bidi="ar-SA"/>
              </w:rPr>
              <w:t>评分标准</w:t>
            </w:r>
          </w:p>
        </w:tc>
      </w:tr>
      <w:tr w14:paraId="4C3073E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960" w:type="dxa"/>
            <w:shd w:val="clear" w:color="auto" w:fill="auto"/>
            <w:noWrap/>
            <w:vAlign w:val="center"/>
          </w:tcPr>
          <w:p w14:paraId="389CFC91">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1</w:t>
            </w:r>
          </w:p>
        </w:tc>
        <w:tc>
          <w:tcPr>
            <w:tcW w:w="1133" w:type="dxa"/>
            <w:shd w:val="clear" w:color="auto" w:fill="auto"/>
            <w:noWrap/>
            <w:vAlign w:val="center"/>
          </w:tcPr>
          <w:p w14:paraId="2055F55F">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投标报价(10分)</w:t>
            </w:r>
          </w:p>
        </w:tc>
        <w:tc>
          <w:tcPr>
            <w:tcW w:w="1559" w:type="dxa"/>
            <w:shd w:val="clear" w:color="auto" w:fill="auto"/>
            <w:noWrap/>
            <w:vAlign w:val="center"/>
          </w:tcPr>
          <w:p w14:paraId="1CF0A854">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10分</w:t>
            </w:r>
          </w:p>
        </w:tc>
        <w:tc>
          <w:tcPr>
            <w:tcW w:w="5568" w:type="dxa"/>
            <w:shd w:val="clear" w:color="auto" w:fill="auto"/>
            <w:noWrap w:val="0"/>
            <w:vAlign w:val="bottom"/>
          </w:tcPr>
          <w:p w14:paraId="48B6B788">
            <w:pPr>
              <w:ind w:firstLine="0" w:firstLineChars="0"/>
              <w:jc w:val="both"/>
              <w:rPr>
                <w:rFonts w:cs="宋体"/>
                <w:color w:val="auto"/>
                <w:spacing w:val="0"/>
                <w:szCs w:val="21"/>
                <w:highlight w:val="none"/>
                <w:lang w:eastAsia="zh-CN" w:bidi="ar-SA"/>
              </w:rPr>
            </w:pPr>
            <w:r>
              <w:rPr>
                <w:rFonts w:hint="eastAsia" w:cs="宋体"/>
                <w:color w:val="auto"/>
                <w:spacing w:val="0"/>
                <w:szCs w:val="21"/>
                <w:highlight w:val="none"/>
                <w:lang w:eastAsia="zh-CN" w:bidi="ar-SA"/>
              </w:rPr>
              <w:t>根据政府采购货物和服务招标投标管理办法(财政部令第87号)第五十五条规定，本次项目投标报价分满分为10分，采用低价优先法计算，即满足招标文件要求且投标价格最低的投标报价为评标基准价，其价格分为满分。其他投标人的价格分统一按照下列公式计算:投标报价得分=(评标基准价/投标报价)</w:t>
            </w:r>
            <w:r>
              <w:rPr>
                <w:rFonts w:hint="eastAsia" w:cs="宋体"/>
                <w:color w:val="auto"/>
                <w:highlight w:val="none"/>
                <w:lang w:eastAsia="zh-CN"/>
              </w:rPr>
              <w:t>×</w:t>
            </w:r>
            <w:r>
              <w:rPr>
                <w:rFonts w:hint="eastAsia" w:cs="宋体"/>
                <w:color w:val="auto"/>
                <w:spacing w:val="0"/>
                <w:szCs w:val="21"/>
                <w:highlight w:val="none"/>
                <w:lang w:eastAsia="zh-CN" w:bidi="ar-SA"/>
              </w:rPr>
              <w:t>10%</w:t>
            </w:r>
            <w:r>
              <w:rPr>
                <w:rFonts w:hint="eastAsia" w:cs="宋体"/>
                <w:color w:val="auto"/>
                <w:highlight w:val="none"/>
              </w:rPr>
              <w:t>×</w:t>
            </w:r>
            <w:r>
              <w:rPr>
                <w:rFonts w:hint="eastAsia" w:cs="宋体"/>
                <w:color w:val="auto"/>
                <w:spacing w:val="0"/>
                <w:szCs w:val="21"/>
                <w:highlight w:val="none"/>
                <w:lang w:eastAsia="zh-CN" w:bidi="ar-SA"/>
              </w:rPr>
              <w:t>100;</w:t>
            </w:r>
          </w:p>
          <w:p w14:paraId="67EE429A">
            <w:pPr>
              <w:ind w:firstLine="0" w:firstLineChars="0"/>
              <w:jc w:val="both"/>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根据政府采购货物和服务招标投标管理办法(财政部令第87号)第六十条规定，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14:paraId="120654D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960" w:type="dxa"/>
            <w:shd w:val="clear" w:color="auto" w:fill="auto"/>
            <w:noWrap/>
            <w:vAlign w:val="center"/>
          </w:tcPr>
          <w:p w14:paraId="7DE780E9">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2</w:t>
            </w:r>
          </w:p>
        </w:tc>
        <w:tc>
          <w:tcPr>
            <w:tcW w:w="1133" w:type="dxa"/>
            <w:vMerge w:val="restart"/>
            <w:shd w:val="clear" w:color="auto" w:fill="auto"/>
            <w:noWrap/>
            <w:vAlign w:val="center"/>
          </w:tcPr>
          <w:p w14:paraId="4F44C8DA">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商务部分（30分）</w:t>
            </w:r>
          </w:p>
        </w:tc>
        <w:tc>
          <w:tcPr>
            <w:tcW w:w="1559" w:type="dxa"/>
            <w:shd w:val="clear" w:color="auto" w:fill="auto"/>
            <w:noWrap w:val="0"/>
            <w:vAlign w:val="center"/>
          </w:tcPr>
          <w:p w14:paraId="00E78385">
            <w:pPr>
              <w:ind w:firstLine="0" w:firstLineChars="0"/>
              <w:jc w:val="center"/>
              <w:rPr>
                <w:rFonts w:cs="宋体"/>
                <w:color w:val="auto"/>
                <w:spacing w:val="0"/>
                <w:szCs w:val="21"/>
                <w:highlight w:val="none"/>
                <w:lang w:eastAsia="zh-CN" w:bidi="ar-SA"/>
              </w:rPr>
            </w:pPr>
            <w:r>
              <w:rPr>
                <w:rFonts w:hint="eastAsia" w:cs="宋体"/>
                <w:color w:val="auto"/>
                <w:spacing w:val="0"/>
                <w:szCs w:val="21"/>
                <w:highlight w:val="none"/>
                <w:lang w:eastAsia="zh-CN" w:bidi="ar-SA"/>
              </w:rPr>
              <w:t>投标人综合实</w:t>
            </w:r>
          </w:p>
          <w:p w14:paraId="5BDD2AA0">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（15分）</w:t>
            </w:r>
          </w:p>
        </w:tc>
        <w:tc>
          <w:tcPr>
            <w:tcW w:w="5568" w:type="dxa"/>
            <w:shd w:val="clear" w:color="auto" w:fill="auto"/>
            <w:noWrap w:val="0"/>
            <w:vAlign w:val="bottom"/>
          </w:tcPr>
          <w:p w14:paraId="43F5FE7E">
            <w:pPr>
              <w:ind w:firstLine="0" w:firstLineChars="0"/>
              <w:rPr>
                <w:rFonts w:cs="宋体"/>
                <w:color w:val="auto"/>
                <w:spacing w:val="0"/>
                <w:szCs w:val="21"/>
                <w:highlight w:val="none"/>
                <w:lang w:eastAsia="zh-CN" w:bidi="ar-SA"/>
              </w:rPr>
            </w:pPr>
            <w:r>
              <w:rPr>
                <w:rFonts w:hint="eastAsia" w:cs="宋体"/>
                <w:color w:val="auto"/>
                <w:spacing w:val="0"/>
                <w:szCs w:val="21"/>
                <w:highlight w:val="none"/>
                <w:lang w:eastAsia="zh-CN" w:bidi="ar-SA"/>
              </w:rPr>
              <w:t>1.</w:t>
            </w:r>
            <w:r>
              <w:rPr>
                <w:rFonts w:hint="eastAsia" w:cs="宋体"/>
                <w:color w:val="auto"/>
                <w:highlight w:val="none"/>
                <w:lang w:eastAsia="zh-CN"/>
              </w:rPr>
              <w:t>同时具有安全生产许可证、ISO9001质量管理体系认证证书、职业健康安全管理体系认证证书、环境管理体系认证证书和</w:t>
            </w:r>
            <w:r>
              <w:rPr>
                <w:rFonts w:hint="eastAsia" w:cs="宋体"/>
                <w:color w:val="auto"/>
                <w:highlight w:val="none"/>
                <w:u w:val="none"/>
                <w:lang w:val="en-US" w:eastAsia="zh-CN"/>
              </w:rPr>
              <w:t>3A信用证书</w:t>
            </w:r>
            <w:r>
              <w:rPr>
                <w:rFonts w:hint="eastAsia" w:cs="宋体"/>
                <w:color w:val="auto"/>
                <w:highlight w:val="none"/>
                <w:lang w:eastAsia="zh-CN"/>
              </w:rPr>
              <w:t>得</w:t>
            </w:r>
            <w:r>
              <w:rPr>
                <w:rFonts w:hint="eastAsia" w:cs="宋体"/>
                <w:color w:val="auto"/>
                <w:highlight w:val="none"/>
                <w:u w:val="none"/>
                <w:lang w:val="en-US" w:eastAsia="zh-CN"/>
              </w:rPr>
              <w:t>5</w:t>
            </w:r>
            <w:r>
              <w:rPr>
                <w:rFonts w:hint="eastAsia" w:cs="宋体"/>
                <w:color w:val="auto"/>
                <w:highlight w:val="none"/>
                <w:u w:val="none"/>
                <w:lang w:eastAsia="zh-CN"/>
              </w:rPr>
              <w:t>分</w:t>
            </w:r>
            <w:r>
              <w:rPr>
                <w:rFonts w:hint="eastAsia" w:cs="宋体"/>
                <w:color w:val="auto"/>
                <w:highlight w:val="none"/>
                <w:lang w:eastAsia="zh-CN"/>
              </w:rPr>
              <w:t>，少一项不得分；（须提供资质证书）</w:t>
            </w:r>
          </w:p>
          <w:p w14:paraId="6B212F3B">
            <w:pPr>
              <w:ind w:firstLine="0" w:firstLineChars="0"/>
              <w:rPr>
                <w:rFonts w:hint="eastAsia" w:cs="宋体"/>
                <w:color w:val="auto"/>
                <w:spacing w:val="0"/>
                <w:szCs w:val="21"/>
                <w:highlight w:val="none"/>
                <w:lang w:eastAsia="zh-CN" w:bidi="ar-SA"/>
              </w:rPr>
            </w:pPr>
            <w:r>
              <w:rPr>
                <w:rFonts w:hint="eastAsia" w:cs="宋体"/>
                <w:color w:val="auto"/>
                <w:spacing w:val="0"/>
                <w:szCs w:val="21"/>
                <w:highlight w:val="none"/>
                <w:lang w:val="en-US" w:eastAsia="zh-CN" w:bidi="ar-SA"/>
              </w:rPr>
              <w:t>2</w:t>
            </w:r>
            <w:r>
              <w:rPr>
                <w:rFonts w:hint="eastAsia" w:cs="宋体"/>
                <w:color w:val="auto"/>
                <w:spacing w:val="0"/>
                <w:szCs w:val="21"/>
                <w:highlight w:val="none"/>
                <w:lang w:eastAsia="zh-CN" w:bidi="ar-SA"/>
              </w:rPr>
              <w:t>.</w:t>
            </w:r>
            <w:r>
              <w:rPr>
                <w:rFonts w:hint="eastAsia" w:cs="宋体"/>
                <w:color w:val="auto"/>
                <w:spacing w:val="0"/>
                <w:szCs w:val="21"/>
                <w:highlight w:val="none"/>
                <w:u w:val="none"/>
                <w:lang w:eastAsia="zh-CN" w:bidi="ar-SA"/>
              </w:rPr>
              <w:t>具有类似确权登记项目的业绩，</w:t>
            </w:r>
            <w:r>
              <w:rPr>
                <w:rFonts w:hint="eastAsia" w:cs="宋体"/>
                <w:color w:val="auto"/>
                <w:spacing w:val="0"/>
                <w:szCs w:val="21"/>
                <w:highlight w:val="none"/>
                <w:lang w:eastAsia="zh-CN" w:bidi="ar-SA"/>
              </w:rPr>
              <w:t>每增加一项</w:t>
            </w:r>
            <w:r>
              <w:rPr>
                <w:rFonts w:hint="eastAsia" w:cs="宋体"/>
                <w:color w:val="auto"/>
                <w:spacing w:val="0"/>
                <w:szCs w:val="21"/>
                <w:highlight w:val="none"/>
                <w:u w:val="none"/>
                <w:lang w:eastAsia="zh-CN" w:bidi="ar-SA"/>
              </w:rPr>
              <w:t>得</w:t>
            </w:r>
            <w:r>
              <w:rPr>
                <w:rFonts w:hint="eastAsia" w:cs="宋体"/>
                <w:color w:val="auto"/>
                <w:spacing w:val="0"/>
                <w:szCs w:val="21"/>
                <w:highlight w:val="none"/>
                <w:u w:val="none"/>
                <w:lang w:val="en-US" w:eastAsia="zh-CN" w:bidi="ar-SA"/>
              </w:rPr>
              <w:t>2</w:t>
            </w:r>
            <w:r>
              <w:rPr>
                <w:rFonts w:hint="eastAsia" w:cs="宋体"/>
                <w:color w:val="auto"/>
                <w:spacing w:val="0"/>
                <w:szCs w:val="21"/>
                <w:highlight w:val="none"/>
                <w:u w:val="none"/>
                <w:lang w:eastAsia="zh-CN" w:bidi="ar-SA"/>
              </w:rPr>
              <w:t>分，满分</w:t>
            </w:r>
            <w:r>
              <w:rPr>
                <w:rFonts w:hint="eastAsia" w:cs="宋体"/>
                <w:color w:val="auto"/>
                <w:spacing w:val="0"/>
                <w:szCs w:val="21"/>
                <w:highlight w:val="none"/>
                <w:u w:val="none"/>
                <w:lang w:val="en-US" w:eastAsia="zh-CN" w:bidi="ar-SA"/>
              </w:rPr>
              <w:t>10</w:t>
            </w:r>
            <w:r>
              <w:rPr>
                <w:rFonts w:hint="eastAsia" w:cs="宋体"/>
                <w:color w:val="auto"/>
                <w:spacing w:val="0"/>
                <w:szCs w:val="21"/>
                <w:highlight w:val="none"/>
                <w:u w:val="none"/>
                <w:lang w:eastAsia="zh-CN" w:bidi="ar-SA"/>
              </w:rPr>
              <w:t>分</w:t>
            </w:r>
            <w:r>
              <w:rPr>
                <w:rFonts w:hint="eastAsia" w:cs="宋体"/>
                <w:color w:val="auto"/>
                <w:spacing w:val="0"/>
                <w:szCs w:val="21"/>
                <w:highlight w:val="none"/>
                <w:lang w:eastAsia="zh-CN" w:bidi="ar-SA"/>
              </w:rPr>
              <w:t>。</w:t>
            </w:r>
            <w:r>
              <w:rPr>
                <w:rFonts w:hint="eastAsia" w:cs="宋体"/>
                <w:color w:val="auto"/>
                <w:highlight w:val="none"/>
                <w:lang w:eastAsia="zh-CN"/>
              </w:rPr>
              <w:t>（须提供合同或中标通知书）</w:t>
            </w:r>
          </w:p>
        </w:tc>
      </w:tr>
      <w:tr w14:paraId="2CEBF66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60" w:type="dxa"/>
            <w:shd w:val="clear" w:color="auto" w:fill="auto"/>
            <w:noWrap/>
            <w:vAlign w:val="center"/>
          </w:tcPr>
          <w:p w14:paraId="30DDAF54">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3</w:t>
            </w:r>
          </w:p>
        </w:tc>
        <w:tc>
          <w:tcPr>
            <w:tcW w:w="1133" w:type="dxa"/>
            <w:vMerge w:val="continue"/>
            <w:shd w:val="clear" w:color="auto" w:fill="auto"/>
            <w:noWrap w:val="0"/>
            <w:vAlign w:val="center"/>
          </w:tcPr>
          <w:p w14:paraId="7779B103">
            <w:pPr>
              <w:ind w:firstLine="0" w:firstLineChars="0"/>
              <w:rPr>
                <w:rFonts w:cs="宋体"/>
                <w:color w:val="auto"/>
                <w:spacing w:val="0"/>
                <w:szCs w:val="21"/>
                <w:highlight w:val="none"/>
                <w:lang w:eastAsia="zh-CN" w:bidi="ar-SA"/>
              </w:rPr>
            </w:pPr>
          </w:p>
        </w:tc>
        <w:tc>
          <w:tcPr>
            <w:tcW w:w="1559" w:type="dxa"/>
            <w:shd w:val="clear" w:color="auto" w:fill="auto"/>
            <w:noWrap w:val="0"/>
            <w:vAlign w:val="center"/>
          </w:tcPr>
          <w:p w14:paraId="21FD5ADC">
            <w:pPr>
              <w:ind w:firstLine="0" w:firstLineChars="0"/>
              <w:jc w:val="center"/>
              <w:rPr>
                <w:rFonts w:cs="宋体"/>
                <w:color w:val="auto"/>
                <w:spacing w:val="0"/>
                <w:szCs w:val="21"/>
                <w:highlight w:val="none"/>
                <w:lang w:eastAsia="zh-CN" w:bidi="ar-SA"/>
              </w:rPr>
            </w:pPr>
            <w:r>
              <w:rPr>
                <w:rFonts w:hint="eastAsia" w:cs="宋体"/>
                <w:color w:val="auto"/>
                <w:spacing w:val="0"/>
                <w:szCs w:val="21"/>
                <w:highlight w:val="none"/>
                <w:lang w:eastAsia="zh-CN" w:bidi="ar-SA"/>
              </w:rPr>
              <w:t>人员配置及专业结构</w:t>
            </w:r>
          </w:p>
          <w:p w14:paraId="71F41C78">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(15分)</w:t>
            </w:r>
          </w:p>
        </w:tc>
        <w:tc>
          <w:tcPr>
            <w:tcW w:w="5568" w:type="dxa"/>
            <w:shd w:val="clear" w:color="auto" w:fill="auto"/>
            <w:noWrap w:val="0"/>
            <w:vAlign w:val="bottom"/>
          </w:tcPr>
          <w:p w14:paraId="49682C41">
            <w:pPr>
              <w:ind w:firstLine="0" w:firstLineChars="0"/>
              <w:rPr>
                <w:rFonts w:cs="宋体"/>
                <w:color w:val="auto"/>
                <w:spacing w:val="0"/>
                <w:szCs w:val="21"/>
                <w:highlight w:val="none"/>
                <w:lang w:eastAsia="zh-CN" w:bidi="ar-SA"/>
              </w:rPr>
            </w:pPr>
            <w:r>
              <w:rPr>
                <w:rFonts w:hint="eastAsia" w:cs="宋体"/>
                <w:color w:val="auto"/>
                <w:spacing w:val="0"/>
                <w:szCs w:val="21"/>
                <w:highlight w:val="none"/>
                <w:lang w:eastAsia="zh-CN" w:bidi="ar-SA"/>
              </w:rPr>
              <w:t>1.项目负责人具有注册测绘师和高级职称的得3分，不提供则不得分；</w:t>
            </w:r>
          </w:p>
          <w:p w14:paraId="726ADC29">
            <w:pPr>
              <w:ind w:firstLine="0" w:firstLineChars="0"/>
              <w:rPr>
                <w:rFonts w:cs="宋体"/>
                <w:color w:val="auto"/>
                <w:spacing w:val="0"/>
                <w:szCs w:val="21"/>
                <w:highlight w:val="none"/>
                <w:lang w:eastAsia="zh-CN" w:bidi="ar-SA"/>
              </w:rPr>
            </w:pPr>
            <w:r>
              <w:rPr>
                <w:rFonts w:hint="eastAsia" w:cs="宋体"/>
                <w:color w:val="auto"/>
                <w:spacing w:val="0"/>
                <w:szCs w:val="21"/>
                <w:highlight w:val="none"/>
                <w:lang w:eastAsia="zh-CN" w:bidi="ar-SA"/>
              </w:rPr>
              <w:t>2.拟投入本项目的人员中每有一个副高级及以上职称的得1分(须提供专业技术资格证书及单位购买社保记录(满分6分)；</w:t>
            </w:r>
          </w:p>
          <w:p w14:paraId="198B9B97">
            <w:pPr>
              <w:ind w:firstLine="0" w:firstLineChars="0"/>
              <w:rPr>
                <w:rFonts w:cs="宋体"/>
                <w:color w:val="auto"/>
                <w:spacing w:val="0"/>
                <w:szCs w:val="21"/>
                <w:highlight w:val="none"/>
                <w:lang w:eastAsia="zh-CN" w:bidi="ar-SA"/>
              </w:rPr>
            </w:pPr>
            <w:r>
              <w:rPr>
                <w:rFonts w:hint="eastAsia" w:cs="宋体"/>
                <w:color w:val="auto"/>
                <w:spacing w:val="0"/>
                <w:szCs w:val="21"/>
                <w:highlight w:val="none"/>
                <w:lang w:eastAsia="zh-CN" w:bidi="ar-SA"/>
              </w:rPr>
              <w:t>3.拟投入本项目的人员中每有一个注册测绘师资格证书的</w:t>
            </w:r>
            <w:r>
              <w:rPr>
                <w:rFonts w:hint="eastAsia" w:cs="宋体"/>
                <w:color w:val="auto"/>
                <w:spacing w:val="0"/>
                <w:szCs w:val="21"/>
                <w:highlight w:val="none"/>
                <w:u w:val="none"/>
                <w:lang w:eastAsia="zh-CN" w:bidi="ar-SA"/>
              </w:rPr>
              <w:t>得</w:t>
            </w:r>
            <w:r>
              <w:rPr>
                <w:rFonts w:hint="eastAsia" w:cs="宋体"/>
                <w:color w:val="auto"/>
                <w:spacing w:val="0"/>
                <w:szCs w:val="21"/>
                <w:highlight w:val="none"/>
                <w:u w:val="none"/>
                <w:lang w:val="en-US" w:eastAsia="zh-CN" w:bidi="ar-SA"/>
              </w:rPr>
              <w:t>3</w:t>
            </w:r>
            <w:r>
              <w:rPr>
                <w:rFonts w:hint="eastAsia" w:cs="宋体"/>
                <w:color w:val="auto"/>
                <w:spacing w:val="0"/>
                <w:szCs w:val="21"/>
                <w:highlight w:val="none"/>
                <w:u w:val="none"/>
                <w:lang w:eastAsia="zh-CN" w:bidi="ar-SA"/>
              </w:rPr>
              <w:t>分</w:t>
            </w:r>
            <w:r>
              <w:rPr>
                <w:rFonts w:hint="eastAsia" w:cs="宋体"/>
                <w:color w:val="auto"/>
                <w:spacing w:val="0"/>
                <w:szCs w:val="21"/>
                <w:highlight w:val="none"/>
                <w:lang w:eastAsia="zh-CN" w:bidi="ar-SA"/>
              </w:rPr>
              <w:t>(须提供专业技术资格证书及单位购买社保记录)(满分6分)。</w:t>
            </w:r>
          </w:p>
          <w:p w14:paraId="3A52C0E1">
            <w:pPr>
              <w:ind w:firstLine="0" w:firstLineChars="0"/>
              <w:rPr>
                <w:rFonts w:hint="eastAsia"/>
                <w:color w:val="auto"/>
                <w:highlight w:val="none"/>
                <w:lang w:eastAsia="zh-CN" w:bidi="ar-SA"/>
              </w:rPr>
            </w:pPr>
            <w:r>
              <w:rPr>
                <w:rFonts w:hint="eastAsia" w:cs="宋体"/>
                <w:color w:val="auto"/>
                <w:spacing w:val="0"/>
                <w:szCs w:val="21"/>
                <w:highlight w:val="none"/>
                <w:lang w:eastAsia="zh-CN" w:bidi="ar-SA"/>
              </w:rPr>
              <w:t>提供：有效的身份证（正反面）、职称证书及不少于3个月的2023年社保（含养老保险）缴纳记录。</w:t>
            </w:r>
          </w:p>
        </w:tc>
      </w:tr>
      <w:tr w14:paraId="5042BC4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60" w:type="dxa"/>
            <w:tcBorders>
              <w:bottom w:val="single" w:color="auto" w:sz="4" w:space="0"/>
            </w:tcBorders>
            <w:shd w:val="clear" w:color="auto" w:fill="auto"/>
            <w:noWrap/>
            <w:vAlign w:val="center"/>
          </w:tcPr>
          <w:p w14:paraId="73AA056D">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4</w:t>
            </w:r>
          </w:p>
        </w:tc>
        <w:tc>
          <w:tcPr>
            <w:tcW w:w="1133" w:type="dxa"/>
            <w:vMerge w:val="restart"/>
            <w:tcBorders>
              <w:bottom w:val="single" w:color="auto" w:sz="4" w:space="0"/>
            </w:tcBorders>
            <w:shd w:val="clear" w:color="auto" w:fill="auto"/>
            <w:noWrap w:val="0"/>
            <w:vAlign w:val="center"/>
          </w:tcPr>
          <w:p w14:paraId="2B251EB5">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技术部分评分标准（60分）</w:t>
            </w:r>
          </w:p>
        </w:tc>
        <w:tc>
          <w:tcPr>
            <w:tcW w:w="1559" w:type="dxa"/>
            <w:tcBorders>
              <w:bottom w:val="single" w:color="auto" w:sz="4" w:space="0"/>
            </w:tcBorders>
            <w:shd w:val="clear" w:color="auto" w:fill="auto"/>
            <w:noWrap w:val="0"/>
            <w:vAlign w:val="center"/>
          </w:tcPr>
          <w:p w14:paraId="147C4E38">
            <w:pPr>
              <w:ind w:firstLine="0" w:firstLineChars="0"/>
              <w:jc w:val="center"/>
              <w:rPr>
                <w:rFonts w:cs="宋体"/>
                <w:color w:val="auto"/>
                <w:spacing w:val="0"/>
                <w:szCs w:val="21"/>
                <w:highlight w:val="none"/>
                <w:lang w:eastAsia="zh-CN" w:bidi="ar-SA"/>
              </w:rPr>
            </w:pPr>
            <w:r>
              <w:rPr>
                <w:rFonts w:hint="eastAsia" w:cs="宋体"/>
                <w:color w:val="auto"/>
                <w:spacing w:val="0"/>
                <w:szCs w:val="21"/>
                <w:highlight w:val="none"/>
                <w:lang w:eastAsia="zh-CN" w:bidi="ar-SA"/>
              </w:rPr>
              <w:t>对项目理解及分析</w:t>
            </w:r>
          </w:p>
          <w:p w14:paraId="6C9579A3">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（10分）</w:t>
            </w:r>
          </w:p>
        </w:tc>
        <w:tc>
          <w:tcPr>
            <w:tcW w:w="5568" w:type="dxa"/>
            <w:tcBorders>
              <w:bottom w:val="single" w:color="auto" w:sz="4" w:space="0"/>
            </w:tcBorders>
            <w:shd w:val="clear" w:color="auto" w:fill="auto"/>
            <w:noWrap w:val="0"/>
            <w:vAlign w:val="center"/>
          </w:tcPr>
          <w:p w14:paraId="3D85C823">
            <w:pPr>
              <w:autoSpaceDE w:val="0"/>
              <w:autoSpaceDN w:val="0"/>
              <w:ind w:firstLine="0" w:firstLineChars="0"/>
              <w:rPr>
                <w:rFonts w:cs="宋体"/>
                <w:color w:val="auto"/>
                <w:highlight w:val="none"/>
                <w:lang w:eastAsia="zh-CN"/>
              </w:rPr>
            </w:pPr>
            <w:r>
              <w:rPr>
                <w:rFonts w:hint="eastAsia" w:cs="宋体"/>
                <w:color w:val="auto"/>
                <w:highlight w:val="none"/>
                <w:lang w:eastAsia="zh-CN"/>
              </w:rPr>
              <w:t>1</w:t>
            </w:r>
            <w:r>
              <w:rPr>
                <w:rFonts w:cs="宋体"/>
                <w:color w:val="auto"/>
                <w:highlight w:val="none"/>
                <w:lang w:eastAsia="zh-CN"/>
              </w:rPr>
              <w:t>.</w:t>
            </w:r>
            <w:r>
              <w:rPr>
                <w:rFonts w:hint="eastAsia" w:cs="宋体"/>
                <w:color w:val="auto"/>
                <w:highlight w:val="none"/>
                <w:lang w:eastAsia="zh-CN"/>
              </w:rPr>
              <w:t>对项目需求、项目背景、项目目的、项目内容和项目范围理解透彻，能够很好把握重点、条理清楚、思路清晰，对项目实施过程中可能存在的问题及产生问题的原因分析全面科学合理，并提出有针对性的解决方案的得</w:t>
            </w:r>
            <w:r>
              <w:rPr>
                <w:rFonts w:hint="eastAsia" w:cs="宋体"/>
                <w:color w:val="auto"/>
                <w:highlight w:val="none"/>
                <w:lang w:val="en-US" w:eastAsia="zh-CN"/>
              </w:rPr>
              <w:t>8-</w:t>
            </w:r>
            <w:r>
              <w:rPr>
                <w:rFonts w:cs="宋体"/>
                <w:color w:val="auto"/>
                <w:highlight w:val="none"/>
                <w:lang w:eastAsia="zh-CN"/>
              </w:rPr>
              <w:t>10</w:t>
            </w:r>
            <w:r>
              <w:rPr>
                <w:rFonts w:hint="eastAsia" w:cs="宋体"/>
                <w:color w:val="auto"/>
                <w:highlight w:val="none"/>
                <w:lang w:eastAsia="zh-CN"/>
              </w:rPr>
              <w:t>分；</w:t>
            </w:r>
          </w:p>
          <w:p w14:paraId="18AF6845">
            <w:pPr>
              <w:autoSpaceDE w:val="0"/>
              <w:autoSpaceDN w:val="0"/>
              <w:ind w:firstLine="0" w:firstLineChars="0"/>
              <w:rPr>
                <w:rFonts w:cs="宋体"/>
                <w:color w:val="auto"/>
                <w:highlight w:val="none"/>
                <w:lang w:eastAsia="zh-CN"/>
              </w:rPr>
            </w:pPr>
            <w:r>
              <w:rPr>
                <w:rFonts w:hint="eastAsia" w:cs="宋体"/>
                <w:color w:val="auto"/>
                <w:highlight w:val="none"/>
                <w:lang w:eastAsia="zh-CN"/>
              </w:rPr>
              <w:t>2</w:t>
            </w:r>
            <w:r>
              <w:rPr>
                <w:rFonts w:cs="宋体"/>
                <w:color w:val="auto"/>
                <w:highlight w:val="none"/>
                <w:lang w:eastAsia="zh-CN"/>
              </w:rPr>
              <w:t>.</w:t>
            </w:r>
            <w:r>
              <w:rPr>
                <w:rFonts w:hint="eastAsia" w:cs="宋体"/>
                <w:color w:val="auto"/>
                <w:highlight w:val="none"/>
                <w:lang w:eastAsia="zh-CN"/>
              </w:rPr>
              <w:t>对项目需求、项目背景、项目目的、项目内容和项目范围理解粗略，重点把握不准确，条理、思路不清晰，对项目实施过程中可能存在的问题及产生问题的原因分析不全面，提出的解决方案针对性欠缺的得</w:t>
            </w:r>
            <w:r>
              <w:rPr>
                <w:rFonts w:cs="宋体"/>
                <w:color w:val="auto"/>
                <w:highlight w:val="none"/>
                <w:lang w:eastAsia="zh-CN"/>
              </w:rPr>
              <w:t>5</w:t>
            </w:r>
            <w:r>
              <w:rPr>
                <w:rFonts w:hint="eastAsia" w:cs="宋体"/>
                <w:color w:val="auto"/>
                <w:highlight w:val="none"/>
                <w:lang w:eastAsia="zh-CN"/>
              </w:rPr>
              <w:t>-</w:t>
            </w:r>
            <w:r>
              <w:rPr>
                <w:rFonts w:hint="eastAsia" w:cs="宋体"/>
                <w:color w:val="auto"/>
                <w:highlight w:val="none"/>
                <w:lang w:val="en-US" w:eastAsia="zh-CN"/>
              </w:rPr>
              <w:t>7</w:t>
            </w:r>
            <w:r>
              <w:rPr>
                <w:rFonts w:hint="eastAsia" w:cs="宋体"/>
                <w:color w:val="auto"/>
                <w:highlight w:val="none"/>
                <w:lang w:eastAsia="zh-CN"/>
              </w:rPr>
              <w:t>分；</w:t>
            </w:r>
          </w:p>
          <w:p w14:paraId="32DBF008">
            <w:pPr>
              <w:autoSpaceDE w:val="0"/>
              <w:autoSpaceDN w:val="0"/>
              <w:ind w:firstLine="0" w:firstLineChars="0"/>
              <w:rPr>
                <w:rFonts w:cs="宋体"/>
                <w:color w:val="auto"/>
                <w:highlight w:val="none"/>
                <w:lang w:eastAsia="zh-CN"/>
              </w:rPr>
            </w:pPr>
            <w:r>
              <w:rPr>
                <w:rFonts w:hint="eastAsia" w:cs="宋体"/>
                <w:color w:val="auto"/>
                <w:highlight w:val="none"/>
                <w:lang w:eastAsia="zh-CN"/>
              </w:rPr>
              <w:t>3</w:t>
            </w:r>
            <w:r>
              <w:rPr>
                <w:rFonts w:cs="宋体"/>
                <w:color w:val="auto"/>
                <w:highlight w:val="none"/>
                <w:lang w:eastAsia="zh-CN"/>
              </w:rPr>
              <w:t>.</w:t>
            </w:r>
            <w:r>
              <w:rPr>
                <w:rFonts w:hint="eastAsia" w:cs="宋体"/>
                <w:color w:val="auto"/>
                <w:highlight w:val="none"/>
                <w:lang w:eastAsia="zh-CN"/>
              </w:rPr>
              <w:t>对项目需求、项目背景、项目目的、项目内容和项目范围理解有偏差，对项目实施过程中可能存在的问题及产生问题的原因分析不科学、不合理，提出的解决方案无针对性的得1-</w:t>
            </w:r>
            <w:r>
              <w:rPr>
                <w:rFonts w:cs="宋体"/>
                <w:color w:val="auto"/>
                <w:highlight w:val="none"/>
                <w:lang w:eastAsia="zh-CN"/>
              </w:rPr>
              <w:t>4</w:t>
            </w:r>
            <w:r>
              <w:rPr>
                <w:rFonts w:hint="eastAsia" w:cs="宋体"/>
                <w:color w:val="auto"/>
                <w:highlight w:val="none"/>
                <w:lang w:eastAsia="zh-CN"/>
              </w:rPr>
              <w:t>分；</w:t>
            </w:r>
          </w:p>
          <w:p w14:paraId="1FE598D6">
            <w:pPr>
              <w:ind w:firstLine="0" w:firstLineChars="0"/>
              <w:jc w:val="both"/>
              <w:rPr>
                <w:rFonts w:hint="eastAsia" w:cs="宋体"/>
                <w:color w:val="auto"/>
                <w:spacing w:val="0"/>
                <w:szCs w:val="21"/>
                <w:highlight w:val="none"/>
                <w:lang w:eastAsia="zh-CN" w:bidi="ar-SA"/>
              </w:rPr>
            </w:pPr>
            <w:r>
              <w:rPr>
                <w:rFonts w:hint="eastAsia" w:cs="宋体"/>
                <w:color w:val="auto"/>
                <w:highlight w:val="none"/>
                <w:lang w:eastAsia="zh-CN"/>
              </w:rPr>
              <w:t>4</w:t>
            </w:r>
            <w:r>
              <w:rPr>
                <w:rFonts w:cs="宋体"/>
                <w:color w:val="auto"/>
                <w:highlight w:val="none"/>
                <w:lang w:eastAsia="zh-CN"/>
              </w:rPr>
              <w:t>.</w:t>
            </w:r>
            <w:r>
              <w:rPr>
                <w:rFonts w:hint="eastAsia" w:cs="宋体"/>
                <w:color w:val="auto"/>
                <w:highlight w:val="none"/>
                <w:lang w:eastAsia="zh-CN"/>
              </w:rPr>
              <w:t>无项目理解、需求分析、需求响应的不得分。</w:t>
            </w:r>
          </w:p>
        </w:tc>
      </w:tr>
      <w:tr w14:paraId="203B546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960" w:type="dxa"/>
            <w:shd w:val="clear" w:color="auto" w:fill="auto"/>
            <w:noWrap/>
            <w:vAlign w:val="center"/>
          </w:tcPr>
          <w:p w14:paraId="75A841E1">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5</w:t>
            </w:r>
          </w:p>
        </w:tc>
        <w:tc>
          <w:tcPr>
            <w:tcW w:w="1133" w:type="dxa"/>
            <w:vMerge w:val="continue"/>
            <w:shd w:val="clear" w:color="auto" w:fill="auto"/>
            <w:noWrap w:val="0"/>
            <w:vAlign w:val="center"/>
          </w:tcPr>
          <w:p w14:paraId="4DF7C2C4">
            <w:pPr>
              <w:ind w:firstLine="0" w:firstLineChars="0"/>
              <w:rPr>
                <w:rFonts w:cs="宋体"/>
                <w:color w:val="auto"/>
                <w:spacing w:val="0"/>
                <w:szCs w:val="21"/>
                <w:highlight w:val="none"/>
                <w:lang w:eastAsia="zh-CN" w:bidi="ar-SA"/>
              </w:rPr>
            </w:pPr>
          </w:p>
        </w:tc>
        <w:tc>
          <w:tcPr>
            <w:tcW w:w="1559" w:type="dxa"/>
            <w:shd w:val="clear" w:color="auto" w:fill="auto"/>
            <w:noWrap w:val="0"/>
            <w:vAlign w:val="center"/>
          </w:tcPr>
          <w:p w14:paraId="016FECB0">
            <w:pPr>
              <w:ind w:firstLine="0" w:firstLineChars="0"/>
              <w:jc w:val="center"/>
              <w:rPr>
                <w:rFonts w:cs="宋体"/>
                <w:color w:val="auto"/>
                <w:highlight w:val="none"/>
                <w:lang w:eastAsia="zh-CN"/>
              </w:rPr>
            </w:pPr>
            <w:r>
              <w:rPr>
                <w:rFonts w:hint="eastAsia" w:cs="宋体"/>
                <w:color w:val="auto"/>
                <w:highlight w:val="none"/>
                <w:lang w:eastAsia="zh-CN"/>
              </w:rPr>
              <w:t>技术实施方案、工作路线和方法</w:t>
            </w:r>
          </w:p>
          <w:p w14:paraId="56967B39">
            <w:pPr>
              <w:ind w:firstLine="0" w:firstLineChars="0"/>
              <w:jc w:val="center"/>
              <w:rPr>
                <w:rFonts w:hint="eastAsia" w:cs="宋体"/>
                <w:color w:val="auto"/>
                <w:spacing w:val="0"/>
                <w:szCs w:val="21"/>
                <w:highlight w:val="none"/>
                <w:lang w:eastAsia="zh-CN" w:bidi="ar-SA"/>
              </w:rPr>
            </w:pPr>
            <w:r>
              <w:rPr>
                <w:rFonts w:hint="eastAsia" w:cs="宋体"/>
                <w:color w:val="auto"/>
                <w:highlight w:val="none"/>
                <w:lang w:eastAsia="zh-CN"/>
              </w:rPr>
              <w:t>（</w:t>
            </w:r>
            <w:r>
              <w:rPr>
                <w:rFonts w:cs="宋体"/>
                <w:color w:val="auto"/>
                <w:highlight w:val="none"/>
                <w:lang w:eastAsia="zh-CN"/>
              </w:rPr>
              <w:t>20</w:t>
            </w:r>
            <w:r>
              <w:rPr>
                <w:rFonts w:hint="eastAsia" w:cs="宋体"/>
                <w:color w:val="auto"/>
                <w:highlight w:val="none"/>
                <w:lang w:eastAsia="zh-CN"/>
              </w:rPr>
              <w:t>分）</w:t>
            </w:r>
          </w:p>
        </w:tc>
        <w:tc>
          <w:tcPr>
            <w:tcW w:w="5568" w:type="dxa"/>
            <w:shd w:val="clear" w:color="auto" w:fill="auto"/>
            <w:noWrap w:val="0"/>
            <w:vAlign w:val="center"/>
          </w:tcPr>
          <w:p w14:paraId="788ADBA7">
            <w:pPr>
              <w:autoSpaceDE w:val="0"/>
              <w:ind w:firstLine="0" w:firstLineChars="0"/>
              <w:rPr>
                <w:rFonts w:cs="宋体"/>
                <w:color w:val="auto"/>
                <w:highlight w:val="none"/>
                <w:lang w:eastAsia="zh-CN"/>
              </w:rPr>
            </w:pPr>
            <w:r>
              <w:rPr>
                <w:rFonts w:hint="eastAsia" w:cs="宋体"/>
                <w:color w:val="auto"/>
                <w:highlight w:val="none"/>
                <w:lang w:eastAsia="zh-CN"/>
              </w:rPr>
              <w:t>1</w:t>
            </w:r>
            <w:r>
              <w:rPr>
                <w:rFonts w:cs="宋体"/>
                <w:color w:val="auto"/>
                <w:highlight w:val="none"/>
                <w:lang w:eastAsia="zh-CN"/>
              </w:rPr>
              <w:t>.</w:t>
            </w:r>
            <w:r>
              <w:rPr>
                <w:rFonts w:hint="eastAsia" w:cs="宋体"/>
                <w:color w:val="auto"/>
                <w:highlight w:val="none"/>
                <w:lang w:eastAsia="zh-CN"/>
              </w:rPr>
              <w:t>项目技术实施方案、工作路线内容全面具体、思路清晰，方案科学、详细，操作性、针对性、适用性强，能够很好地满足项目需求；技术路线及方法、组织计划及措施操作性强，现场可操作性阐述全面完整，合理可行的得</w:t>
            </w:r>
            <w:r>
              <w:rPr>
                <w:rFonts w:hint="eastAsia" w:cs="宋体"/>
                <w:color w:val="auto"/>
                <w:highlight w:val="none"/>
                <w:lang w:val="en-US" w:eastAsia="zh-CN"/>
              </w:rPr>
              <w:t>16-</w:t>
            </w:r>
            <w:r>
              <w:rPr>
                <w:rFonts w:cs="宋体"/>
                <w:color w:val="auto"/>
                <w:highlight w:val="none"/>
                <w:lang w:eastAsia="zh-CN"/>
              </w:rPr>
              <w:t>20</w:t>
            </w:r>
            <w:r>
              <w:rPr>
                <w:rFonts w:hint="eastAsia" w:cs="宋体"/>
                <w:color w:val="auto"/>
                <w:highlight w:val="none"/>
                <w:lang w:eastAsia="zh-CN"/>
              </w:rPr>
              <w:t>分；</w:t>
            </w:r>
          </w:p>
          <w:p w14:paraId="109709E2">
            <w:pPr>
              <w:autoSpaceDE w:val="0"/>
              <w:ind w:firstLine="0" w:firstLineChars="0"/>
              <w:rPr>
                <w:rFonts w:cs="宋体"/>
                <w:color w:val="auto"/>
                <w:highlight w:val="none"/>
                <w:lang w:eastAsia="zh-CN"/>
              </w:rPr>
            </w:pPr>
            <w:r>
              <w:rPr>
                <w:rFonts w:hint="eastAsia" w:cs="宋体"/>
                <w:color w:val="auto"/>
                <w:highlight w:val="none"/>
                <w:lang w:eastAsia="zh-CN"/>
              </w:rPr>
              <w:t>2</w:t>
            </w:r>
            <w:r>
              <w:rPr>
                <w:rFonts w:cs="宋体"/>
                <w:color w:val="auto"/>
                <w:highlight w:val="none"/>
                <w:lang w:eastAsia="zh-CN"/>
              </w:rPr>
              <w:t>.</w:t>
            </w:r>
            <w:r>
              <w:rPr>
                <w:rFonts w:hint="eastAsia" w:cs="宋体"/>
                <w:color w:val="auto"/>
                <w:highlight w:val="none"/>
                <w:lang w:eastAsia="zh-CN"/>
              </w:rPr>
              <w:t>项目技术实施方案、工作路线内容具体、条理清楚，方案科学，具有一定操作性、针对性、适用性，基本能满足项目需求；技术路线及方法、组织计划及措施具有可操作性，现场可操作性阐述基本完整的得</w:t>
            </w:r>
            <w:r>
              <w:rPr>
                <w:rFonts w:cs="宋体"/>
                <w:color w:val="auto"/>
                <w:highlight w:val="none"/>
                <w:lang w:eastAsia="zh-CN"/>
              </w:rPr>
              <w:t>8</w:t>
            </w:r>
            <w:r>
              <w:rPr>
                <w:rFonts w:hint="eastAsia" w:cs="宋体"/>
                <w:color w:val="auto"/>
                <w:highlight w:val="none"/>
                <w:lang w:eastAsia="zh-CN"/>
              </w:rPr>
              <w:t>-</w:t>
            </w:r>
            <w:r>
              <w:rPr>
                <w:rFonts w:cs="宋体"/>
                <w:color w:val="auto"/>
                <w:highlight w:val="none"/>
                <w:lang w:eastAsia="zh-CN"/>
              </w:rPr>
              <w:t>15</w:t>
            </w:r>
            <w:r>
              <w:rPr>
                <w:rFonts w:hint="eastAsia" w:cs="宋体"/>
                <w:color w:val="auto"/>
                <w:highlight w:val="none"/>
                <w:lang w:eastAsia="zh-CN"/>
              </w:rPr>
              <w:t>分；</w:t>
            </w:r>
          </w:p>
          <w:p w14:paraId="13ED5A90">
            <w:pPr>
              <w:autoSpaceDE w:val="0"/>
              <w:ind w:firstLine="0" w:firstLineChars="0"/>
              <w:rPr>
                <w:rFonts w:cs="宋体"/>
                <w:color w:val="auto"/>
                <w:highlight w:val="none"/>
                <w:lang w:eastAsia="zh-CN"/>
              </w:rPr>
            </w:pPr>
            <w:r>
              <w:rPr>
                <w:rFonts w:hint="eastAsia" w:cs="宋体"/>
                <w:color w:val="auto"/>
                <w:highlight w:val="none"/>
                <w:lang w:eastAsia="zh-CN"/>
              </w:rPr>
              <w:t>3</w:t>
            </w:r>
            <w:r>
              <w:rPr>
                <w:rFonts w:cs="宋体"/>
                <w:color w:val="auto"/>
                <w:highlight w:val="none"/>
                <w:lang w:eastAsia="zh-CN"/>
              </w:rPr>
              <w:t>.</w:t>
            </w:r>
            <w:r>
              <w:rPr>
                <w:rFonts w:hint="eastAsia" w:cs="宋体"/>
                <w:color w:val="auto"/>
                <w:highlight w:val="none"/>
                <w:lang w:eastAsia="zh-CN"/>
              </w:rPr>
              <w:t>项目技术实施方案、工作路线内容基本完整，操作性、针对性、适用性欠缺；技术路线及方法、组织计划及措施操作性欠缺，现场可操作性和针对性阐述不清晰的得1-</w:t>
            </w:r>
            <w:r>
              <w:rPr>
                <w:rFonts w:cs="宋体"/>
                <w:color w:val="auto"/>
                <w:highlight w:val="none"/>
                <w:lang w:eastAsia="zh-CN"/>
              </w:rPr>
              <w:t>7</w:t>
            </w:r>
            <w:r>
              <w:rPr>
                <w:rFonts w:hint="eastAsia" w:cs="宋体"/>
                <w:color w:val="auto"/>
                <w:highlight w:val="none"/>
                <w:lang w:eastAsia="zh-CN"/>
              </w:rPr>
              <w:t>分；</w:t>
            </w:r>
          </w:p>
          <w:p w14:paraId="0DD9824B">
            <w:pPr>
              <w:ind w:firstLine="0" w:firstLineChars="0"/>
              <w:rPr>
                <w:rFonts w:hint="eastAsia" w:cs="宋体"/>
                <w:color w:val="auto"/>
                <w:spacing w:val="0"/>
                <w:szCs w:val="21"/>
                <w:highlight w:val="none"/>
                <w:lang w:eastAsia="zh-CN" w:bidi="ar-SA"/>
              </w:rPr>
            </w:pPr>
            <w:r>
              <w:rPr>
                <w:rFonts w:hint="eastAsia" w:cs="宋体"/>
                <w:color w:val="auto"/>
                <w:highlight w:val="none"/>
                <w:lang w:eastAsia="zh-CN"/>
              </w:rPr>
              <w:t>4</w:t>
            </w:r>
            <w:r>
              <w:rPr>
                <w:rFonts w:cs="宋体"/>
                <w:color w:val="auto"/>
                <w:highlight w:val="none"/>
                <w:lang w:eastAsia="zh-CN"/>
              </w:rPr>
              <w:t>.</w:t>
            </w:r>
            <w:r>
              <w:rPr>
                <w:rFonts w:hint="eastAsia" w:cs="宋体"/>
                <w:color w:val="auto"/>
                <w:highlight w:val="none"/>
                <w:lang w:eastAsia="zh-CN"/>
              </w:rPr>
              <w:t>无项目技术实施方案、工作路线和方法的不得分。</w:t>
            </w:r>
          </w:p>
        </w:tc>
      </w:tr>
      <w:tr w14:paraId="7FB0BBF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0" w:type="dxa"/>
            <w:shd w:val="clear" w:color="auto" w:fill="auto"/>
            <w:noWrap/>
            <w:vAlign w:val="center"/>
          </w:tcPr>
          <w:p w14:paraId="605768EC">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6</w:t>
            </w:r>
          </w:p>
        </w:tc>
        <w:tc>
          <w:tcPr>
            <w:tcW w:w="1133" w:type="dxa"/>
            <w:vMerge w:val="continue"/>
            <w:shd w:val="clear" w:color="auto" w:fill="auto"/>
            <w:noWrap w:val="0"/>
            <w:vAlign w:val="center"/>
          </w:tcPr>
          <w:p w14:paraId="295332B9">
            <w:pPr>
              <w:ind w:firstLine="0" w:firstLineChars="0"/>
              <w:rPr>
                <w:rFonts w:cs="宋体"/>
                <w:color w:val="auto"/>
                <w:spacing w:val="0"/>
                <w:szCs w:val="21"/>
                <w:highlight w:val="none"/>
                <w:lang w:eastAsia="zh-CN" w:bidi="ar-SA"/>
              </w:rPr>
            </w:pPr>
          </w:p>
        </w:tc>
        <w:tc>
          <w:tcPr>
            <w:tcW w:w="1559" w:type="dxa"/>
            <w:shd w:val="clear" w:color="auto" w:fill="auto"/>
            <w:noWrap w:val="0"/>
            <w:vAlign w:val="center"/>
          </w:tcPr>
          <w:p w14:paraId="7E1387C1">
            <w:pPr>
              <w:ind w:firstLine="0" w:firstLineChars="0"/>
              <w:jc w:val="center"/>
              <w:rPr>
                <w:rFonts w:cs="宋体"/>
                <w:color w:val="auto"/>
                <w:spacing w:val="0"/>
                <w:szCs w:val="21"/>
                <w:highlight w:val="none"/>
                <w:lang w:eastAsia="zh-CN" w:bidi="ar-SA"/>
              </w:rPr>
            </w:pPr>
            <w:r>
              <w:rPr>
                <w:rFonts w:hint="eastAsia" w:cs="宋体"/>
                <w:color w:val="auto"/>
                <w:spacing w:val="0"/>
                <w:szCs w:val="21"/>
                <w:highlight w:val="none"/>
                <w:lang w:eastAsia="zh-CN" w:bidi="ar-SA"/>
              </w:rPr>
              <w:t>项目实施进度计划</w:t>
            </w:r>
          </w:p>
          <w:p w14:paraId="0C31EF12">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（10分）</w:t>
            </w:r>
          </w:p>
        </w:tc>
        <w:tc>
          <w:tcPr>
            <w:tcW w:w="5568" w:type="dxa"/>
            <w:shd w:val="clear" w:color="auto" w:fill="auto"/>
            <w:noWrap w:val="0"/>
            <w:vAlign w:val="center"/>
          </w:tcPr>
          <w:p w14:paraId="1DA95C40">
            <w:pPr>
              <w:autoSpaceDE w:val="0"/>
              <w:ind w:firstLine="0" w:firstLineChars="0"/>
              <w:rPr>
                <w:rFonts w:cs="宋体"/>
                <w:color w:val="auto"/>
                <w:spacing w:val="-6"/>
                <w:highlight w:val="none"/>
                <w:lang w:eastAsia="zh-CN"/>
              </w:rPr>
            </w:pPr>
            <w:r>
              <w:rPr>
                <w:rFonts w:hint="eastAsia" w:cs="宋体"/>
                <w:color w:val="auto"/>
                <w:highlight w:val="none"/>
                <w:lang w:eastAsia="zh-CN"/>
              </w:rPr>
              <w:t>1</w:t>
            </w:r>
            <w:r>
              <w:rPr>
                <w:rFonts w:cs="宋体"/>
                <w:color w:val="auto"/>
                <w:highlight w:val="none"/>
                <w:lang w:eastAsia="zh-CN"/>
              </w:rPr>
              <w:t>.</w:t>
            </w:r>
            <w:r>
              <w:rPr>
                <w:rFonts w:hint="eastAsia" w:cs="宋体"/>
                <w:color w:val="auto"/>
                <w:highlight w:val="none"/>
                <w:lang w:eastAsia="zh-CN"/>
              </w:rPr>
              <w:t>进度计划全面具体，对完成本项目有详细、合理的时间计划、进度安排和保障措施，针对性很强，保证措施有力，能够很好的满足项目需求；有详细具</w:t>
            </w:r>
            <w:r>
              <w:rPr>
                <w:rFonts w:hint="eastAsia" w:cs="宋体"/>
                <w:color w:val="auto"/>
                <w:spacing w:val="-6"/>
                <w:highlight w:val="none"/>
                <w:lang w:eastAsia="zh-CN"/>
              </w:rPr>
              <w:t>体的配合项目验收方案，合理可行的验收人员组织计划及保障措施的得</w:t>
            </w:r>
            <w:r>
              <w:rPr>
                <w:rFonts w:hint="eastAsia" w:cs="宋体"/>
                <w:color w:val="auto"/>
                <w:spacing w:val="-6"/>
                <w:highlight w:val="none"/>
                <w:lang w:val="en-US" w:eastAsia="zh-CN"/>
              </w:rPr>
              <w:t>8-</w:t>
            </w:r>
            <w:r>
              <w:rPr>
                <w:rFonts w:cs="宋体"/>
                <w:color w:val="auto"/>
                <w:spacing w:val="-6"/>
                <w:highlight w:val="none"/>
                <w:lang w:eastAsia="zh-CN"/>
              </w:rPr>
              <w:t>10</w:t>
            </w:r>
            <w:r>
              <w:rPr>
                <w:rFonts w:hint="eastAsia" w:cs="宋体"/>
                <w:color w:val="auto"/>
                <w:spacing w:val="-6"/>
                <w:highlight w:val="none"/>
                <w:lang w:eastAsia="zh-CN"/>
              </w:rPr>
              <w:t>分；</w:t>
            </w:r>
          </w:p>
          <w:p w14:paraId="6CE79C1C">
            <w:pPr>
              <w:autoSpaceDE w:val="0"/>
              <w:ind w:firstLine="0" w:firstLineChars="0"/>
              <w:rPr>
                <w:rFonts w:cs="宋体"/>
                <w:color w:val="auto"/>
                <w:spacing w:val="-6"/>
                <w:highlight w:val="none"/>
                <w:lang w:eastAsia="zh-CN"/>
              </w:rPr>
            </w:pPr>
            <w:r>
              <w:rPr>
                <w:rFonts w:hint="eastAsia" w:cs="宋体"/>
                <w:color w:val="auto"/>
                <w:spacing w:val="-6"/>
                <w:highlight w:val="none"/>
                <w:lang w:eastAsia="zh-CN"/>
              </w:rPr>
              <w:t>2</w:t>
            </w:r>
            <w:r>
              <w:rPr>
                <w:rFonts w:cs="宋体"/>
                <w:color w:val="auto"/>
                <w:spacing w:val="-6"/>
                <w:highlight w:val="none"/>
                <w:lang w:eastAsia="zh-CN"/>
              </w:rPr>
              <w:t>.</w:t>
            </w:r>
            <w:r>
              <w:rPr>
                <w:rFonts w:hint="eastAsia" w:cs="宋体"/>
                <w:color w:val="auto"/>
                <w:spacing w:val="-6"/>
                <w:highlight w:val="none"/>
                <w:lang w:eastAsia="zh-CN"/>
              </w:rPr>
              <w:t>进度计划基本完整、有一定的合理性、针对性，有保证措施，基本能够满足项目需求；有配合项目验收方案，验收人员组织计划及保障措施的得</w:t>
            </w:r>
            <w:r>
              <w:rPr>
                <w:rFonts w:cs="宋体"/>
                <w:color w:val="auto"/>
                <w:spacing w:val="-6"/>
                <w:highlight w:val="none"/>
                <w:lang w:eastAsia="zh-CN"/>
              </w:rPr>
              <w:t>5</w:t>
            </w:r>
            <w:r>
              <w:rPr>
                <w:rFonts w:hint="eastAsia" w:cs="宋体"/>
                <w:color w:val="auto"/>
                <w:spacing w:val="-6"/>
                <w:highlight w:val="none"/>
                <w:lang w:eastAsia="zh-CN"/>
              </w:rPr>
              <w:t>-</w:t>
            </w:r>
            <w:r>
              <w:rPr>
                <w:rFonts w:hint="eastAsia" w:cs="宋体"/>
                <w:color w:val="auto"/>
                <w:spacing w:val="-6"/>
                <w:highlight w:val="none"/>
                <w:lang w:val="en-US" w:eastAsia="zh-CN"/>
              </w:rPr>
              <w:t>7</w:t>
            </w:r>
            <w:r>
              <w:rPr>
                <w:rFonts w:hint="eastAsia" w:cs="宋体"/>
                <w:color w:val="auto"/>
                <w:spacing w:val="-6"/>
                <w:highlight w:val="none"/>
                <w:lang w:eastAsia="zh-CN"/>
              </w:rPr>
              <w:t>分；</w:t>
            </w:r>
          </w:p>
          <w:p w14:paraId="3F1ADF1D">
            <w:pPr>
              <w:autoSpaceDE w:val="0"/>
              <w:ind w:firstLine="0" w:firstLineChars="0"/>
              <w:rPr>
                <w:rFonts w:cs="宋体"/>
                <w:color w:val="auto"/>
                <w:spacing w:val="-6"/>
                <w:highlight w:val="none"/>
                <w:lang w:eastAsia="zh-CN"/>
              </w:rPr>
            </w:pPr>
            <w:r>
              <w:rPr>
                <w:rFonts w:hint="eastAsia" w:cs="宋体"/>
                <w:color w:val="auto"/>
                <w:spacing w:val="-6"/>
                <w:highlight w:val="none"/>
                <w:lang w:eastAsia="zh-CN"/>
              </w:rPr>
              <w:t>3</w:t>
            </w:r>
            <w:r>
              <w:rPr>
                <w:rFonts w:cs="宋体"/>
                <w:color w:val="auto"/>
                <w:spacing w:val="-6"/>
                <w:highlight w:val="none"/>
                <w:lang w:eastAsia="zh-CN"/>
              </w:rPr>
              <w:t>.</w:t>
            </w:r>
            <w:r>
              <w:rPr>
                <w:rFonts w:hint="eastAsia" w:cs="宋体"/>
                <w:color w:val="auto"/>
                <w:spacing w:val="-6"/>
                <w:highlight w:val="none"/>
                <w:lang w:eastAsia="zh-CN"/>
              </w:rPr>
              <w:t>进度计划不完整，无针对性，无保证措施得1-</w:t>
            </w:r>
            <w:r>
              <w:rPr>
                <w:rFonts w:cs="宋体"/>
                <w:color w:val="auto"/>
                <w:spacing w:val="-6"/>
                <w:highlight w:val="none"/>
                <w:lang w:eastAsia="zh-CN"/>
              </w:rPr>
              <w:t>4</w:t>
            </w:r>
            <w:r>
              <w:rPr>
                <w:rFonts w:hint="eastAsia" w:cs="宋体"/>
                <w:color w:val="auto"/>
                <w:spacing w:val="-6"/>
                <w:highlight w:val="none"/>
                <w:lang w:eastAsia="zh-CN"/>
              </w:rPr>
              <w:t>分；</w:t>
            </w:r>
          </w:p>
          <w:p w14:paraId="1BE6E041">
            <w:pPr>
              <w:ind w:firstLine="0" w:firstLineChars="0"/>
              <w:rPr>
                <w:rFonts w:hint="eastAsia" w:cs="宋体"/>
                <w:color w:val="auto"/>
                <w:spacing w:val="0"/>
                <w:szCs w:val="21"/>
                <w:highlight w:val="none"/>
                <w:lang w:eastAsia="zh-CN" w:bidi="ar-SA"/>
              </w:rPr>
            </w:pPr>
            <w:r>
              <w:rPr>
                <w:rFonts w:hint="eastAsia" w:cs="宋体"/>
                <w:color w:val="auto"/>
                <w:highlight w:val="none"/>
                <w:lang w:eastAsia="zh-CN"/>
              </w:rPr>
              <w:t>4</w:t>
            </w:r>
            <w:r>
              <w:rPr>
                <w:rFonts w:cs="宋体"/>
                <w:color w:val="auto"/>
                <w:highlight w:val="none"/>
                <w:lang w:eastAsia="zh-CN"/>
              </w:rPr>
              <w:t>.</w:t>
            </w:r>
            <w:r>
              <w:rPr>
                <w:rFonts w:hint="eastAsia" w:cs="宋体"/>
                <w:color w:val="auto"/>
                <w:highlight w:val="none"/>
                <w:lang w:eastAsia="zh-CN"/>
              </w:rPr>
              <w:t>无进度计划及保证措施的不得分。</w:t>
            </w:r>
          </w:p>
        </w:tc>
      </w:tr>
      <w:tr w14:paraId="77E28D3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960" w:type="dxa"/>
            <w:tcBorders>
              <w:bottom w:val="single" w:color="auto" w:sz="4" w:space="0"/>
            </w:tcBorders>
            <w:shd w:val="clear" w:color="auto" w:fill="auto"/>
            <w:noWrap w:val="0"/>
            <w:vAlign w:val="center"/>
          </w:tcPr>
          <w:p w14:paraId="5DEE862F">
            <w:pPr>
              <w:ind w:firstLine="0" w:firstLineChars="0"/>
              <w:jc w:val="center"/>
              <w:rPr>
                <w:rFonts w:cs="宋体"/>
                <w:color w:val="auto"/>
                <w:spacing w:val="0"/>
                <w:szCs w:val="21"/>
                <w:highlight w:val="none"/>
                <w:lang w:eastAsia="zh-CN" w:bidi="ar-SA"/>
              </w:rPr>
            </w:pPr>
            <w:r>
              <w:rPr>
                <w:rFonts w:hint="eastAsia" w:cs="宋体"/>
                <w:color w:val="auto"/>
                <w:spacing w:val="0"/>
                <w:szCs w:val="21"/>
                <w:highlight w:val="none"/>
                <w:lang w:eastAsia="zh-CN" w:bidi="ar-SA"/>
              </w:rPr>
              <w:t>7</w:t>
            </w:r>
          </w:p>
        </w:tc>
        <w:tc>
          <w:tcPr>
            <w:tcW w:w="1133" w:type="dxa"/>
            <w:vMerge w:val="continue"/>
            <w:tcBorders>
              <w:bottom w:val="single" w:color="auto" w:sz="4" w:space="0"/>
            </w:tcBorders>
            <w:shd w:val="clear" w:color="auto" w:fill="auto"/>
            <w:noWrap w:val="0"/>
            <w:vAlign w:val="center"/>
          </w:tcPr>
          <w:p w14:paraId="4FA35429">
            <w:pPr>
              <w:ind w:firstLine="0" w:firstLineChars="0"/>
              <w:rPr>
                <w:rFonts w:cs="宋体"/>
                <w:color w:val="auto"/>
                <w:spacing w:val="0"/>
                <w:szCs w:val="21"/>
                <w:highlight w:val="none"/>
                <w:lang w:eastAsia="zh-CN" w:bidi="ar-SA"/>
              </w:rPr>
            </w:pPr>
          </w:p>
        </w:tc>
        <w:tc>
          <w:tcPr>
            <w:tcW w:w="1559" w:type="dxa"/>
            <w:tcBorders>
              <w:bottom w:val="single" w:color="auto" w:sz="4" w:space="0"/>
            </w:tcBorders>
            <w:shd w:val="clear" w:color="auto" w:fill="auto"/>
            <w:noWrap w:val="0"/>
            <w:vAlign w:val="center"/>
          </w:tcPr>
          <w:p w14:paraId="65727AC3">
            <w:pPr>
              <w:ind w:firstLine="0" w:firstLineChars="0"/>
              <w:jc w:val="center"/>
              <w:rPr>
                <w:rFonts w:cs="宋体"/>
                <w:color w:val="auto"/>
                <w:spacing w:val="0"/>
                <w:szCs w:val="21"/>
                <w:highlight w:val="none"/>
                <w:lang w:eastAsia="zh-CN" w:bidi="ar-SA"/>
              </w:rPr>
            </w:pPr>
            <w:r>
              <w:rPr>
                <w:rFonts w:hint="eastAsia" w:cs="宋体"/>
                <w:color w:val="auto"/>
                <w:spacing w:val="0"/>
                <w:szCs w:val="21"/>
                <w:highlight w:val="none"/>
                <w:lang w:eastAsia="zh-CN" w:bidi="ar-SA"/>
              </w:rPr>
              <w:t>质量、安全、进度保证措施</w:t>
            </w:r>
          </w:p>
          <w:p w14:paraId="07CFE251">
            <w:pPr>
              <w:ind w:firstLine="0" w:firstLineChars="0"/>
              <w:jc w:val="center"/>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（10分）</w:t>
            </w:r>
          </w:p>
        </w:tc>
        <w:tc>
          <w:tcPr>
            <w:tcW w:w="5568" w:type="dxa"/>
            <w:tcBorders>
              <w:bottom w:val="single" w:color="auto" w:sz="4" w:space="0"/>
            </w:tcBorders>
            <w:shd w:val="clear" w:color="auto" w:fill="auto"/>
            <w:noWrap w:val="0"/>
            <w:vAlign w:val="center"/>
          </w:tcPr>
          <w:p w14:paraId="271159E5">
            <w:pPr>
              <w:ind w:firstLine="0" w:firstLineChars="0"/>
              <w:rPr>
                <w:rFonts w:cs="宋体"/>
                <w:color w:val="auto"/>
                <w:spacing w:val="0"/>
                <w:szCs w:val="21"/>
                <w:highlight w:val="none"/>
                <w:lang w:eastAsia="zh-CN" w:bidi="ar-SA"/>
              </w:rPr>
            </w:pPr>
            <w:r>
              <w:rPr>
                <w:rFonts w:hint="eastAsia" w:cs="宋体"/>
                <w:color w:val="auto"/>
                <w:spacing w:val="0"/>
                <w:szCs w:val="21"/>
                <w:highlight w:val="none"/>
                <w:lang w:eastAsia="zh-CN" w:bidi="ar-SA"/>
              </w:rPr>
              <w:t>1</w:t>
            </w:r>
            <w:r>
              <w:rPr>
                <w:rFonts w:cs="宋体"/>
                <w:color w:val="auto"/>
                <w:spacing w:val="0"/>
                <w:szCs w:val="21"/>
                <w:highlight w:val="none"/>
                <w:lang w:eastAsia="zh-CN" w:bidi="ar-SA"/>
              </w:rPr>
              <w:t>.</w:t>
            </w:r>
            <w:r>
              <w:rPr>
                <w:rFonts w:hint="eastAsia" w:cs="宋体"/>
                <w:color w:val="auto"/>
                <w:spacing w:val="0"/>
                <w:szCs w:val="21"/>
                <w:highlight w:val="none"/>
                <w:lang w:eastAsia="zh-CN" w:bidi="ar-SA"/>
              </w:rPr>
              <w:t>针对本项目提出的质量、安全、进度保证措施有力，能够很好的满足项目需求得</w:t>
            </w:r>
            <w:r>
              <w:rPr>
                <w:rFonts w:hint="eastAsia" w:cs="宋体"/>
                <w:color w:val="auto"/>
                <w:spacing w:val="0"/>
                <w:szCs w:val="21"/>
                <w:highlight w:val="none"/>
                <w:lang w:val="en-US" w:eastAsia="zh-CN" w:bidi="ar-SA"/>
              </w:rPr>
              <w:t>8-</w:t>
            </w:r>
            <w:r>
              <w:rPr>
                <w:rFonts w:hint="eastAsia" w:cs="宋体"/>
                <w:color w:val="auto"/>
                <w:spacing w:val="0"/>
                <w:szCs w:val="21"/>
                <w:highlight w:val="none"/>
                <w:lang w:eastAsia="zh-CN" w:bidi="ar-SA"/>
              </w:rPr>
              <w:t>1</w:t>
            </w:r>
            <w:r>
              <w:rPr>
                <w:rFonts w:cs="宋体"/>
                <w:color w:val="auto"/>
                <w:spacing w:val="0"/>
                <w:szCs w:val="21"/>
                <w:highlight w:val="none"/>
                <w:lang w:eastAsia="zh-CN" w:bidi="ar-SA"/>
              </w:rPr>
              <w:t>0</w:t>
            </w:r>
            <w:r>
              <w:rPr>
                <w:rFonts w:hint="eastAsia" w:cs="宋体"/>
                <w:color w:val="auto"/>
                <w:spacing w:val="0"/>
                <w:szCs w:val="21"/>
                <w:highlight w:val="none"/>
                <w:lang w:eastAsia="zh-CN" w:bidi="ar-SA"/>
              </w:rPr>
              <w:t>分；</w:t>
            </w:r>
          </w:p>
          <w:p w14:paraId="31B38958">
            <w:pPr>
              <w:ind w:firstLine="0" w:firstLineChars="0"/>
              <w:rPr>
                <w:rFonts w:cs="宋体"/>
                <w:color w:val="auto"/>
                <w:spacing w:val="0"/>
                <w:szCs w:val="21"/>
                <w:highlight w:val="none"/>
                <w:lang w:eastAsia="zh-CN" w:bidi="ar-SA"/>
              </w:rPr>
            </w:pPr>
            <w:r>
              <w:rPr>
                <w:rFonts w:hint="eastAsia" w:cs="宋体"/>
                <w:color w:val="auto"/>
                <w:spacing w:val="0"/>
                <w:szCs w:val="21"/>
                <w:highlight w:val="none"/>
                <w:lang w:eastAsia="zh-CN" w:bidi="ar-SA"/>
              </w:rPr>
              <w:t>2</w:t>
            </w:r>
            <w:r>
              <w:rPr>
                <w:rFonts w:cs="宋体"/>
                <w:color w:val="auto"/>
                <w:spacing w:val="0"/>
                <w:szCs w:val="21"/>
                <w:highlight w:val="none"/>
                <w:lang w:eastAsia="zh-CN" w:bidi="ar-SA"/>
              </w:rPr>
              <w:t>.</w:t>
            </w:r>
            <w:r>
              <w:rPr>
                <w:rFonts w:hint="eastAsia" w:cs="宋体"/>
                <w:color w:val="auto"/>
                <w:spacing w:val="0"/>
                <w:szCs w:val="21"/>
                <w:highlight w:val="none"/>
                <w:lang w:eastAsia="zh-CN" w:bidi="ar-SA"/>
              </w:rPr>
              <w:t>针对本项目提出的质量、安全、进度保证措施有一定合理性，能够较好的满足项目需求得</w:t>
            </w:r>
            <w:r>
              <w:rPr>
                <w:rFonts w:cs="宋体"/>
                <w:color w:val="auto"/>
                <w:spacing w:val="0"/>
                <w:szCs w:val="21"/>
                <w:highlight w:val="none"/>
                <w:lang w:eastAsia="zh-CN" w:bidi="ar-SA"/>
              </w:rPr>
              <w:t>5-</w:t>
            </w:r>
            <w:r>
              <w:rPr>
                <w:rFonts w:hint="eastAsia" w:cs="宋体"/>
                <w:color w:val="auto"/>
                <w:spacing w:val="0"/>
                <w:szCs w:val="21"/>
                <w:highlight w:val="none"/>
                <w:lang w:val="en-US" w:eastAsia="zh-CN" w:bidi="ar-SA"/>
              </w:rPr>
              <w:t>7</w:t>
            </w:r>
            <w:r>
              <w:rPr>
                <w:rFonts w:hint="eastAsia" w:cs="宋体"/>
                <w:color w:val="auto"/>
                <w:spacing w:val="0"/>
                <w:szCs w:val="21"/>
                <w:highlight w:val="none"/>
                <w:lang w:eastAsia="zh-CN" w:bidi="ar-SA"/>
              </w:rPr>
              <w:t>分；</w:t>
            </w:r>
          </w:p>
          <w:p w14:paraId="5A6F5AD1">
            <w:pPr>
              <w:ind w:firstLine="0" w:firstLineChars="0"/>
              <w:rPr>
                <w:rFonts w:cs="宋体"/>
                <w:color w:val="auto"/>
                <w:spacing w:val="0"/>
                <w:szCs w:val="21"/>
                <w:highlight w:val="none"/>
                <w:lang w:eastAsia="zh-CN" w:bidi="ar-SA"/>
              </w:rPr>
            </w:pPr>
            <w:r>
              <w:rPr>
                <w:rFonts w:cs="宋体"/>
                <w:color w:val="auto"/>
                <w:spacing w:val="0"/>
                <w:szCs w:val="21"/>
                <w:highlight w:val="none"/>
                <w:lang w:eastAsia="zh-CN" w:bidi="ar-SA"/>
              </w:rPr>
              <w:t>3.</w:t>
            </w:r>
            <w:r>
              <w:rPr>
                <w:rFonts w:hint="eastAsia" w:cs="宋体"/>
                <w:color w:val="auto"/>
                <w:spacing w:val="0"/>
                <w:szCs w:val="21"/>
                <w:highlight w:val="none"/>
                <w:lang w:eastAsia="zh-CN" w:bidi="ar-SA"/>
              </w:rPr>
              <w:t>针对本项目提出的质量、安全、进度保证措施无针对性，很难满足项目需求得</w:t>
            </w:r>
            <w:r>
              <w:rPr>
                <w:rFonts w:cs="宋体"/>
                <w:color w:val="auto"/>
                <w:spacing w:val="0"/>
                <w:szCs w:val="21"/>
                <w:highlight w:val="none"/>
                <w:lang w:eastAsia="zh-CN" w:bidi="ar-SA"/>
              </w:rPr>
              <w:t>1-4</w:t>
            </w:r>
            <w:r>
              <w:rPr>
                <w:rFonts w:hint="eastAsia" w:cs="宋体"/>
                <w:color w:val="auto"/>
                <w:spacing w:val="0"/>
                <w:szCs w:val="21"/>
                <w:highlight w:val="none"/>
                <w:lang w:eastAsia="zh-CN" w:bidi="ar-SA"/>
              </w:rPr>
              <w:t>分；</w:t>
            </w:r>
          </w:p>
          <w:p w14:paraId="67CD529A">
            <w:pPr>
              <w:ind w:firstLine="0" w:firstLineChars="0"/>
              <w:rPr>
                <w:rFonts w:hint="eastAsia" w:cs="宋体"/>
                <w:color w:val="auto"/>
                <w:spacing w:val="0"/>
                <w:szCs w:val="21"/>
                <w:highlight w:val="none"/>
                <w:lang w:eastAsia="zh-CN" w:bidi="ar-SA"/>
              </w:rPr>
            </w:pPr>
            <w:r>
              <w:rPr>
                <w:rFonts w:hint="eastAsia" w:cs="宋体"/>
                <w:color w:val="auto"/>
                <w:spacing w:val="0"/>
                <w:szCs w:val="21"/>
                <w:highlight w:val="none"/>
                <w:lang w:eastAsia="zh-CN" w:bidi="ar-SA"/>
              </w:rPr>
              <w:t>4</w:t>
            </w:r>
            <w:r>
              <w:rPr>
                <w:rFonts w:cs="宋体"/>
                <w:color w:val="auto"/>
                <w:spacing w:val="0"/>
                <w:szCs w:val="21"/>
                <w:highlight w:val="none"/>
                <w:lang w:eastAsia="zh-CN" w:bidi="ar-SA"/>
              </w:rPr>
              <w:t>.</w:t>
            </w:r>
            <w:r>
              <w:rPr>
                <w:rFonts w:hint="eastAsia" w:cs="宋体"/>
                <w:color w:val="auto"/>
                <w:spacing w:val="0"/>
                <w:szCs w:val="21"/>
                <w:highlight w:val="none"/>
                <w:lang w:eastAsia="zh-CN" w:bidi="ar-SA"/>
              </w:rPr>
              <w:t>无质量、安全、进度保证措施的不得分。</w:t>
            </w:r>
          </w:p>
        </w:tc>
      </w:tr>
      <w:tr w14:paraId="61EF9CF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0" w:type="dxa"/>
            <w:noWrap w:val="0"/>
            <w:vAlign w:val="center"/>
          </w:tcPr>
          <w:p w14:paraId="6B2F8CEC">
            <w:pPr>
              <w:ind w:firstLine="0" w:firstLineChars="0"/>
              <w:jc w:val="center"/>
              <w:rPr>
                <w:rFonts w:cs="宋体"/>
                <w:color w:val="auto"/>
                <w:spacing w:val="0"/>
                <w:szCs w:val="21"/>
                <w:highlight w:val="none"/>
                <w:lang w:eastAsia="zh-CN" w:bidi="ar-SA"/>
              </w:rPr>
            </w:pPr>
            <w:r>
              <w:rPr>
                <w:rFonts w:hint="eastAsia" w:cs="宋体"/>
                <w:color w:val="auto"/>
                <w:spacing w:val="0"/>
                <w:szCs w:val="21"/>
                <w:highlight w:val="none"/>
                <w:lang w:eastAsia="zh-CN" w:bidi="ar-SA"/>
              </w:rPr>
              <w:t>8</w:t>
            </w:r>
          </w:p>
        </w:tc>
        <w:tc>
          <w:tcPr>
            <w:tcW w:w="1133" w:type="dxa"/>
            <w:vMerge w:val="continue"/>
            <w:noWrap w:val="0"/>
            <w:vAlign w:val="center"/>
          </w:tcPr>
          <w:p w14:paraId="33A9E188">
            <w:pPr>
              <w:ind w:firstLine="0" w:firstLineChars="0"/>
              <w:rPr>
                <w:rFonts w:cs="宋体"/>
                <w:color w:val="auto"/>
                <w:spacing w:val="0"/>
                <w:szCs w:val="21"/>
                <w:highlight w:val="none"/>
                <w:lang w:eastAsia="zh-CN" w:bidi="ar-SA"/>
              </w:rPr>
            </w:pPr>
          </w:p>
        </w:tc>
        <w:tc>
          <w:tcPr>
            <w:tcW w:w="1559" w:type="dxa"/>
            <w:noWrap w:val="0"/>
            <w:vAlign w:val="center"/>
          </w:tcPr>
          <w:p w14:paraId="2F16EB3F">
            <w:pPr>
              <w:ind w:firstLine="0" w:firstLineChars="0"/>
              <w:jc w:val="center"/>
              <w:textAlignment w:val="center"/>
              <w:rPr>
                <w:rFonts w:hint="eastAsia"/>
                <w:color w:val="auto"/>
                <w:spacing w:val="2"/>
                <w:szCs w:val="21"/>
                <w:highlight w:val="none"/>
                <w:lang w:val="zh-CN" w:eastAsia="zh-CN"/>
              </w:rPr>
            </w:pPr>
            <w:r>
              <w:rPr>
                <w:rFonts w:hint="eastAsia"/>
                <w:color w:val="auto"/>
                <w:spacing w:val="2"/>
                <w:szCs w:val="21"/>
                <w:highlight w:val="none"/>
                <w:lang w:val="zh-CN" w:eastAsia="zh-CN"/>
              </w:rPr>
              <w:t>仪器设备</w:t>
            </w:r>
          </w:p>
          <w:p w14:paraId="3D9D7E67">
            <w:pPr>
              <w:ind w:firstLine="0" w:firstLineChars="0"/>
              <w:jc w:val="center"/>
              <w:rPr>
                <w:rFonts w:cs="宋体"/>
                <w:color w:val="auto"/>
                <w:spacing w:val="0"/>
                <w:szCs w:val="21"/>
                <w:highlight w:val="none"/>
                <w:lang w:eastAsia="zh-CN" w:bidi="ar-SA"/>
              </w:rPr>
            </w:pPr>
            <w:r>
              <w:rPr>
                <w:rFonts w:hint="eastAsia"/>
                <w:color w:val="auto"/>
                <w:spacing w:val="2"/>
                <w:szCs w:val="21"/>
                <w:highlight w:val="none"/>
                <w:lang w:val="zh-CN" w:eastAsia="zh-CN"/>
              </w:rPr>
              <w:t>（</w:t>
            </w:r>
            <w:r>
              <w:rPr>
                <w:color w:val="auto"/>
                <w:spacing w:val="2"/>
                <w:szCs w:val="21"/>
                <w:highlight w:val="none"/>
                <w:lang w:val="zh-CN" w:eastAsia="zh-CN"/>
              </w:rPr>
              <w:t>1</w:t>
            </w:r>
            <w:r>
              <w:rPr>
                <w:rFonts w:hint="eastAsia"/>
                <w:color w:val="auto"/>
                <w:spacing w:val="2"/>
                <w:szCs w:val="21"/>
                <w:highlight w:val="none"/>
                <w:lang w:val="zh-CN" w:eastAsia="zh-CN"/>
              </w:rPr>
              <w:t>0分）</w:t>
            </w:r>
          </w:p>
        </w:tc>
        <w:tc>
          <w:tcPr>
            <w:tcW w:w="5568" w:type="dxa"/>
            <w:noWrap w:val="0"/>
            <w:vAlign w:val="center"/>
          </w:tcPr>
          <w:p w14:paraId="4A69BA97">
            <w:pPr>
              <w:ind w:firstLine="0" w:firstLineChars="0"/>
              <w:rPr>
                <w:rFonts w:hint="eastAsia" w:cs="宋体"/>
                <w:color w:val="auto"/>
                <w:spacing w:val="0"/>
                <w:szCs w:val="21"/>
                <w:highlight w:val="none"/>
                <w:lang w:eastAsia="zh-CN" w:bidi="ar-SA"/>
              </w:rPr>
            </w:pPr>
            <w:r>
              <w:rPr>
                <w:rFonts w:cs="宋体"/>
                <w:color w:val="auto"/>
                <w:spacing w:val="0"/>
                <w:szCs w:val="21"/>
                <w:highlight w:val="none"/>
                <w:lang w:eastAsia="zh-CN" w:bidi="ar-SA"/>
              </w:rPr>
              <w:t>1</w:t>
            </w:r>
            <w:r>
              <w:rPr>
                <w:rFonts w:hint="eastAsia" w:cs="宋体"/>
                <w:color w:val="auto"/>
                <w:spacing w:val="0"/>
                <w:szCs w:val="21"/>
                <w:highlight w:val="none"/>
                <w:lang w:eastAsia="zh-CN" w:bidi="ar-SA"/>
              </w:rPr>
              <w:t>.配备</w:t>
            </w:r>
            <w:r>
              <w:rPr>
                <w:rFonts w:hint="eastAsia" w:cs="宋体"/>
                <w:color w:val="auto"/>
                <w:spacing w:val="0"/>
                <w:szCs w:val="21"/>
                <w:highlight w:val="none"/>
                <w:lang w:val="en-US" w:eastAsia="zh-CN" w:bidi="ar-SA"/>
              </w:rPr>
              <w:t>电脑</w:t>
            </w:r>
            <w:r>
              <w:rPr>
                <w:rFonts w:hint="eastAsia" w:cs="宋体"/>
                <w:color w:val="auto"/>
                <w:spacing w:val="0"/>
                <w:szCs w:val="21"/>
                <w:highlight w:val="none"/>
                <w:lang w:eastAsia="zh-CN" w:bidi="ar-SA"/>
              </w:rPr>
              <w:t>3台得1分，6台得</w:t>
            </w:r>
            <w:r>
              <w:rPr>
                <w:rFonts w:cs="宋体"/>
                <w:color w:val="auto"/>
                <w:spacing w:val="0"/>
                <w:szCs w:val="21"/>
                <w:highlight w:val="none"/>
                <w:lang w:eastAsia="zh-CN" w:bidi="ar-SA"/>
              </w:rPr>
              <w:t>2</w:t>
            </w:r>
            <w:r>
              <w:rPr>
                <w:rFonts w:hint="eastAsia" w:cs="宋体"/>
                <w:color w:val="auto"/>
                <w:spacing w:val="0"/>
                <w:szCs w:val="21"/>
                <w:highlight w:val="none"/>
                <w:lang w:eastAsia="zh-CN" w:bidi="ar-SA"/>
              </w:rPr>
              <w:t>分，10台得</w:t>
            </w:r>
            <w:r>
              <w:rPr>
                <w:rFonts w:hint="eastAsia" w:cs="宋体"/>
                <w:color w:val="auto"/>
                <w:spacing w:val="0"/>
                <w:szCs w:val="21"/>
                <w:highlight w:val="none"/>
                <w:lang w:val="en-US" w:eastAsia="zh-CN" w:bidi="ar-SA"/>
              </w:rPr>
              <w:t>5</w:t>
            </w:r>
            <w:r>
              <w:rPr>
                <w:rFonts w:hint="eastAsia" w:cs="宋体"/>
                <w:color w:val="auto"/>
                <w:spacing w:val="0"/>
                <w:szCs w:val="21"/>
                <w:highlight w:val="none"/>
                <w:lang w:eastAsia="zh-CN" w:bidi="ar-SA"/>
              </w:rPr>
              <w:t>分；</w:t>
            </w:r>
          </w:p>
          <w:p w14:paraId="3E8C45EB">
            <w:pPr>
              <w:ind w:firstLine="0" w:firstLineChars="0"/>
              <w:rPr>
                <w:rFonts w:hint="eastAsia" w:cs="宋体"/>
                <w:color w:val="auto"/>
                <w:spacing w:val="0"/>
                <w:szCs w:val="21"/>
                <w:highlight w:val="none"/>
                <w:lang w:eastAsia="zh-CN" w:bidi="ar-SA"/>
              </w:rPr>
            </w:pPr>
            <w:r>
              <w:rPr>
                <w:rFonts w:cs="宋体"/>
                <w:color w:val="auto"/>
                <w:spacing w:val="0"/>
                <w:szCs w:val="21"/>
                <w:highlight w:val="none"/>
                <w:lang w:eastAsia="zh-CN" w:bidi="ar-SA"/>
              </w:rPr>
              <w:t>2</w:t>
            </w:r>
            <w:r>
              <w:rPr>
                <w:rFonts w:hint="eastAsia" w:cs="宋体"/>
                <w:color w:val="auto"/>
                <w:spacing w:val="0"/>
                <w:szCs w:val="21"/>
                <w:highlight w:val="none"/>
                <w:lang w:eastAsia="zh-CN" w:bidi="ar-SA"/>
              </w:rPr>
              <w:t>.配备</w:t>
            </w:r>
            <w:r>
              <w:rPr>
                <w:rFonts w:hint="eastAsia" w:cs="宋体"/>
                <w:color w:val="auto"/>
                <w:spacing w:val="0"/>
                <w:szCs w:val="21"/>
                <w:highlight w:val="none"/>
                <w:lang w:val="en-US" w:eastAsia="zh-CN" w:bidi="ar-SA"/>
              </w:rPr>
              <w:t>扫描仪</w:t>
            </w:r>
            <w:r>
              <w:rPr>
                <w:rFonts w:hint="eastAsia" w:cs="宋体"/>
                <w:color w:val="auto"/>
                <w:spacing w:val="0"/>
                <w:szCs w:val="21"/>
                <w:highlight w:val="none"/>
                <w:lang w:eastAsia="zh-CN" w:bidi="ar-SA"/>
              </w:rPr>
              <w:t>3台得1分，6台得</w:t>
            </w:r>
            <w:r>
              <w:rPr>
                <w:rFonts w:cs="宋体"/>
                <w:color w:val="auto"/>
                <w:spacing w:val="0"/>
                <w:szCs w:val="21"/>
                <w:highlight w:val="none"/>
                <w:lang w:eastAsia="zh-CN" w:bidi="ar-SA"/>
              </w:rPr>
              <w:t>2</w:t>
            </w:r>
            <w:r>
              <w:rPr>
                <w:rFonts w:hint="eastAsia" w:cs="宋体"/>
                <w:color w:val="auto"/>
                <w:spacing w:val="0"/>
                <w:szCs w:val="21"/>
                <w:highlight w:val="none"/>
                <w:lang w:eastAsia="zh-CN" w:bidi="ar-SA"/>
              </w:rPr>
              <w:t>分，10台得</w:t>
            </w:r>
            <w:r>
              <w:rPr>
                <w:rFonts w:hint="eastAsia" w:cs="宋体"/>
                <w:color w:val="auto"/>
                <w:spacing w:val="0"/>
                <w:szCs w:val="21"/>
                <w:highlight w:val="none"/>
                <w:lang w:val="en-US" w:eastAsia="zh-CN" w:bidi="ar-SA"/>
              </w:rPr>
              <w:t>5</w:t>
            </w:r>
            <w:r>
              <w:rPr>
                <w:rFonts w:hint="eastAsia" w:cs="宋体"/>
                <w:color w:val="auto"/>
                <w:spacing w:val="0"/>
                <w:szCs w:val="21"/>
                <w:highlight w:val="none"/>
                <w:lang w:eastAsia="zh-CN" w:bidi="ar-SA"/>
              </w:rPr>
              <w:t>分；</w:t>
            </w:r>
          </w:p>
          <w:p w14:paraId="208EC47C">
            <w:pPr>
              <w:ind w:firstLine="0" w:firstLineChars="0"/>
              <w:rPr>
                <w:rFonts w:hint="eastAsia" w:cs="宋体"/>
                <w:color w:val="auto"/>
                <w:spacing w:val="0"/>
                <w:szCs w:val="21"/>
                <w:highlight w:val="none"/>
                <w:lang w:eastAsia="zh-CN" w:bidi="ar-SA"/>
              </w:rPr>
            </w:pPr>
          </w:p>
        </w:tc>
      </w:tr>
    </w:tbl>
    <w:p w14:paraId="656FE156">
      <w:pPr>
        <w:pStyle w:val="16"/>
        <w:kinsoku/>
        <w:wordWrap/>
        <w:topLinePunct w:val="0"/>
        <w:bidi w:val="0"/>
        <w:ind w:firstLine="0" w:firstLineChars="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备注：</w:t>
      </w:r>
    </w:p>
    <w:p w14:paraId="4DCC3E8A">
      <w:pPr>
        <w:bidi w:val="0"/>
        <w:ind w:firstLine="420"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一、1、根据《关于进一步加大政府采购支持中小企业力度的通知》( 财库〔2022〕19号)文件规定，对小型和微型企业产品的价格给予10%-20%的扣除，用扣除后的价格参与评审；大中型企业和和其他自然人、法人或者其他组织与小型、微型企业组成联合 体共同参加非专门面向中小企业的政府采购活动的，小微企业的合同金额占联合体协议合同总金额30%以上的，给予联合体4%-6%的价格扣除 ，用扣除后的价格参与评审。</w:t>
      </w:r>
    </w:p>
    <w:p w14:paraId="26A99E40">
      <w:pPr>
        <w:bidi w:val="0"/>
        <w:ind w:firstLine="420"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2、根据《财政部司法部关于政府采购支持监狱企业发展有关问题的通知》(财库 [2014]68号)的规定，对监狱企业产品的价格给予10%扣，用扣除后的价格参与评审。参加政府采购活动的监狱企业必须提供由省级以上监狱管理局、戒毒管理局 (含新疆生产建设兵团) 出具的属于监狱企业的证明文件。</w:t>
      </w:r>
    </w:p>
    <w:p w14:paraId="54945CD9">
      <w:pPr>
        <w:bidi w:val="0"/>
        <w:ind w:firstLine="420"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3、根据《财政部民政部中国残疾人联合会关于促进残疾人就业政府采购政策的通知》(财库【2017】141号) 文件规定，对满足价格扣除条件且在投标响 应文件中提交了《残疾人福利性单位声明函》等证明文件的投标人，其投标报价扣除10%后参与评审。</w:t>
      </w:r>
    </w:p>
    <w:p w14:paraId="0E6F64AC">
      <w:pPr>
        <w:bidi w:val="0"/>
        <w:ind w:firstLine="420"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二、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B582D39">
      <w:pPr>
        <w:bidi w:val="0"/>
        <w:ind w:firstLine="420" w:firstLineChars="200"/>
        <w:rPr>
          <w:rFonts w:hint="eastAsia" w:eastAsia="宋体"/>
          <w:color w:val="auto"/>
          <w:sz w:val="21"/>
          <w:szCs w:val="21"/>
          <w:highlight w:val="none"/>
          <w:lang w:eastAsia="zh-CN"/>
        </w:rPr>
      </w:pPr>
      <w:r>
        <w:rPr>
          <w:rFonts w:hint="eastAsia" w:ascii="宋体" w:hAnsi="宋体" w:eastAsia="宋体" w:cs="宋体"/>
          <w:b/>
          <w:bCs w:val="0"/>
          <w:color w:val="auto"/>
          <w:sz w:val="21"/>
          <w:szCs w:val="21"/>
          <w:highlight w:val="none"/>
        </w:rPr>
        <w:t>说明：评标委员会认为，排名在前面的中标候选人的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如果有）。</w:t>
      </w:r>
    </w:p>
    <w:p w14:paraId="4AD60CCA">
      <w:pPr>
        <w:pStyle w:val="136"/>
        <w:jc w:val="center"/>
        <w:outlineLvl w:val="1"/>
        <w:rPr>
          <w:rFonts w:hint="eastAsia" w:ascii="宋体" w:hAnsi="宋体" w:eastAsia="宋体" w:cs="黑体"/>
          <w:b/>
          <w:color w:val="000000" w:themeColor="text1"/>
          <w:kern w:val="0"/>
          <w:sz w:val="32"/>
          <w:szCs w:val="32"/>
          <w:lang w:val="en-US" w:eastAsia="zh-CN" w:bidi="ar-SA"/>
          <w14:textFill>
            <w14:solidFill>
              <w14:schemeClr w14:val="tx1"/>
            </w14:solidFill>
          </w14:textFill>
        </w:rPr>
      </w:pPr>
      <w:bookmarkStart w:id="22" w:name="_Toc25324"/>
      <w:r>
        <w:rPr>
          <w:rFonts w:hint="eastAsia" w:ascii="宋体" w:hAnsi="宋体" w:eastAsia="宋体" w:cs="黑体"/>
          <w:b/>
          <w:color w:val="000000" w:themeColor="text1"/>
          <w:kern w:val="0"/>
          <w:sz w:val="32"/>
          <w:szCs w:val="32"/>
          <w:lang w:val="en-US" w:eastAsia="zh-CN" w:bidi="ar-SA"/>
          <w14:textFill>
            <w14:solidFill>
              <w14:schemeClr w14:val="tx1"/>
            </w14:solidFill>
          </w14:textFill>
        </w:rPr>
        <w:t>三、评标程序</w:t>
      </w:r>
      <w:bookmarkEnd w:id="22"/>
    </w:p>
    <w:p w14:paraId="54781E77">
      <w:pPr>
        <w:spacing w:line="49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4. 投标响应文件初审 </w:t>
      </w:r>
    </w:p>
    <w:p w14:paraId="2E7EC3DF">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4.1. 初步评审分为资格性检查和符合性检查。 </w:t>
      </w:r>
    </w:p>
    <w:p w14:paraId="1FACCD6D">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资格性检查。根据法律法规和磋商文件的规定，对投标响应文件中的资格证明、投标保证金等进行审查，以确定投标人是否具备投标资格。 </w:t>
      </w:r>
    </w:p>
    <w:p w14:paraId="44CD1CB2">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符合性检查。依据磋商文件的规定，从投标响应文件的有效性、完整性和对磋商文件的响应程度进行审查，以确定是否对磋商文件的实质性要求作出响应。评标委员会决定投标响应文件的响应性只根据投标响应文件本身的内容，而不寻求外部的证据。 </w:t>
      </w:r>
    </w:p>
    <w:p w14:paraId="7901A489">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(3)投标人不得通过修正或撤销不合要求的偏离从而使其投标成为实质上响应的投标。 </w:t>
      </w:r>
    </w:p>
    <w:p w14:paraId="7B2B7D90">
      <w:pPr>
        <w:spacing w:line="49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5. 澄清有关问题 </w:t>
      </w:r>
    </w:p>
    <w:p w14:paraId="3EC50DA3">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5.1. 对投标响应文件中含义不明确、同类问题表述不一致或者有明显文字和计算错误的内容，评标委员会将以书面形式通知投标人作出必要的澄清、说明或者纠正。 </w:t>
      </w:r>
    </w:p>
    <w:p w14:paraId="61C73B87">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5.2. 投标人的澄清、说明或者补正采用书面形式，由其授权的代表签字，并不得超出投标响应文件的范围或者改变投标响应文件的实质性内容。 </w:t>
      </w:r>
    </w:p>
    <w:p w14:paraId="30793039">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5.3. 评标委员会不接受投标人主动提出的澄清、说明。 </w:t>
      </w:r>
    </w:p>
    <w:p w14:paraId="25A66F72">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计算错误将按以下方法修正：如果投标响应文件的大写金额和小写金额不一致的，以大写金额为准；总价金额与按单价汇总金额不一致的，以单价金额计算结果为准；单价金额小数点有明显错位的，应以总价为准，并修改单价；若文字大写表示的数据与数字表示的有差别，则以文字大写表示的数据为准。若投标人拒绝接受上述修正，在评标时将其视为无效投标。 </w:t>
      </w:r>
    </w:p>
    <w:p w14:paraId="029834E2">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5.4. 有效的书面澄清材料，是投标响应文件的补充材料，成为投标响应文件的组成部分。 </w:t>
      </w:r>
    </w:p>
    <w:p w14:paraId="32203E28">
      <w:pPr>
        <w:spacing w:line="490" w:lineRule="exact"/>
        <w:ind w:left="-84" w:leftChars="-40" w:firstLine="120" w:firstLineChars="5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6. 比较与评价 </w:t>
      </w:r>
    </w:p>
    <w:p w14:paraId="6FDECCA5">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6.1. 评标委员会按照磋商文件中规定的评标方法、标准和评标因素，对资格性检查和符合性检查合格的投标响应文件进行评估，综合比较与评价。 </w:t>
      </w:r>
    </w:p>
    <w:p w14:paraId="20A67E72">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6.2. 评标时，评标委员会各成员独立对每个投标人的投标响应文件进行评价、评分，然后汇总每个投标人每项评分因素的得分。 </w:t>
      </w:r>
    </w:p>
    <w:p w14:paraId="6B9EFFC7">
      <w:pPr>
        <w:spacing w:line="49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7. 中标供应商数量 </w:t>
      </w:r>
    </w:p>
    <w:p w14:paraId="7DC42349">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 中标供应商数量为1名。 </w:t>
      </w:r>
    </w:p>
    <w:p w14:paraId="26F42463">
      <w:pPr>
        <w:spacing w:line="49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8. 推荐中标候选人名单 </w:t>
      </w:r>
    </w:p>
    <w:p w14:paraId="2F3CDAD3">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 按评审后得分由高到低顺序排列。得分相同的，按技术指标优劣顺序排列。 </w:t>
      </w:r>
    </w:p>
    <w:p w14:paraId="675C1948">
      <w:pPr>
        <w:spacing w:line="49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9. 编写评标报告 </w:t>
      </w:r>
    </w:p>
    <w:p w14:paraId="25CCCB74">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 评标报告是评标委员会根据全体评标成员签字的原始评标记录和评标结果编写的报告，其主要内容包括： </w:t>
      </w:r>
    </w:p>
    <w:p w14:paraId="2F3CFD05">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（1）招标公告刊登的媒体名称、开标日期和地点； </w:t>
      </w:r>
    </w:p>
    <w:p w14:paraId="036A950A">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（2）购买磋商文件的投标人名单和评标委员会成员名单； </w:t>
      </w:r>
    </w:p>
    <w:p w14:paraId="1F129404">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（3）评标方法和标准； </w:t>
      </w:r>
    </w:p>
    <w:p w14:paraId="35A2ECBA">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（4）开标记录和评标情况及说明，包括投标无效投标人名单及原因； </w:t>
      </w:r>
    </w:p>
    <w:p w14:paraId="333973FC">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（5）评标结果和中标候选供应商排序表； </w:t>
      </w:r>
    </w:p>
    <w:p w14:paraId="3B4F81FD">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（6）评标委员会的授标建议。 </w:t>
      </w:r>
    </w:p>
    <w:p w14:paraId="72009F94">
      <w:pPr>
        <w:spacing w:line="490" w:lineRule="exact"/>
        <w:rPr>
          <w:rFonts w:hint="eastAsia" w:ascii="宋体" w:hAnsi="宋体" w:eastAsia="宋体" w:cs="宋体"/>
          <w:color w:val="000000" w:themeColor="text1"/>
          <w:sz w:val="24"/>
          <w:szCs w:val="24"/>
          <w14:textFill>
            <w14:solidFill>
              <w14:schemeClr w14:val="tx1"/>
            </w14:solidFill>
          </w14:textFill>
        </w:rPr>
      </w:pPr>
    </w:p>
    <w:p w14:paraId="38F80A09">
      <w:pPr>
        <w:numPr>
          <w:ilvl w:val="0"/>
          <w:numId w:val="0"/>
        </w:numPr>
        <w:autoSpaceDE w:val="0"/>
        <w:autoSpaceDN w:val="0"/>
        <w:adjustRightInd w:val="0"/>
        <w:jc w:val="both"/>
        <w:outlineLvl w:val="0"/>
        <w:rPr>
          <w:rFonts w:hint="eastAsia" w:ascii="宋体" w:hAnsi="宋体" w:eastAsia="宋体" w:cs="宋体"/>
          <w:b/>
          <w:color w:val="000000" w:themeColor="text1"/>
          <w:kern w:val="0"/>
          <w:sz w:val="36"/>
          <w:szCs w:val="36"/>
          <w14:textFill>
            <w14:solidFill>
              <w14:schemeClr w14:val="tx1"/>
            </w14:solidFill>
          </w14:textFill>
        </w:rPr>
      </w:pPr>
      <w:bookmarkStart w:id="23" w:name="_Toc5288"/>
      <w:r>
        <w:rPr>
          <w:rFonts w:hint="eastAsia" w:ascii="宋体" w:hAnsi="宋体" w:eastAsia="宋体" w:cs="宋体"/>
          <w:b/>
          <w:color w:val="000000" w:themeColor="text1"/>
          <w:kern w:val="0"/>
          <w:sz w:val="36"/>
          <w:szCs w:val="36"/>
          <w14:textFill>
            <w14:solidFill>
              <w14:schemeClr w14:val="tx1"/>
            </w14:solidFill>
          </w14:textFill>
        </w:rPr>
        <w:t>第五章  政府采购合同（仅供参考具体由甲乙双方协商）</w:t>
      </w:r>
      <w:bookmarkEnd w:id="23"/>
    </w:p>
    <w:p w14:paraId="4AF0526B">
      <w:pPr>
        <w:pStyle w:val="136"/>
        <w:jc w:val="center"/>
        <w:outlineLvl w:val="1"/>
        <w:rPr>
          <w:rFonts w:hint="eastAsia" w:ascii="宋体" w:hAnsi="宋体" w:eastAsia="宋体" w:cs="宋体"/>
          <w:b/>
          <w:color w:val="000000" w:themeColor="text1"/>
          <w:sz w:val="32"/>
          <w:szCs w:val="32"/>
          <w14:textFill>
            <w14:solidFill>
              <w14:schemeClr w14:val="tx1"/>
            </w14:solidFill>
          </w14:textFill>
        </w:rPr>
      </w:pPr>
      <w:bookmarkStart w:id="24" w:name="_Toc31337"/>
      <w:r>
        <w:rPr>
          <w:rFonts w:hint="eastAsia" w:ascii="宋体" w:hAnsi="宋体" w:eastAsia="宋体" w:cs="宋体"/>
          <w:b/>
          <w:color w:val="000000" w:themeColor="text1"/>
          <w:sz w:val="32"/>
          <w:szCs w:val="32"/>
          <w14:textFill>
            <w14:solidFill>
              <w14:schemeClr w14:val="tx1"/>
            </w14:solidFill>
          </w14:textFill>
        </w:rPr>
        <w:t>一、合同格式条款</w:t>
      </w:r>
      <w:bookmarkEnd w:id="24"/>
    </w:p>
    <w:p w14:paraId="585BEAF9">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 定义 </w:t>
      </w:r>
    </w:p>
    <w:p w14:paraId="762C30FD">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 合同当事人 </w:t>
      </w:r>
    </w:p>
    <w:p w14:paraId="6E14EFAC">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（1）采购人(以下称甲方)是指使用财政性资金，通过政府采购程序向供应商购买货物、服务的国家机关、事业单位、团体组织。 </w:t>
      </w:r>
    </w:p>
    <w:p w14:paraId="5EB77177">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（2）供应商(以下称乙方)是指参加政府采购活动而取得中标结果，并向采购人提供货物、服务的法人、其他组织或者自然人。 </w:t>
      </w:r>
    </w:p>
    <w:p w14:paraId="7C281E05">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 本合同下列术语应解释为： </w:t>
      </w:r>
    </w:p>
    <w:p w14:paraId="06E6244B">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（1）“合同”系指甲乙双方签署的、政府采购合同协议书中载明的甲乙双方所达成的协议，包括所有的附件、附录和上述文件所提到的构成合同的所有文件。 </w:t>
      </w:r>
    </w:p>
    <w:p w14:paraId="131B5F8E">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（2）“合同价”系指根据本合同规定乙方在正确地完全履行合同义务后甲方应支付给乙方的价款。 </w:t>
      </w:r>
    </w:p>
    <w:p w14:paraId="53C9F658">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（3）“货物”系指乙方根据本合同规定须向甲方提供的各种形态和种类的物品，包括原材料、设备、产品(包括软件)及相关的备品备件、工具、手册及其它技术资料和材料。 </w:t>
      </w:r>
    </w:p>
    <w:p w14:paraId="0D7DFC1B">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（4）“伴随服务”系指根据本合同规定乙方承担与供货有关的辅助服务，如运输、保险以及其它的伴随服务，例如安装、调试、提供技术协助、培训和合同中规定乙方应承担的其它义务。 </w:t>
      </w:r>
    </w:p>
    <w:p w14:paraId="20A91A85">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（5）“合同条款”系指本合同条款。 </w:t>
      </w:r>
    </w:p>
    <w:p w14:paraId="0CF1C119">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 合同的适用范围 </w:t>
      </w:r>
    </w:p>
    <w:p w14:paraId="2D8B91C7">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 本合同条款适用于没有被本合同其他部分的条款所取代的范围。 </w:t>
      </w:r>
    </w:p>
    <w:p w14:paraId="63CC6C1A">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 合同内容根据磋商文件、投标响应文件而确定。 </w:t>
      </w:r>
    </w:p>
    <w:p w14:paraId="5481D29F">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3. 合同标的及金额 </w:t>
      </w:r>
    </w:p>
    <w:p w14:paraId="1F7C4A93">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 合同标的及金额应与中标结果一致。 </w:t>
      </w:r>
    </w:p>
    <w:p w14:paraId="4022FEB1">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4. 合同价款 </w:t>
      </w:r>
    </w:p>
    <w:p w14:paraId="319F692C">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4.1. 乙方为履行本合同而发生的所有费用均应包含在合同价款中，甲方不再另行支付其它任何费用。 </w:t>
      </w:r>
    </w:p>
    <w:p w14:paraId="11730040">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5. 履行合同的时间、地点和方式 </w:t>
      </w:r>
    </w:p>
    <w:p w14:paraId="0DA9E1D7">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5.1. 乙方应当在甲方确定的时间、指定的地点履行合同。 </w:t>
      </w:r>
    </w:p>
    <w:p w14:paraId="49137C28">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5.2. 乙方提供服务的应当在甲方指定的地点完成服务项目。 </w:t>
      </w:r>
    </w:p>
    <w:p w14:paraId="21706E22">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 货物的验收</w:t>
      </w:r>
    </w:p>
    <w:p w14:paraId="62E3F6E5">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6.1. 甲方在收到乙方交付的货物后应当及时组织验收。 </w:t>
      </w:r>
    </w:p>
    <w:p w14:paraId="5A6EB3B3">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6.2. 货物的表面瑕疵，甲方应在验收时当面提出；对质量问题有异议的应在安装调试后十个工作日内提出。 </w:t>
      </w:r>
    </w:p>
    <w:p w14:paraId="25DD2E08">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6.3. 在验收过程中发现数量不足或有质量、技术等问题，乙方应负责按照甲方的要求采取补足、更换或退货等处理措施，并承担由此发生的一切费用和损失。 </w:t>
      </w:r>
    </w:p>
    <w:p w14:paraId="7455B5A9">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6.4. 甲方在乙方按合同规定交货或安装、调试后，无正当理由而拖延接收、验收或拒绝接收、验收的，应承担因此给乙方造成的直接损失。 </w:t>
      </w:r>
    </w:p>
    <w:p w14:paraId="0A9BF620">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6.5. 甲方对货物进行检查验收合格后，应当收取发票并在《交货验收单》上签署验收意见及加盖单位印章。 </w:t>
      </w:r>
    </w:p>
    <w:p w14:paraId="27638563">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6.6. 大型或者复杂的货物采购项目，甲方可以邀请国家认可的质量检测机构参加验收工作，并由其出具验收报告单。 </w:t>
      </w:r>
    </w:p>
    <w:p w14:paraId="2C2AB79B">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6.7. 乙方提供的进口产品，乙方应出示中华人民共和国进出口商品检验部门出具的检验证书（磋商文件 “技术规格、参数及要求”另有约定的除外）。 </w:t>
      </w:r>
    </w:p>
    <w:p w14:paraId="2258F8D2">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7. 货物包装要求 </w:t>
      </w:r>
    </w:p>
    <w:p w14:paraId="54A8BF22">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 乙方所出售的全部货物均应按标准保护措施进行包装，包装应适应于远距离运输、防潮、防震、防锈和防野蛮装卸等要求，以确保货物安全无损地运抵指定现场。由于包装防护措施不妥而引起的损坏、丢失由乙方负责。 </w:t>
      </w:r>
    </w:p>
    <w:p w14:paraId="07C1BB1B">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7.2. 每一个包装箱内应附一份详细装箱单、质量证书和保修保养证书。 </w:t>
      </w:r>
    </w:p>
    <w:p w14:paraId="29072465">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8. 运输和保险 </w:t>
      </w:r>
    </w:p>
    <w:p w14:paraId="26E9AD27">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 乙方负责办理将货物运抵交货地点的一切运输和保险事项，相关费用应包括在合同总价中。 </w:t>
      </w:r>
    </w:p>
    <w:p w14:paraId="32AFB422">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9. 质量标准和保证 </w:t>
      </w:r>
    </w:p>
    <w:p w14:paraId="7DF37F83">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 质量标准 </w:t>
      </w:r>
    </w:p>
    <w:p w14:paraId="629304AE">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（1）本合同下交付的货物应符合 “技术规格、参数与要求”所述的标准。如果没有提及适用标准，则应符合中华人民共和国有关机构发布的最新版本的标准。 </w:t>
      </w:r>
    </w:p>
    <w:p w14:paraId="06DA3C36">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（2）采用中华人民共和国法定计量单位。 </w:t>
      </w:r>
    </w:p>
    <w:p w14:paraId="76D10B84">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（3）乙方所出售的货物还应符合国家有关安全、环保、卫生之规定。</w:t>
      </w:r>
    </w:p>
    <w:p w14:paraId="10311BFE">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9.2. 保证 </w:t>
      </w:r>
    </w:p>
    <w:p w14:paraId="5C05DC8B">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磋商文件规定或乙方承诺（两者以较长的为准）的质量保证期内，本保证保持有效。 </w:t>
      </w:r>
    </w:p>
    <w:p w14:paraId="3041101C">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（2）在质量保证期内所发现的缺陷，甲方应尽快以书面形式通知乙方。 </w:t>
      </w:r>
    </w:p>
    <w:p w14:paraId="409C8218">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（3）乙方收到通知后应在磋商文件规定或乙方承诺（两者以较长的为准）的响应时间内以合理的速度免费维修或更换有缺陷的货物或部件。 </w:t>
      </w:r>
    </w:p>
    <w:p w14:paraId="5C2EB7FA">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（4）在质量保证期内，如果货物的质量或规格与合同不符，或证实货物是有缺陷的，包括潜在的缺陷或使用不符合要求的材料等，甲方可以根据本合同第15.1条规定以书面形式向乙方提出补救措施或索赔。 </w:t>
      </w:r>
    </w:p>
    <w:p w14:paraId="3A2E95F0">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（5）乙方在约定的时间内未能弥补缺陷，甲方可采取必要的补救措施，但其风险和费用将由乙方承担，甲方根据合同规定对乙方行使的其他权利不受影响。 </w:t>
      </w:r>
    </w:p>
    <w:p w14:paraId="1BBA086C">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（6）乙方向甲方缴纳5%的质量保证金</w:t>
      </w:r>
    </w:p>
    <w:p w14:paraId="3BC4F290">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10. 权利瑕疵担保 </w:t>
      </w:r>
    </w:p>
    <w:p w14:paraId="660A4378">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10.1. 乙方保证对其出售的货物享有合法的权利。 </w:t>
      </w:r>
    </w:p>
    <w:p w14:paraId="42F40E75">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 乙方保证在其出售的货物上不存在任何未曾向甲方透露的担保物权，如抵押权、质押权、留置权等。 </w:t>
      </w:r>
    </w:p>
    <w:p w14:paraId="7E1F3006">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10.3. 如甲方使用该货物构成上述侵权的，则由乙方承担全部责任。 </w:t>
      </w:r>
    </w:p>
    <w:p w14:paraId="656F7D8E">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11. 知识产权保护 </w:t>
      </w:r>
    </w:p>
    <w:p w14:paraId="070C15A0">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 乙方对其所销售的货物应当享有知识产权或经权利人合法授权，保证没有侵犯任何第三人的知识产权和商业秘密等权利。 </w:t>
      </w:r>
    </w:p>
    <w:p w14:paraId="287F6CA3">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甲方使用乙方提供的货物对第三人构成侵权的，应当由乙方承担全部法律责任，给甲方造成损害的，乙方应当承担赔偿责任。 </w:t>
      </w:r>
    </w:p>
    <w:p w14:paraId="0B365572">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11.3. 甲方委托乙方开发的产品，甲方享有知识产权，未经甲方许可不得转让任何第三人。 </w:t>
      </w:r>
    </w:p>
    <w:p w14:paraId="5E37B3A3">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12. 保密义务 </w:t>
      </w:r>
    </w:p>
    <w:p w14:paraId="4784D57E">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甲、乙双方在采购和履行合同过程中所获悉的对方属于保密的内容，双方均有保密义务</w:t>
      </w:r>
    </w:p>
    <w:p w14:paraId="45DD50AA">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13. 合同价款支付 </w:t>
      </w:r>
    </w:p>
    <w:p w14:paraId="20CE4D36">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13.1. 验收合格后，乙方出具正规发票给甲方，凭甲方开具的《政府采购合同验收报告单》办理合同价款结算手续。 </w:t>
      </w:r>
    </w:p>
    <w:p w14:paraId="5B05A7CF">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13.2. 支付合同价款时，一律不向乙方以外的任何第三方办理付款手续。开户行和帐号以签订的政府采购合同为准，如果乙方要求变更，则乙方必须提供加盖了财务专用章、法定代表人签字的证明文件，报经甲方审查同意。 </w:t>
      </w:r>
    </w:p>
    <w:p w14:paraId="5A1033A6">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14. 伴随服务 </w:t>
      </w:r>
    </w:p>
    <w:p w14:paraId="16B640E7">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14.1. 乙方应向甲方提交所提供货物的技术文件，包括相应的中文技术文件，如：产品目录、图纸、操作手册、使用说明、维护手册或服务指南。这些文件应包装好随同货物一起发运。 </w:t>
      </w:r>
    </w:p>
    <w:p w14:paraId="2E38EE1D">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14.2. 乙方还应提供下列服务： </w:t>
      </w:r>
    </w:p>
    <w:p w14:paraId="18541574">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（1）货物的现场移动、安装、调试、启动监督及技术支持； </w:t>
      </w:r>
    </w:p>
    <w:p w14:paraId="12C9C7FD">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（2）提供货物组装和维修所需的专用工具和辅助材料； </w:t>
      </w:r>
    </w:p>
    <w:p w14:paraId="77591BEC">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（3）在合同各方商定的一定期限内对所有的货物实施运行监督、维修，但前提条件是该服务并不能免除乙方在质量保证期内所承担的义务； </w:t>
      </w:r>
    </w:p>
    <w:p w14:paraId="3F5B61A8">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（4）在制造商或项目现场就货物的安装、启动、运营、维护对甲方操作人员进行培训。 </w:t>
      </w:r>
    </w:p>
    <w:p w14:paraId="7318523C">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14.3. 乙方提供的伴随服务的费用应包含在合同价款中，甲方不再另行支付。 </w:t>
      </w:r>
    </w:p>
    <w:p w14:paraId="1F38DC5F">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15. 违约责任 </w:t>
      </w:r>
    </w:p>
    <w:p w14:paraId="16E728D2">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15.1. 质量瑕疵的补救措施和索赔 </w:t>
      </w:r>
    </w:p>
    <w:p w14:paraId="6771A731">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 </w:t>
      </w:r>
    </w:p>
    <w:p w14:paraId="649ED247">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①乙方同意退货并将货款退还给甲方，由此发生的一切费用和损失由乙方承担。 </w:t>
      </w:r>
    </w:p>
    <w:p w14:paraId="377B8479">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②根据货物的质量状况以及甲方所遭受的损失，经过甲乙双方商定降低货物的价格。 </w:t>
      </w:r>
    </w:p>
    <w:p w14:paraId="7C8E4E19">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③乙方应在接到甲方通知后七日内负责采用符合合同规定的规格、质量和性能要求的新零件、部件和设备来更换有缺陷的部分或修补缺陷部分，其费用由乙方负担。 同时，乙方应在约定的质量保证期基础上相应延长修补和更换件的质量保证期。 </w:t>
      </w:r>
    </w:p>
    <w:p w14:paraId="26E3758D">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 </w:t>
      </w:r>
    </w:p>
    <w:p w14:paraId="0DEC1108">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15.2. 迟延交货的违约责任 </w:t>
      </w:r>
    </w:p>
    <w:p w14:paraId="66B045FF">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 </w:t>
      </w:r>
    </w:p>
    <w:p w14:paraId="5EA3E1CC">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除本合同第20条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 </w:t>
      </w:r>
    </w:p>
    <w:p w14:paraId="7C43BFDD">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如果乙方迟延交货，甲方有权终止全部或部分合同，并依其认为适当的条件和方法购买与未交货物类似的货物，乙方应对购买类似货物所超出的那部分费用负责。但是，乙方应继续执行合同中未终止的部分。 </w:t>
      </w:r>
    </w:p>
    <w:p w14:paraId="4919E86E">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16. 合同的变更 </w:t>
      </w:r>
    </w:p>
    <w:p w14:paraId="6F715F19">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16.1. 在合同履行过程中，甲、乙双方可就合同履行的时间、地点和方式等协商进行变更。协商一致后，双方应签订书面的补充协议。 </w:t>
      </w:r>
    </w:p>
    <w:p w14:paraId="42E01CB3">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16.2. 在不改变合同其他条款的前提下，甲方有权在合同价款百分之十的范围内追加与合同标的相同的货物或服务，并就此与乙方签订补充合同，乙方不得拒绝。 </w:t>
      </w:r>
    </w:p>
    <w:p w14:paraId="44C9F9B1">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16.3. 除双方签署书面协议，并成为合同不可分割的一部分外，本合同条件不得有任何变更。 </w:t>
      </w:r>
    </w:p>
    <w:p w14:paraId="6D936124">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17. 合同中止与终止 </w:t>
      </w:r>
    </w:p>
    <w:p w14:paraId="521985E4">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17.1. 合同的中止 </w:t>
      </w:r>
    </w:p>
    <w:p w14:paraId="64D15F9C">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（1）合同在履行过程中，因采购计划调整，甲方可以要求中止履行，待计划确定后继续履行； </w:t>
      </w:r>
    </w:p>
    <w:p w14:paraId="5759B4F2">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（2）合同履行过程中因供应商就采购过程或结果提起投诉的，甲方认为有必要或财政部门责令中止的，应当中止合同的履行。 </w:t>
      </w:r>
    </w:p>
    <w:p w14:paraId="225FB7C9">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17.2. 合同的终止 </w:t>
      </w:r>
    </w:p>
    <w:p w14:paraId="33E8E0E6">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（1）合同因有效期限届满而终止； </w:t>
      </w:r>
    </w:p>
    <w:p w14:paraId="3EE719DF">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（2）乙方未能依照本合同约定条件履行合同，已构成根本性违约的，甲方有权终止本合同，并追究乙方的违约责任。 </w:t>
      </w:r>
    </w:p>
    <w:p w14:paraId="5EFD7997">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（3）如果乙方丧失履约能力或被宣告破产，甲方可在任何时候以书面形式通知乙方终止合同而不给乙方补偿。 </w:t>
      </w:r>
    </w:p>
    <w:p w14:paraId="23CC9BAA">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（4）如果乙方在履行合同过程中有不正当竞争行为，甲方有权解除合同，并按《中华人民共和国反不正当竞争法》规定由有关部门追究其法律责任。 </w:t>
      </w:r>
    </w:p>
    <w:p w14:paraId="02AA5200">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（5）如果合同的履行将损害国家利益或社会公共利益，甲方有权终止合同的履行，给乙方造成损失的予以相应补偿。 </w:t>
      </w:r>
    </w:p>
    <w:p w14:paraId="1A34235E">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18. 合同转让和分包 </w:t>
      </w:r>
    </w:p>
    <w:p w14:paraId="2F3450DD">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18.1. 乙方不得以任何形式将合同转包。 </w:t>
      </w:r>
    </w:p>
    <w:p w14:paraId="018A5C98">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18.2. 乙方未在投标响应文件中说明，不得将合同的非主体、非关键性工作分包给他人。 </w:t>
      </w:r>
    </w:p>
    <w:p w14:paraId="257CAB64">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18.3. 根据政府采购支持中小企业发展政策规定，经甲方同意，获得政府采购合同的大型企业可依法向中小企业分包。 </w:t>
      </w:r>
    </w:p>
    <w:p w14:paraId="51AEF027">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19. 不可抗力 </w:t>
      </w:r>
    </w:p>
    <w:p w14:paraId="5423F314">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19.1. 不可抗力是指合同双方不可预见、不可避免、不可克服的自然灾害和社会事件。 </w:t>
      </w:r>
    </w:p>
    <w:p w14:paraId="63EFD027">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19.2. 任何一方对由于不可抗力造成的部分或全部不能履行合同不承担违约责任。但迟延履行后发生不可抗力的，不能免除责任。 </w:t>
      </w:r>
    </w:p>
    <w:p w14:paraId="07113778">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19.3. 遇有不可抗力的一方，应在三日内将事件的情况以书面形式通知另一方，并在事件发生后十日内，向另一方提交合同不能履行或部分不能履行或需要延期履行理由的报告。 </w:t>
      </w:r>
    </w:p>
    <w:p w14:paraId="2220B5D2">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20. 解决争议的方法 </w:t>
      </w:r>
    </w:p>
    <w:p w14:paraId="432ED58E">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20.1. 合同各方应通过友好协商，解决在执行合同过程中所发生的或与合同有关的一切争端。如从协商开始后十日内仍不能解决，可以向财政部门提请调解。 </w:t>
      </w:r>
    </w:p>
    <w:p w14:paraId="0BE09454">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20.2. 调解不成可以按下列方式之一提起仲裁或诉讼： </w:t>
      </w:r>
    </w:p>
    <w:p w14:paraId="6199A897">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（1）向甲方所在地仲裁机构提起仲裁； </w:t>
      </w:r>
    </w:p>
    <w:p w14:paraId="4684F8E3">
      <w:pPr>
        <w:spacing w:line="4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（2）向甲方所在地人民法院提起诉讼。 </w:t>
      </w:r>
    </w:p>
    <w:p w14:paraId="60C01561">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20.3. 如仲裁或诉讼事项不影响合同其它部分的履行，则在仲裁或诉讼期间，除正在进行仲裁或诉讼的部分外，合同的其它部分应继续执行。 </w:t>
      </w:r>
    </w:p>
    <w:p w14:paraId="47679B2F">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21. 法律适用 </w:t>
      </w:r>
    </w:p>
    <w:p w14:paraId="79FA2AA3">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21.1. 本合同适用中华人民共和国现行法律、行政法规和规章，如合同条款与法律、行政法规和规章不一致的，按照法律、行政法规和规章修改本合同。 </w:t>
      </w:r>
    </w:p>
    <w:p w14:paraId="54B5D605">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22. 通知 </w:t>
      </w:r>
    </w:p>
    <w:p w14:paraId="58224B05">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22.1. 本合同一方给另一方的通知均应采用书面形式，传真或快递送到对方的地址和办理签收手续。 </w:t>
      </w:r>
    </w:p>
    <w:p w14:paraId="650B13BF">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22.2. 通知以送到之日或通知书中规定的生效之日起生效，两者中以较迟之日为准。 </w:t>
      </w:r>
    </w:p>
    <w:p w14:paraId="37EC4B4F">
      <w:pPr>
        <w:spacing w:line="4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23. 合同生效 </w:t>
      </w:r>
    </w:p>
    <w:p w14:paraId="60930B4D">
      <w:pPr>
        <w:spacing w:line="46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 本合同在甲乙双方共同签字盖章后生效。</w:t>
      </w:r>
      <w:r>
        <w:rPr>
          <w:rFonts w:hint="eastAsia" w:ascii="宋体" w:hAnsi="宋体" w:eastAsia="宋体" w:cs="宋体"/>
          <w:color w:val="000000" w:themeColor="text1"/>
          <w:kern w:val="0"/>
          <w:sz w:val="24"/>
          <w:szCs w:val="24"/>
          <w14:textFill>
            <w14:solidFill>
              <w14:schemeClr w14:val="tx1"/>
            </w14:solidFill>
          </w14:textFill>
        </w:rPr>
        <w:t xml:space="preserve"> </w:t>
      </w:r>
    </w:p>
    <w:p w14:paraId="35392FDB">
      <w:pPr>
        <w:pStyle w:val="11"/>
        <w:rPr>
          <w:rFonts w:hint="eastAsia" w:ascii="宋体" w:hAnsi="宋体" w:eastAsia="宋体" w:cs="宋体"/>
          <w:sz w:val="24"/>
          <w:szCs w:val="24"/>
        </w:rPr>
      </w:pPr>
    </w:p>
    <w:p w14:paraId="15F121AC">
      <w:pPr>
        <w:pStyle w:val="136"/>
        <w:jc w:val="center"/>
        <w:outlineLvl w:val="1"/>
        <w:rPr>
          <w:rFonts w:hint="eastAsia" w:ascii="宋体" w:hAnsi="宋体" w:eastAsia="宋体" w:cs="宋体"/>
          <w:color w:val="000000" w:themeColor="text1"/>
          <w:sz w:val="32"/>
          <w:szCs w:val="32"/>
          <w14:textFill>
            <w14:solidFill>
              <w14:schemeClr w14:val="tx1"/>
            </w14:solidFill>
          </w14:textFill>
        </w:rPr>
      </w:pPr>
      <w:bookmarkStart w:id="25" w:name="_Toc31734"/>
      <w:r>
        <w:rPr>
          <w:rFonts w:hint="eastAsia" w:ascii="宋体" w:hAnsi="宋体" w:eastAsia="宋体" w:cs="宋体"/>
          <w:b/>
          <w:color w:val="000000" w:themeColor="text1"/>
          <w:sz w:val="32"/>
          <w:szCs w:val="32"/>
          <w14:textFill>
            <w14:solidFill>
              <w14:schemeClr w14:val="tx1"/>
            </w14:solidFill>
          </w14:textFill>
        </w:rPr>
        <w:t>二、政府采购合同</w:t>
      </w:r>
      <w:bookmarkEnd w:id="25"/>
    </w:p>
    <w:p w14:paraId="040D9F29">
      <w:pPr>
        <w:pStyle w:val="136"/>
        <w:spacing w:line="490" w:lineRule="exact"/>
        <w:ind w:left="1423" w:leftChars="320" w:hanging="751" w:hangingChars="313"/>
        <w:rPr>
          <w:rFonts w:hint="eastAsia" w:ascii="宋体" w:hAnsi="宋体" w:eastAsia="宋体" w:cs="宋体"/>
          <w:color w:val="000000" w:themeColor="text1"/>
          <w:kern w:val="2"/>
          <w:sz w:val="24"/>
          <w:szCs w:val="24"/>
          <w14:textFill>
            <w14:solidFill>
              <w14:schemeClr w14:val="tx1"/>
            </w14:solidFill>
          </w14:textFill>
        </w:rPr>
      </w:pPr>
    </w:p>
    <w:p w14:paraId="3D6400EB">
      <w:pPr>
        <w:pStyle w:val="136"/>
        <w:spacing w:line="490" w:lineRule="exact"/>
        <w:ind w:left="1423" w:leftChars="320" w:hanging="751" w:hangingChars="313"/>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采购人（全称）：</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 xml:space="preserve">（甲方） </w:t>
      </w:r>
    </w:p>
    <w:p w14:paraId="5DB5F3DA">
      <w:pPr>
        <w:pStyle w:val="136"/>
        <w:spacing w:line="400" w:lineRule="exact"/>
        <w:ind w:firstLine="600" w:firstLineChars="25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供应商（全称）：</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（乙方）</w:t>
      </w:r>
    </w:p>
    <w:p w14:paraId="751CCBA1">
      <w:pPr>
        <w:pStyle w:val="136"/>
        <w:spacing w:line="400" w:lineRule="exact"/>
        <w:ind w:firstLine="600" w:firstLineChars="25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为了保护甲、乙双方合法权益，根据《中华人民共和国合同法》、《中华人民共和国政府采购法》及其他有关法律、法规、规章，双方签订本合同。 </w:t>
      </w:r>
    </w:p>
    <w:p w14:paraId="6F9E5E76">
      <w:pPr>
        <w:pStyle w:val="136"/>
        <w:spacing w:line="400" w:lineRule="exact"/>
        <w:ind w:firstLine="240" w:firstLineChars="100"/>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1.合同标的及金额</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224"/>
        <w:gridCol w:w="1224"/>
        <w:gridCol w:w="1224"/>
        <w:gridCol w:w="1225"/>
        <w:gridCol w:w="1225"/>
        <w:gridCol w:w="1226"/>
      </w:tblGrid>
      <w:tr w14:paraId="6BF1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24" w:type="dxa"/>
            <w:vAlign w:val="center"/>
          </w:tcPr>
          <w:p w14:paraId="481F5E23">
            <w:pPr>
              <w:pStyle w:val="136"/>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24" w:type="dxa"/>
            <w:vAlign w:val="center"/>
          </w:tcPr>
          <w:p w14:paraId="33572541">
            <w:pPr>
              <w:pStyle w:val="136"/>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标的名称</w:t>
            </w:r>
          </w:p>
        </w:tc>
        <w:tc>
          <w:tcPr>
            <w:tcW w:w="1224" w:type="dxa"/>
            <w:vAlign w:val="center"/>
          </w:tcPr>
          <w:p w14:paraId="71E70848">
            <w:pPr>
              <w:pStyle w:val="136"/>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型号规格</w:t>
            </w:r>
          </w:p>
        </w:tc>
        <w:tc>
          <w:tcPr>
            <w:tcW w:w="1224" w:type="dxa"/>
            <w:vAlign w:val="center"/>
          </w:tcPr>
          <w:p w14:paraId="7CEC300F">
            <w:pPr>
              <w:pStyle w:val="136"/>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225" w:type="dxa"/>
            <w:vAlign w:val="center"/>
          </w:tcPr>
          <w:p w14:paraId="6C3D5100">
            <w:pPr>
              <w:pStyle w:val="136"/>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1225" w:type="dxa"/>
            <w:vAlign w:val="center"/>
          </w:tcPr>
          <w:p w14:paraId="2D8F9DD0">
            <w:pPr>
              <w:pStyle w:val="136"/>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1226" w:type="dxa"/>
            <w:vAlign w:val="center"/>
          </w:tcPr>
          <w:p w14:paraId="0C44253A">
            <w:pPr>
              <w:pStyle w:val="136"/>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0B83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24" w:type="dxa"/>
          </w:tcPr>
          <w:p w14:paraId="4BA226F0">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224" w:type="dxa"/>
          </w:tcPr>
          <w:p w14:paraId="3D6BE723">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224" w:type="dxa"/>
          </w:tcPr>
          <w:p w14:paraId="7D70F35E">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224" w:type="dxa"/>
          </w:tcPr>
          <w:p w14:paraId="450AE4CB">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225" w:type="dxa"/>
          </w:tcPr>
          <w:p w14:paraId="71D4A9AB">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225" w:type="dxa"/>
          </w:tcPr>
          <w:p w14:paraId="0CC44468">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226" w:type="dxa"/>
          </w:tcPr>
          <w:p w14:paraId="69704B07">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r>
      <w:tr w14:paraId="1C16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24" w:type="dxa"/>
          </w:tcPr>
          <w:p w14:paraId="135C3FAF">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224" w:type="dxa"/>
          </w:tcPr>
          <w:p w14:paraId="7AEBF0B1">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224" w:type="dxa"/>
          </w:tcPr>
          <w:p w14:paraId="56E538CD">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224" w:type="dxa"/>
          </w:tcPr>
          <w:p w14:paraId="05757F40">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225" w:type="dxa"/>
          </w:tcPr>
          <w:p w14:paraId="0780FBE2">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225" w:type="dxa"/>
          </w:tcPr>
          <w:p w14:paraId="1409B703">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226" w:type="dxa"/>
          </w:tcPr>
          <w:p w14:paraId="45A79537">
            <w:pPr>
              <w:autoSpaceDE w:val="0"/>
              <w:autoSpaceDN w:val="0"/>
              <w:adjustRightIn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r>
      <w:tr w14:paraId="3A9F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572" w:type="dxa"/>
            <w:gridSpan w:val="7"/>
            <w:vAlign w:val="center"/>
          </w:tcPr>
          <w:p w14:paraId="76B61A65">
            <w:pPr>
              <w:pStyle w:val="136"/>
              <w:spacing w:line="40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合同金额小写：</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EBE35E5">
            <w:pPr>
              <w:autoSpaceDE w:val="0"/>
              <w:autoSpaceDN w:val="0"/>
              <w:adjustRightInd w:val="0"/>
              <w:spacing w:line="400" w:lineRule="exact"/>
              <w:ind w:firstLine="960" w:firstLineChars="4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大写：</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tc>
      </w:tr>
    </w:tbl>
    <w:p w14:paraId="3B67C073">
      <w:pPr>
        <w:spacing w:line="400" w:lineRule="exact"/>
        <w:ind w:firstLine="360" w:firstLineChars="150"/>
        <w:rPr>
          <w:rFonts w:hint="eastAsia"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2.履行合同的时间、地点及方式：</w:t>
      </w:r>
      <w:r>
        <w:rPr>
          <w:rFonts w:hint="eastAsia" w:ascii="宋体" w:hAnsi="宋体" w:eastAsia="宋体" w:cs="宋体"/>
          <w:b/>
          <w:color w:val="000000" w:themeColor="text1"/>
          <w:sz w:val="24"/>
          <w:szCs w:val="24"/>
          <w:u w:val="single"/>
          <w14:textFill>
            <w14:solidFill>
              <w14:schemeClr w14:val="tx1"/>
            </w14:solidFill>
          </w14:textFill>
        </w:rPr>
        <w:t xml:space="preserve">                    </w:t>
      </w:r>
    </w:p>
    <w:p w14:paraId="7B78D3AB">
      <w:pPr>
        <w:spacing w:line="400" w:lineRule="exact"/>
        <w:ind w:firstLine="360" w:firstLineChars="1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3.付款：</w:t>
      </w:r>
      <w:r>
        <w:rPr>
          <w:rFonts w:hint="eastAsia" w:ascii="宋体" w:hAnsi="宋体" w:eastAsia="宋体" w:cs="宋体"/>
          <w:b/>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w:t>
      </w:r>
    </w:p>
    <w:p w14:paraId="06B9FDE9">
      <w:pPr>
        <w:spacing w:line="400" w:lineRule="exact"/>
        <w:ind w:firstLine="360" w:firstLineChars="15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4.解决合同纠纷方式 </w:t>
      </w:r>
    </w:p>
    <w:p w14:paraId="4EC823A8">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首先通过双方协商解决，协商解决不成，则通过以下途径之一解决纠纷： </w:t>
      </w:r>
    </w:p>
    <w:p w14:paraId="2C0C03EA">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提请仲裁 □ 向人民法院提起诉讼 </w:t>
      </w:r>
    </w:p>
    <w:p w14:paraId="62D8E4DA">
      <w:pPr>
        <w:spacing w:line="400" w:lineRule="exact"/>
        <w:ind w:firstLine="360" w:firstLineChars="15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5.组成合同的文件 </w:t>
      </w:r>
    </w:p>
    <w:p w14:paraId="429FA8F3">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合同由以下文件构成，如下述文件之间有任何抵触、矛盾或歧义，应按以下顺序解释： </w:t>
      </w:r>
    </w:p>
    <w:p w14:paraId="23213DB5">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（1）在采购或合同履行过程中乙方作出的承诺以及双方协商达成的变更或补充协议；</w:t>
      </w:r>
    </w:p>
    <w:p w14:paraId="72E35583">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（2）本合同协议书 </w:t>
      </w:r>
    </w:p>
    <w:p w14:paraId="60DB3BAA">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（3）中标通知书 </w:t>
      </w:r>
    </w:p>
    <w:p w14:paraId="6090D04E">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（4）合同格式条款 </w:t>
      </w:r>
    </w:p>
    <w:p w14:paraId="34392825">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（5）投标响应文件 </w:t>
      </w:r>
    </w:p>
    <w:p w14:paraId="061BF00E">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（6）磋商文件 </w:t>
      </w:r>
    </w:p>
    <w:p w14:paraId="7C67BD89">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（7）标准、规范及有关技术文件</w:t>
      </w:r>
    </w:p>
    <w:p w14:paraId="43B0B34A">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p>
    <w:p w14:paraId="7A0DD00D">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合同订立时间：</w:t>
      </w:r>
      <w:r>
        <w:rPr>
          <w:rFonts w:hint="eastAsia" w:ascii="宋体" w:hAnsi="宋体" w:eastAsia="宋体" w:cs="宋体"/>
          <w:b/>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年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1F7A0ED6">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合同订立地点：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4631E53D">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p>
    <w:p w14:paraId="4F9BFA06">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 方：（公章） </w:t>
      </w:r>
    </w:p>
    <w:p w14:paraId="686373B3">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0E6D9589">
      <w:pPr>
        <w:spacing w:line="400" w:lineRule="exact"/>
        <w:ind w:firstLine="360" w:firstLineChars="1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5B0E901C">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47D6F40D">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381A039F">
      <w:pPr>
        <w:spacing w:line="400" w:lineRule="exact"/>
        <w:ind w:firstLine="360" w:firstLineChars="1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03F567D7">
      <w:pPr>
        <w:spacing w:line="400" w:lineRule="exact"/>
        <w:ind w:firstLine="360" w:firstLineChars="150"/>
        <w:rPr>
          <w:rFonts w:hint="eastAsia" w:ascii="宋体" w:hAnsi="宋体" w:eastAsia="宋体" w:cs="宋体"/>
          <w:color w:val="000000" w:themeColor="text1"/>
          <w:sz w:val="24"/>
          <w:szCs w:val="24"/>
          <w:u w:val="single"/>
          <w14:textFill>
            <w14:solidFill>
              <w14:schemeClr w14:val="tx1"/>
            </w14:solidFill>
          </w14:textFill>
        </w:rPr>
      </w:pPr>
    </w:p>
    <w:p w14:paraId="51A7F227">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乙 方：（公章） </w:t>
      </w:r>
    </w:p>
    <w:p w14:paraId="374F1E0D">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3549FE9D">
      <w:pPr>
        <w:spacing w:line="400" w:lineRule="exact"/>
        <w:ind w:firstLine="360" w:firstLineChars="1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0AEBCA19">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689ACF94">
      <w:pPr>
        <w:spacing w:line="4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39FE495C">
      <w:pPr>
        <w:spacing w:line="400" w:lineRule="exact"/>
        <w:ind w:firstLine="360" w:firstLineChars="1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4E4ED2C0">
      <w:pPr>
        <w:autoSpaceDE w:val="0"/>
        <w:autoSpaceDN w:val="0"/>
        <w:adjustRightInd w:val="0"/>
        <w:jc w:val="center"/>
        <w:rPr>
          <w:rFonts w:hint="eastAsia" w:ascii="宋体" w:hAnsi="宋体" w:eastAsia="宋体" w:cs="宋体"/>
          <w:b/>
          <w:color w:val="000000" w:themeColor="text1"/>
          <w:kern w:val="0"/>
          <w:sz w:val="24"/>
          <w:szCs w:val="24"/>
          <w14:textFill>
            <w14:solidFill>
              <w14:schemeClr w14:val="tx1"/>
            </w14:solidFill>
          </w14:textFill>
        </w:rPr>
      </w:pPr>
    </w:p>
    <w:p w14:paraId="49FC3D38">
      <w:pPr>
        <w:autoSpaceDE w:val="0"/>
        <w:autoSpaceDN w:val="0"/>
        <w:adjustRightInd w:val="0"/>
        <w:jc w:val="center"/>
        <w:rPr>
          <w:rFonts w:hint="eastAsia" w:ascii="宋体" w:hAnsi="宋体" w:eastAsia="宋体" w:cs="宋体"/>
          <w:b/>
          <w:color w:val="000000" w:themeColor="text1"/>
          <w:kern w:val="0"/>
          <w:sz w:val="24"/>
          <w:szCs w:val="24"/>
          <w14:textFill>
            <w14:solidFill>
              <w14:schemeClr w14:val="tx1"/>
            </w14:solidFill>
          </w14:textFill>
        </w:rPr>
      </w:pPr>
    </w:p>
    <w:p w14:paraId="6505F0E5">
      <w:pPr>
        <w:autoSpaceDE w:val="0"/>
        <w:autoSpaceDN w:val="0"/>
        <w:adjustRightInd w:val="0"/>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14:paraId="7768ECCF">
      <w:pPr>
        <w:numPr>
          <w:ilvl w:val="0"/>
          <w:numId w:val="0"/>
        </w:numPr>
        <w:autoSpaceDE w:val="0"/>
        <w:autoSpaceDN w:val="0"/>
        <w:adjustRightInd w:val="0"/>
        <w:jc w:val="center"/>
        <w:outlineLvl w:val="0"/>
        <w:rPr>
          <w:rFonts w:hint="eastAsia" w:ascii="宋体" w:hAnsi="宋体" w:eastAsia="宋体" w:cs="宋体"/>
          <w:b/>
          <w:color w:val="000000" w:themeColor="text1"/>
          <w:kern w:val="0"/>
          <w:sz w:val="36"/>
          <w:szCs w:val="36"/>
          <w14:textFill>
            <w14:solidFill>
              <w14:schemeClr w14:val="tx1"/>
            </w14:solidFill>
          </w14:textFill>
        </w:rPr>
      </w:pPr>
      <w:bookmarkStart w:id="26" w:name="_Toc31493"/>
      <w:bookmarkStart w:id="27" w:name="_Toc13262"/>
      <w:r>
        <w:rPr>
          <w:rFonts w:hint="eastAsia" w:ascii="宋体" w:hAnsi="宋体" w:eastAsia="宋体" w:cs="宋体"/>
          <w:b/>
          <w:color w:val="000000" w:themeColor="text1"/>
          <w:kern w:val="0"/>
          <w:sz w:val="36"/>
          <w:szCs w:val="36"/>
          <w:lang w:val="en-US" w:eastAsia="zh-CN" w:bidi="ar-SA"/>
          <w14:textFill>
            <w14:solidFill>
              <w14:schemeClr w14:val="tx1"/>
            </w14:solidFill>
          </w14:textFill>
        </w:rPr>
        <w:t>第</w:t>
      </w:r>
      <w:r>
        <w:rPr>
          <w:rFonts w:hint="eastAsia" w:ascii="宋体" w:hAnsi="宋体" w:cs="宋体"/>
          <w:b/>
          <w:color w:val="000000" w:themeColor="text1"/>
          <w:kern w:val="0"/>
          <w:sz w:val="36"/>
          <w:szCs w:val="36"/>
          <w:lang w:val="en-US" w:eastAsia="zh-CN" w:bidi="ar-SA"/>
          <w14:textFill>
            <w14:solidFill>
              <w14:schemeClr w14:val="tx1"/>
            </w14:solidFill>
          </w14:textFill>
        </w:rPr>
        <w:t>六</w:t>
      </w:r>
      <w:r>
        <w:rPr>
          <w:rFonts w:hint="eastAsia" w:ascii="宋体" w:hAnsi="宋体" w:eastAsia="宋体" w:cs="宋体"/>
          <w:b/>
          <w:color w:val="000000" w:themeColor="text1"/>
          <w:kern w:val="0"/>
          <w:sz w:val="36"/>
          <w:szCs w:val="36"/>
          <w:lang w:val="en-US" w:eastAsia="zh-CN" w:bidi="ar-SA"/>
          <w14:textFill>
            <w14:solidFill>
              <w14:schemeClr w14:val="tx1"/>
            </w14:solidFill>
          </w14:textFill>
        </w:rPr>
        <w:t>章</w:t>
      </w:r>
      <w:r>
        <w:rPr>
          <w:rFonts w:hint="eastAsia" w:ascii="宋体" w:hAnsi="宋体" w:eastAsia="宋体" w:cs="宋体"/>
          <w:b/>
          <w:color w:val="000000" w:themeColor="text1"/>
          <w:kern w:val="0"/>
          <w:sz w:val="36"/>
          <w:szCs w:val="36"/>
          <w14:textFill>
            <w14:solidFill>
              <w14:schemeClr w14:val="tx1"/>
            </w14:solidFill>
          </w14:textFill>
        </w:rPr>
        <w:t>投标响应文件格式</w:t>
      </w:r>
      <w:bookmarkEnd w:id="26"/>
      <w:bookmarkEnd w:id="27"/>
    </w:p>
    <w:p w14:paraId="17B22A99">
      <w:pPr>
        <w:pStyle w:val="33"/>
        <w:rPr>
          <w:rFonts w:hint="eastAsia"/>
        </w:rPr>
      </w:pPr>
    </w:p>
    <w:p w14:paraId="7C66DC7C">
      <w:pPr>
        <w:pStyle w:val="33"/>
        <w:numPr>
          <w:ilvl w:val="0"/>
          <w:numId w:val="0"/>
        </w:numPr>
        <w:rPr>
          <w:b/>
          <w:bCs/>
          <w:sz w:val="24"/>
          <w:szCs w:val="24"/>
        </w:rPr>
      </w:pPr>
      <w:r>
        <w:rPr>
          <w:rFonts w:hint="eastAsia"/>
          <w:b/>
          <w:bCs/>
          <w:sz w:val="24"/>
          <w:szCs w:val="24"/>
          <w:lang w:val="en-US" w:eastAsia="zh-CN"/>
        </w:rPr>
        <w:t>包括但不限于以下内容，相关表格格式投标人可自行调整，投标方案等由投标人自行拟定</w:t>
      </w:r>
    </w:p>
    <w:p w14:paraId="386C5908">
      <w:pPr>
        <w:spacing w:line="490" w:lineRule="exact"/>
        <w:jc w:val="center"/>
        <w:outlineLvl w:val="1"/>
        <w:rPr>
          <w:rFonts w:hint="eastAsia" w:ascii="宋体" w:hAnsi="宋体" w:eastAsia="宋体" w:cs="宋体"/>
          <w:b/>
          <w:color w:val="000000" w:themeColor="text1"/>
          <w:sz w:val="32"/>
          <w:szCs w:val="32"/>
          <w14:textFill>
            <w14:solidFill>
              <w14:schemeClr w14:val="tx1"/>
            </w14:solidFill>
          </w14:textFill>
        </w:rPr>
      </w:pPr>
      <w:bookmarkStart w:id="28" w:name="_Toc6140"/>
      <w:r>
        <w:rPr>
          <w:rFonts w:hint="eastAsia" w:ascii="宋体" w:hAnsi="宋体" w:eastAsia="宋体" w:cs="宋体"/>
          <w:b/>
          <w:color w:val="000000" w:themeColor="text1"/>
          <w:sz w:val="32"/>
          <w:szCs w:val="32"/>
          <w14:textFill>
            <w14:solidFill>
              <w14:schemeClr w14:val="tx1"/>
            </w14:solidFill>
          </w14:textFill>
        </w:rPr>
        <w:t>一、投标承诺书</w:t>
      </w:r>
      <w:bookmarkEnd w:id="28"/>
    </w:p>
    <w:p w14:paraId="21416FC9">
      <w:pPr>
        <w:spacing w:line="49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(采购人) </w:t>
      </w:r>
    </w:p>
    <w:p w14:paraId="503A8A44">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根据贵方为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（项目名称）的投标邀请（招标编号：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）的要求，为杜绝商业欺诈和商业贿赂行为，我公司在此庄严承诺： </w:t>
      </w:r>
    </w:p>
    <w:p w14:paraId="389A4A1C">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1、在参与政府采购活动中遵纪守法、诚信经营、公平竞争。 </w:t>
      </w:r>
    </w:p>
    <w:p w14:paraId="29B96976">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2、不向采购人、招标代理机购和采购评审专家进行任何形式的商业贿赂以谋取交易机会。 </w:t>
      </w:r>
    </w:p>
    <w:p w14:paraId="59B80B43">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3、不向采购人和招标代理机构提供虚假资格文件或采用虚假应标方式参与政府采购市场竞争并谋取中标、成交。 </w:t>
      </w:r>
    </w:p>
    <w:p w14:paraId="311CFA2A">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4、我公司投标响应文件中所提供的货物和服务的参数都如实描述，无任何虚假情况。 </w:t>
      </w:r>
    </w:p>
    <w:p w14:paraId="46B07F1A">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5、不采取“围标、陪标”等商业欺诈手段获得政府采购定单。 </w:t>
      </w:r>
    </w:p>
    <w:p w14:paraId="2B6ED262">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6、不采取不正当手段诋毁、排挤其他供应商。 </w:t>
      </w:r>
    </w:p>
    <w:p w14:paraId="0F5C761E">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7、不在提供货物和服务时“偷梁换柱、以次充好”损害采购人的合法权益。 </w:t>
      </w:r>
    </w:p>
    <w:p w14:paraId="66CFBBC9">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8、不与采购人、招标代理机构和采购评审专家或其它供应商恶意串通，进行质疑和投诉，维护政府采购市场秩序。 </w:t>
      </w:r>
    </w:p>
    <w:p w14:paraId="64424FAA">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9、尊重和接受政府采购监督管理部门的监督，承担因违规违约行为给采购人造成的损失。 </w:t>
      </w:r>
    </w:p>
    <w:p w14:paraId="07358229">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10、不发生其他有悖于政府采购公平、公正和诚信原则的行为。 </w:t>
      </w:r>
    </w:p>
    <w:p w14:paraId="46264708">
      <w:pPr>
        <w:spacing w:line="49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以上承诺如有违反，除被没收投标保证金外，还自愿承担一切法律责任及后果。 </w:t>
      </w:r>
    </w:p>
    <w:p w14:paraId="7A330088">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p>
    <w:p w14:paraId="2F6BD406">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投标人名称(盖公章)：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03276F66">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法定代表人（负责人）或其授权的代理人(签字)：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06F6924C">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日 </w:t>
      </w:r>
    </w:p>
    <w:p w14:paraId="0F7486E8">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备注：对本投标承诺书的任何修改将被视为非实质性响应投标，在评标时将其视为无效投标。</w:t>
      </w:r>
    </w:p>
    <w:p w14:paraId="26C38207">
      <w:pPr>
        <w:spacing w:line="490" w:lineRule="exact"/>
        <w:jc w:val="center"/>
        <w:outlineLvl w:val="1"/>
        <w:rPr>
          <w:rFonts w:hint="eastAsia" w:ascii="宋体" w:hAnsi="宋体" w:eastAsia="宋体" w:cs="宋体"/>
          <w:color w:val="000000" w:themeColor="text1"/>
          <w:sz w:val="32"/>
          <w:szCs w:val="32"/>
          <w14:textFill>
            <w14:solidFill>
              <w14:schemeClr w14:val="tx1"/>
            </w14:solidFill>
          </w14:textFill>
        </w:rPr>
      </w:pPr>
      <w:bookmarkStart w:id="29" w:name="_Toc17604"/>
      <w:r>
        <w:rPr>
          <w:rFonts w:hint="eastAsia" w:ascii="宋体" w:hAnsi="宋体" w:eastAsia="宋体" w:cs="宋体"/>
          <w:b/>
          <w:color w:val="000000" w:themeColor="text1"/>
          <w:sz w:val="32"/>
          <w:szCs w:val="32"/>
          <w14:textFill>
            <w14:solidFill>
              <w14:schemeClr w14:val="tx1"/>
            </w14:solidFill>
          </w14:textFill>
        </w:rPr>
        <w:t>二、投标函</w:t>
      </w:r>
      <w:bookmarkEnd w:id="29"/>
    </w:p>
    <w:p w14:paraId="45B19816">
      <w:pPr>
        <w:spacing w:line="490" w:lineRule="exact"/>
        <w:rPr>
          <w:rFonts w:hint="eastAsia" w:ascii="宋体" w:hAnsi="宋体" w:eastAsia="宋体" w:cs="宋体"/>
          <w:color w:val="000000" w:themeColor="text1"/>
          <w:sz w:val="24"/>
          <w:szCs w:val="24"/>
          <w14:textFill>
            <w14:solidFill>
              <w14:schemeClr w14:val="tx1"/>
            </w14:solidFill>
          </w14:textFill>
        </w:rPr>
      </w:pPr>
    </w:p>
    <w:p w14:paraId="70D100D3">
      <w:pPr>
        <w:spacing w:line="49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(采购人)</w:t>
      </w:r>
    </w:p>
    <w:p w14:paraId="3A8DBA4B">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根据贵方为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（项目名称）的投标邀请（招标编号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），签字代表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（姓名、职务）经正式授权并代表投标人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（投标人名称、地址）提交下述文件正本一份、副本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份并在此声明，所递交的投标响应文件内容完整、真实。</w:t>
      </w:r>
    </w:p>
    <w:p w14:paraId="24E32D4B">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1、商务文件：投标承诺书、投标函、开标报价一览表、分项价格表、投标人资格证明文件、商务响应说明书； </w:t>
      </w:r>
    </w:p>
    <w:p w14:paraId="02A3E65D">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2、技术文件：投标方案说明书。 </w:t>
      </w:r>
    </w:p>
    <w:p w14:paraId="79CA0104">
      <w:pPr>
        <w:spacing w:line="49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在此，签字代表宣布同意如下： </w:t>
      </w:r>
    </w:p>
    <w:p w14:paraId="59004D49">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1、所附投标价格表中规定的应提交和交付的货物和服务投标总价为：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(人民币大写)。</w:t>
      </w:r>
    </w:p>
    <w:p w14:paraId="073BAE16">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2、投标人将按磋商文件的规定履行合同责任和义务。 </w:t>
      </w:r>
    </w:p>
    <w:p w14:paraId="1E48E8AE">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3、投标人已详细审查全部磋商文件。我们完全理解并同意放弃对这方面有不明及误解的权力。 </w:t>
      </w:r>
    </w:p>
    <w:p w14:paraId="78D9E043">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4、本投标有效期为自磋商文件规定的提交投标响应文件截止之日起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个日历天。在投标有效期内我方同意遵守本投标响应文件中的承诺且在此期限期满之前投标响应文件对我方具有法律约束力。 </w:t>
      </w:r>
    </w:p>
    <w:p w14:paraId="5D77FC2E">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5、我方同意提供贵方可能要求的与其投标有关的一切数据或资料。</w:t>
      </w:r>
    </w:p>
    <w:p w14:paraId="2A976B75">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6、与本投标有关的一切正式往来信函请寄：</w:t>
      </w:r>
    </w:p>
    <w:p w14:paraId="6488C260">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邮编：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电话：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传真：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56870C46">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p>
    <w:p w14:paraId="0060495A">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投标人名称(盖公章)：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02A21D5D">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法定代表人（负责人）或其授权的代理人(签字)：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53FE038A">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348DADCF">
      <w:pPr>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备注：除可填报的部分外，对本投标函的任何修改将被视为非实质性响应投标，在评标时将其视为无效投标。 </w:t>
      </w:r>
    </w:p>
    <w:p w14:paraId="01C6C617">
      <w:pPr>
        <w:spacing w:line="490" w:lineRule="exact"/>
        <w:jc w:val="center"/>
        <w:outlineLvl w:val="1"/>
        <w:rPr>
          <w:rFonts w:hint="eastAsia" w:ascii="宋体" w:hAnsi="宋体" w:eastAsia="宋体" w:cs="宋体"/>
          <w:b/>
          <w:color w:val="000000" w:themeColor="text1"/>
          <w:sz w:val="24"/>
          <w:szCs w:val="24"/>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444F5FA0">
      <w:pPr>
        <w:spacing w:line="490" w:lineRule="exact"/>
        <w:jc w:val="center"/>
        <w:outlineLvl w:val="1"/>
        <w:rPr>
          <w:rFonts w:hint="eastAsia" w:ascii="宋体" w:hAnsi="宋体" w:eastAsia="宋体" w:cs="宋体"/>
          <w:color w:val="000000" w:themeColor="text1"/>
          <w:sz w:val="32"/>
          <w:szCs w:val="32"/>
          <w14:textFill>
            <w14:solidFill>
              <w14:schemeClr w14:val="tx1"/>
            </w14:solidFill>
          </w14:textFill>
        </w:rPr>
      </w:pPr>
      <w:bookmarkStart w:id="30" w:name="_Toc32037"/>
      <w:r>
        <w:rPr>
          <w:rFonts w:hint="eastAsia" w:ascii="宋体" w:hAnsi="宋体" w:eastAsia="宋体" w:cs="宋体"/>
          <w:b/>
          <w:color w:val="000000" w:themeColor="text1"/>
          <w:sz w:val="32"/>
          <w:szCs w:val="32"/>
          <w14:textFill>
            <w14:solidFill>
              <w14:schemeClr w14:val="tx1"/>
            </w14:solidFill>
          </w14:textFill>
        </w:rPr>
        <w:t>三、开标报价一览表</w:t>
      </w:r>
      <w:bookmarkEnd w:id="30"/>
    </w:p>
    <w:p w14:paraId="61E2A826">
      <w:pPr>
        <w:pStyle w:val="136"/>
        <w:rPr>
          <w:rFonts w:hint="eastAsia" w:ascii="宋体" w:hAnsi="宋体" w:eastAsia="宋体" w:cs="宋体"/>
          <w:color w:val="000000" w:themeColor="text1"/>
          <w:sz w:val="24"/>
          <w:szCs w:val="24"/>
          <w14:textFill>
            <w14:solidFill>
              <w14:schemeClr w14:val="tx1"/>
            </w14:solidFill>
          </w14:textFill>
        </w:rPr>
      </w:pPr>
    </w:p>
    <w:p w14:paraId="3B79737C">
      <w:pPr>
        <w:pStyle w:val="136"/>
        <w:spacing w:line="49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0E54191">
      <w:pPr>
        <w:pStyle w:val="136"/>
        <w:spacing w:line="49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DCC72AC">
      <w:pPr>
        <w:pStyle w:val="136"/>
        <w:spacing w:line="490" w:lineRule="exact"/>
        <w:rPr>
          <w:rFonts w:hint="eastAsia" w:ascii="宋体" w:hAnsi="宋体" w:eastAsia="宋体" w:cs="宋体"/>
          <w:color w:val="000000" w:themeColor="text1"/>
          <w:sz w:val="24"/>
          <w:szCs w:val="24"/>
          <w:u w:val="single"/>
          <w14:textFill>
            <w14:solidFill>
              <w14:schemeClr w14:val="tx1"/>
            </w14:solidFill>
          </w14:textFill>
        </w:rPr>
      </w:pPr>
    </w:p>
    <w:p w14:paraId="54D95A04">
      <w:pPr>
        <w:pStyle w:val="136"/>
        <w:spacing w:line="49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投标包号：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金额单位：人民币（万元）</w:t>
      </w:r>
    </w:p>
    <w:tbl>
      <w:tblPr>
        <w:tblStyle w:val="35"/>
        <w:tblpPr w:leftFromText="180" w:rightFromText="180" w:vertAnchor="page" w:horzAnchor="page" w:tblpX="1240" w:tblpY="5371"/>
        <w:tblW w:w="9462" w:type="dxa"/>
        <w:tblInd w:w="0" w:type="dxa"/>
        <w:tblLayout w:type="fixed"/>
        <w:tblCellMar>
          <w:top w:w="0" w:type="dxa"/>
          <w:left w:w="108" w:type="dxa"/>
          <w:bottom w:w="0" w:type="dxa"/>
          <w:right w:w="108" w:type="dxa"/>
        </w:tblCellMar>
      </w:tblPr>
      <w:tblGrid>
        <w:gridCol w:w="877"/>
        <w:gridCol w:w="1812"/>
        <w:gridCol w:w="2503"/>
        <w:gridCol w:w="2686"/>
        <w:gridCol w:w="1584"/>
      </w:tblGrid>
      <w:tr w14:paraId="4DBD7105">
        <w:tblPrEx>
          <w:tblCellMar>
            <w:top w:w="0" w:type="dxa"/>
            <w:left w:w="108" w:type="dxa"/>
            <w:bottom w:w="0" w:type="dxa"/>
            <w:right w:w="108" w:type="dxa"/>
          </w:tblCellMar>
        </w:tblPrEx>
        <w:trPr>
          <w:trHeight w:val="20" w:hRule="atLeast"/>
        </w:trPr>
        <w:tc>
          <w:tcPr>
            <w:tcW w:w="877" w:type="dxa"/>
            <w:tcBorders>
              <w:top w:val="single" w:color="auto" w:sz="6" w:space="0"/>
              <w:left w:val="single" w:color="auto" w:sz="6" w:space="0"/>
              <w:bottom w:val="single" w:color="auto" w:sz="6" w:space="0"/>
              <w:right w:val="single" w:color="auto" w:sz="6" w:space="0"/>
            </w:tcBorders>
            <w:noWrap w:val="0"/>
            <w:vAlign w:val="center"/>
          </w:tcPr>
          <w:p w14:paraId="18A6445A">
            <w:pPr>
              <w:autoSpaceDE w:val="0"/>
              <w:autoSpaceDN w:val="0"/>
              <w:adjustRightInd w:val="0"/>
              <w:spacing w:line="600" w:lineRule="exact"/>
              <w:ind w:left="-367" w:firstLine="367"/>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1812" w:type="dxa"/>
            <w:tcBorders>
              <w:top w:val="single" w:color="auto" w:sz="6" w:space="0"/>
              <w:left w:val="single" w:color="auto" w:sz="6" w:space="0"/>
              <w:bottom w:val="single" w:color="auto" w:sz="6" w:space="0"/>
              <w:right w:val="single" w:color="auto" w:sz="6" w:space="0"/>
            </w:tcBorders>
            <w:noWrap w:val="0"/>
            <w:vAlign w:val="center"/>
          </w:tcPr>
          <w:p w14:paraId="463AEFBE">
            <w:pPr>
              <w:autoSpaceDE w:val="0"/>
              <w:autoSpaceDN w:val="0"/>
              <w:adjustRightInd w:val="0"/>
              <w:spacing w:line="600" w:lineRule="exact"/>
              <w:ind w:left="-77"/>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服务项目名称</w:t>
            </w:r>
          </w:p>
        </w:tc>
        <w:tc>
          <w:tcPr>
            <w:tcW w:w="2503" w:type="dxa"/>
            <w:tcBorders>
              <w:top w:val="single" w:color="auto" w:sz="6" w:space="0"/>
              <w:left w:val="single" w:color="auto" w:sz="6" w:space="0"/>
              <w:bottom w:val="single" w:color="auto" w:sz="6" w:space="0"/>
              <w:right w:val="single" w:color="auto" w:sz="6" w:space="0"/>
            </w:tcBorders>
            <w:noWrap w:val="0"/>
            <w:vAlign w:val="center"/>
          </w:tcPr>
          <w:p w14:paraId="2FB741AC">
            <w:pPr>
              <w:autoSpaceDE w:val="0"/>
              <w:autoSpaceDN w:val="0"/>
              <w:adjustRightInd w:val="0"/>
              <w:spacing w:line="600" w:lineRule="exact"/>
              <w:ind w:left="-367" w:firstLine="367"/>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服务项目主要内容</w:t>
            </w:r>
          </w:p>
        </w:tc>
        <w:tc>
          <w:tcPr>
            <w:tcW w:w="2686" w:type="dxa"/>
            <w:tcBorders>
              <w:top w:val="single" w:color="auto" w:sz="6" w:space="0"/>
              <w:left w:val="single" w:color="auto" w:sz="6" w:space="0"/>
              <w:bottom w:val="single" w:color="auto" w:sz="6" w:space="0"/>
              <w:right w:val="single" w:color="auto" w:sz="6" w:space="0"/>
            </w:tcBorders>
            <w:noWrap w:val="0"/>
            <w:vAlign w:val="center"/>
          </w:tcPr>
          <w:p w14:paraId="4E51C27B">
            <w:pPr>
              <w:autoSpaceDE w:val="0"/>
              <w:autoSpaceDN w:val="0"/>
              <w:adjustRightInd w:val="0"/>
              <w:spacing w:line="600" w:lineRule="exact"/>
              <w:ind w:left="-367" w:firstLine="367"/>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合计</w:t>
            </w:r>
          </w:p>
        </w:tc>
        <w:tc>
          <w:tcPr>
            <w:tcW w:w="1584" w:type="dxa"/>
            <w:tcBorders>
              <w:top w:val="single" w:color="auto" w:sz="6" w:space="0"/>
              <w:left w:val="single" w:color="auto" w:sz="6" w:space="0"/>
              <w:bottom w:val="single" w:color="auto" w:sz="6" w:space="0"/>
              <w:right w:val="single" w:color="auto" w:sz="6" w:space="0"/>
            </w:tcBorders>
            <w:noWrap w:val="0"/>
            <w:vAlign w:val="center"/>
          </w:tcPr>
          <w:p w14:paraId="340EF3AB">
            <w:pPr>
              <w:autoSpaceDE w:val="0"/>
              <w:autoSpaceDN w:val="0"/>
              <w:adjustRightInd w:val="0"/>
              <w:spacing w:line="600" w:lineRule="exact"/>
              <w:ind w:left="-367" w:firstLine="367"/>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14F8D67E">
        <w:tblPrEx>
          <w:tblCellMar>
            <w:top w:w="0" w:type="dxa"/>
            <w:left w:w="108" w:type="dxa"/>
            <w:bottom w:w="0" w:type="dxa"/>
            <w:right w:w="108" w:type="dxa"/>
          </w:tblCellMar>
        </w:tblPrEx>
        <w:trPr>
          <w:trHeight w:val="319" w:hRule="atLeast"/>
        </w:trPr>
        <w:tc>
          <w:tcPr>
            <w:tcW w:w="877" w:type="dxa"/>
            <w:vMerge w:val="restart"/>
            <w:tcBorders>
              <w:top w:val="single" w:color="auto" w:sz="6" w:space="0"/>
              <w:left w:val="single" w:color="auto" w:sz="6" w:space="0"/>
              <w:right w:val="single" w:color="auto" w:sz="6" w:space="0"/>
            </w:tcBorders>
            <w:noWrap w:val="0"/>
            <w:vAlign w:val="center"/>
          </w:tcPr>
          <w:p w14:paraId="20F7A22E">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812" w:type="dxa"/>
            <w:vMerge w:val="restart"/>
            <w:tcBorders>
              <w:top w:val="single" w:color="auto" w:sz="6" w:space="0"/>
              <w:left w:val="single" w:color="auto" w:sz="6" w:space="0"/>
              <w:right w:val="single" w:color="auto" w:sz="6" w:space="0"/>
            </w:tcBorders>
            <w:noWrap w:val="0"/>
            <w:vAlign w:val="center"/>
          </w:tcPr>
          <w:p w14:paraId="28190DF3">
            <w:pPr>
              <w:spacing w:line="600" w:lineRule="exact"/>
              <w:jc w:val="center"/>
              <w:rPr>
                <w:rFonts w:hint="eastAsia" w:ascii="宋体" w:hAnsi="宋体" w:eastAsia="宋体" w:cs="宋体"/>
                <w:sz w:val="24"/>
                <w:szCs w:val="24"/>
              </w:rPr>
            </w:pPr>
          </w:p>
        </w:tc>
        <w:tc>
          <w:tcPr>
            <w:tcW w:w="2503" w:type="dxa"/>
            <w:vMerge w:val="restart"/>
            <w:tcBorders>
              <w:top w:val="single" w:color="auto" w:sz="6" w:space="0"/>
              <w:left w:val="single" w:color="auto" w:sz="6" w:space="0"/>
              <w:right w:val="single" w:color="auto" w:sz="6" w:space="0"/>
            </w:tcBorders>
            <w:noWrap w:val="0"/>
            <w:vAlign w:val="center"/>
          </w:tcPr>
          <w:p w14:paraId="15823D65">
            <w:pPr>
              <w:autoSpaceDE w:val="0"/>
              <w:autoSpaceDN w:val="0"/>
              <w:adjustRightInd w:val="0"/>
              <w:spacing w:line="600" w:lineRule="exact"/>
              <w:ind w:left="-367" w:firstLine="367"/>
              <w:jc w:val="center"/>
              <w:rPr>
                <w:rFonts w:hint="eastAsia" w:ascii="宋体" w:hAnsi="宋体" w:eastAsia="宋体" w:cs="宋体"/>
                <w:kern w:val="0"/>
                <w:sz w:val="24"/>
                <w:szCs w:val="24"/>
                <w:lang w:val="zh-CN"/>
              </w:rPr>
            </w:pPr>
          </w:p>
        </w:tc>
        <w:tc>
          <w:tcPr>
            <w:tcW w:w="2686" w:type="dxa"/>
            <w:tcBorders>
              <w:top w:val="single" w:color="auto" w:sz="6" w:space="0"/>
              <w:left w:val="single" w:color="auto" w:sz="6" w:space="0"/>
              <w:bottom w:val="single" w:color="auto" w:sz="4" w:space="0"/>
              <w:right w:val="single" w:color="auto" w:sz="6" w:space="0"/>
            </w:tcBorders>
            <w:noWrap w:val="0"/>
            <w:vAlign w:val="center"/>
          </w:tcPr>
          <w:p w14:paraId="227A8FB3">
            <w:pPr>
              <w:autoSpaceDE w:val="0"/>
              <w:autoSpaceDN w:val="0"/>
              <w:adjustRightInd w:val="0"/>
              <w:spacing w:line="600" w:lineRule="exact"/>
              <w:ind w:left="-367" w:firstLine="367"/>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tc>
        <w:tc>
          <w:tcPr>
            <w:tcW w:w="1584" w:type="dxa"/>
            <w:vMerge w:val="restart"/>
            <w:tcBorders>
              <w:top w:val="single" w:color="auto" w:sz="6" w:space="0"/>
              <w:left w:val="single" w:color="auto" w:sz="6" w:space="0"/>
              <w:right w:val="single" w:color="auto" w:sz="6" w:space="0"/>
            </w:tcBorders>
            <w:noWrap w:val="0"/>
            <w:vAlign w:val="center"/>
          </w:tcPr>
          <w:p w14:paraId="4492E297">
            <w:pPr>
              <w:autoSpaceDE w:val="0"/>
              <w:autoSpaceDN w:val="0"/>
              <w:adjustRightInd w:val="0"/>
              <w:spacing w:line="600" w:lineRule="exact"/>
              <w:ind w:left="-367" w:firstLine="367"/>
              <w:jc w:val="center"/>
              <w:rPr>
                <w:rFonts w:hint="eastAsia" w:ascii="宋体" w:hAnsi="宋体" w:eastAsia="宋体" w:cs="宋体"/>
                <w:kern w:val="0"/>
                <w:sz w:val="24"/>
                <w:szCs w:val="24"/>
                <w:lang w:val="zh-CN"/>
              </w:rPr>
            </w:pPr>
          </w:p>
        </w:tc>
      </w:tr>
      <w:tr w14:paraId="105B78DB">
        <w:tblPrEx>
          <w:tblCellMar>
            <w:top w:w="0" w:type="dxa"/>
            <w:left w:w="108" w:type="dxa"/>
            <w:bottom w:w="0" w:type="dxa"/>
            <w:right w:w="108" w:type="dxa"/>
          </w:tblCellMar>
        </w:tblPrEx>
        <w:trPr>
          <w:trHeight w:val="311" w:hRule="atLeast"/>
        </w:trPr>
        <w:tc>
          <w:tcPr>
            <w:tcW w:w="877" w:type="dxa"/>
            <w:vMerge w:val="continue"/>
            <w:tcBorders>
              <w:left w:val="single" w:color="auto" w:sz="6" w:space="0"/>
              <w:bottom w:val="single" w:color="auto" w:sz="6" w:space="0"/>
              <w:right w:val="single" w:color="auto" w:sz="6" w:space="0"/>
            </w:tcBorders>
            <w:noWrap w:val="0"/>
            <w:vAlign w:val="center"/>
          </w:tcPr>
          <w:p w14:paraId="6BA02BC0">
            <w:pPr>
              <w:spacing w:line="600" w:lineRule="exact"/>
              <w:jc w:val="center"/>
              <w:rPr>
                <w:rFonts w:hint="eastAsia" w:ascii="宋体" w:hAnsi="宋体" w:eastAsia="宋体" w:cs="宋体"/>
                <w:sz w:val="24"/>
                <w:szCs w:val="24"/>
              </w:rPr>
            </w:pPr>
          </w:p>
        </w:tc>
        <w:tc>
          <w:tcPr>
            <w:tcW w:w="1812" w:type="dxa"/>
            <w:vMerge w:val="continue"/>
            <w:tcBorders>
              <w:left w:val="single" w:color="auto" w:sz="6" w:space="0"/>
              <w:bottom w:val="single" w:color="auto" w:sz="6" w:space="0"/>
              <w:right w:val="single" w:color="auto" w:sz="6" w:space="0"/>
            </w:tcBorders>
            <w:noWrap w:val="0"/>
            <w:vAlign w:val="center"/>
          </w:tcPr>
          <w:p w14:paraId="54D03C55">
            <w:pPr>
              <w:spacing w:line="600" w:lineRule="exact"/>
              <w:jc w:val="center"/>
              <w:rPr>
                <w:rFonts w:hint="eastAsia" w:ascii="宋体" w:hAnsi="宋体" w:eastAsia="宋体" w:cs="宋体"/>
                <w:sz w:val="24"/>
                <w:szCs w:val="24"/>
              </w:rPr>
            </w:pPr>
          </w:p>
        </w:tc>
        <w:tc>
          <w:tcPr>
            <w:tcW w:w="2503" w:type="dxa"/>
            <w:vMerge w:val="continue"/>
            <w:tcBorders>
              <w:left w:val="single" w:color="auto" w:sz="6" w:space="0"/>
              <w:bottom w:val="single" w:color="auto" w:sz="6" w:space="0"/>
              <w:right w:val="single" w:color="auto" w:sz="6" w:space="0"/>
            </w:tcBorders>
            <w:noWrap w:val="0"/>
            <w:vAlign w:val="center"/>
          </w:tcPr>
          <w:p w14:paraId="11D2C00E">
            <w:pPr>
              <w:autoSpaceDE w:val="0"/>
              <w:autoSpaceDN w:val="0"/>
              <w:adjustRightInd w:val="0"/>
              <w:spacing w:line="600" w:lineRule="exact"/>
              <w:ind w:left="-367" w:firstLine="367"/>
              <w:jc w:val="center"/>
              <w:rPr>
                <w:rFonts w:hint="eastAsia" w:ascii="宋体" w:hAnsi="宋体" w:eastAsia="宋体" w:cs="宋体"/>
                <w:kern w:val="0"/>
                <w:sz w:val="24"/>
                <w:szCs w:val="24"/>
                <w:lang w:val="zh-CN"/>
              </w:rPr>
            </w:pPr>
          </w:p>
        </w:tc>
        <w:tc>
          <w:tcPr>
            <w:tcW w:w="2686" w:type="dxa"/>
            <w:tcBorders>
              <w:top w:val="single" w:color="auto" w:sz="4" w:space="0"/>
              <w:left w:val="single" w:color="auto" w:sz="6" w:space="0"/>
              <w:bottom w:val="single" w:color="auto" w:sz="6" w:space="0"/>
              <w:right w:val="single" w:color="auto" w:sz="6" w:space="0"/>
            </w:tcBorders>
            <w:noWrap w:val="0"/>
            <w:vAlign w:val="center"/>
          </w:tcPr>
          <w:p w14:paraId="1CAD891D">
            <w:pPr>
              <w:autoSpaceDE w:val="0"/>
              <w:autoSpaceDN w:val="0"/>
              <w:adjustRightInd w:val="0"/>
              <w:spacing w:line="600" w:lineRule="exact"/>
              <w:ind w:left="-367" w:firstLine="367"/>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c>
          <w:tcPr>
            <w:tcW w:w="1584" w:type="dxa"/>
            <w:vMerge w:val="continue"/>
            <w:tcBorders>
              <w:left w:val="single" w:color="auto" w:sz="6" w:space="0"/>
              <w:bottom w:val="single" w:color="auto" w:sz="6" w:space="0"/>
              <w:right w:val="single" w:color="auto" w:sz="6" w:space="0"/>
            </w:tcBorders>
            <w:noWrap w:val="0"/>
            <w:vAlign w:val="center"/>
          </w:tcPr>
          <w:p w14:paraId="5DAE61F6">
            <w:pPr>
              <w:autoSpaceDE w:val="0"/>
              <w:autoSpaceDN w:val="0"/>
              <w:adjustRightInd w:val="0"/>
              <w:spacing w:line="600" w:lineRule="exact"/>
              <w:ind w:left="-367" w:firstLine="367"/>
              <w:jc w:val="center"/>
              <w:rPr>
                <w:rFonts w:hint="eastAsia" w:ascii="宋体" w:hAnsi="宋体" w:eastAsia="宋体" w:cs="宋体"/>
                <w:kern w:val="0"/>
                <w:sz w:val="24"/>
                <w:szCs w:val="24"/>
                <w:lang w:val="zh-CN"/>
              </w:rPr>
            </w:pPr>
          </w:p>
        </w:tc>
      </w:tr>
    </w:tbl>
    <w:p w14:paraId="43C7FA49">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6B9BDB20">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2C5FFF93">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7068FB07">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02B1580D">
      <w:pPr>
        <w:pStyle w:val="136"/>
        <w:spacing w:line="49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投标人名称（盖公章）：</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5BE99B8">
      <w:pPr>
        <w:pStyle w:val="136"/>
        <w:spacing w:line="49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法定代表人（负责人）或其授权的代理人(签字)：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EEF0FB5">
      <w:pPr>
        <w:pStyle w:val="136"/>
        <w:spacing w:line="49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年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日       </w:t>
      </w:r>
    </w:p>
    <w:p w14:paraId="212E0E71">
      <w:pPr>
        <w:pStyle w:val="136"/>
        <w:spacing w:line="490" w:lineRule="exact"/>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 xml:space="preserve">注：请严格按此“开标报价一览表”格式填写相关内容。 </w:t>
      </w:r>
    </w:p>
    <w:p w14:paraId="21BE9A0E">
      <w:pPr>
        <w:pStyle w:val="136"/>
        <w:rPr>
          <w:rFonts w:hint="eastAsia" w:ascii="宋体" w:hAnsi="宋体" w:eastAsia="宋体" w:cs="宋体"/>
          <w:color w:val="000000" w:themeColor="text1"/>
          <w:sz w:val="24"/>
          <w:szCs w:val="24"/>
          <w14:textFill>
            <w14:solidFill>
              <w14:schemeClr w14:val="tx1"/>
            </w14:solidFill>
          </w14:textFill>
        </w:rPr>
      </w:pPr>
    </w:p>
    <w:p w14:paraId="3C4CEB46">
      <w:pPr>
        <w:pStyle w:val="136"/>
        <w:rPr>
          <w:rFonts w:hint="eastAsia" w:ascii="宋体" w:hAnsi="宋体" w:eastAsia="宋体" w:cs="宋体"/>
          <w:color w:val="000000" w:themeColor="text1"/>
          <w:sz w:val="24"/>
          <w:szCs w:val="24"/>
          <w14:textFill>
            <w14:solidFill>
              <w14:schemeClr w14:val="tx1"/>
            </w14:solidFill>
          </w14:textFill>
        </w:rPr>
      </w:pPr>
    </w:p>
    <w:p w14:paraId="1A518DE0">
      <w:pPr>
        <w:pStyle w:val="136"/>
        <w:rPr>
          <w:rFonts w:hint="eastAsia" w:ascii="宋体" w:hAnsi="宋体" w:eastAsia="宋体" w:cs="宋体"/>
          <w:color w:val="000000" w:themeColor="text1"/>
          <w:sz w:val="24"/>
          <w:szCs w:val="24"/>
          <w14:textFill>
            <w14:solidFill>
              <w14:schemeClr w14:val="tx1"/>
            </w14:solidFill>
          </w14:textFill>
        </w:rPr>
      </w:pPr>
    </w:p>
    <w:p w14:paraId="297FF103">
      <w:pPr>
        <w:pStyle w:val="136"/>
        <w:rPr>
          <w:rFonts w:hint="eastAsia" w:ascii="宋体" w:hAnsi="宋体" w:eastAsia="宋体" w:cs="宋体"/>
          <w:color w:val="000000" w:themeColor="text1"/>
          <w:sz w:val="24"/>
          <w:szCs w:val="24"/>
          <w14:textFill>
            <w14:solidFill>
              <w14:schemeClr w14:val="tx1"/>
            </w14:solidFill>
          </w14:textFill>
        </w:rPr>
      </w:pPr>
    </w:p>
    <w:p w14:paraId="78827985">
      <w:pPr>
        <w:rPr>
          <w:rFonts w:hint="eastAsia"/>
        </w:rPr>
      </w:pPr>
    </w:p>
    <w:p w14:paraId="3BB482A4">
      <w:pPr>
        <w:pStyle w:val="136"/>
        <w:rPr>
          <w:rFonts w:hint="eastAsia" w:ascii="宋体" w:hAnsi="宋体" w:eastAsia="宋体" w:cs="宋体"/>
          <w:color w:val="000000" w:themeColor="text1"/>
          <w:sz w:val="24"/>
          <w:szCs w:val="24"/>
          <w14:textFill>
            <w14:solidFill>
              <w14:schemeClr w14:val="tx1"/>
            </w14:solidFill>
          </w14:textFill>
        </w:rPr>
      </w:pPr>
    </w:p>
    <w:p w14:paraId="4AF86F20">
      <w:pPr>
        <w:pStyle w:val="136"/>
        <w:rPr>
          <w:rFonts w:hint="eastAsia" w:ascii="宋体" w:hAnsi="宋体" w:eastAsia="宋体" w:cs="宋体"/>
          <w:color w:val="000000" w:themeColor="text1"/>
          <w:sz w:val="24"/>
          <w:szCs w:val="24"/>
          <w14:textFill>
            <w14:solidFill>
              <w14:schemeClr w14:val="tx1"/>
            </w14:solidFill>
          </w14:textFill>
        </w:rPr>
      </w:pPr>
    </w:p>
    <w:p w14:paraId="4FED1766">
      <w:pPr>
        <w:pStyle w:val="136"/>
        <w:rPr>
          <w:rFonts w:hint="eastAsia" w:ascii="宋体" w:hAnsi="宋体" w:eastAsia="宋体" w:cs="宋体"/>
          <w:color w:val="000000" w:themeColor="text1"/>
          <w:sz w:val="24"/>
          <w:szCs w:val="24"/>
          <w14:textFill>
            <w14:solidFill>
              <w14:schemeClr w14:val="tx1"/>
            </w14:solidFill>
          </w14:textFill>
        </w:rPr>
      </w:pPr>
    </w:p>
    <w:p w14:paraId="6C8648A7">
      <w:pPr>
        <w:autoSpaceDE w:val="0"/>
        <w:autoSpaceDN w:val="0"/>
        <w:adjustRightInd w:val="0"/>
        <w:jc w:val="center"/>
        <w:rPr>
          <w:rFonts w:hint="eastAsia" w:ascii="宋体" w:hAnsi="宋体" w:eastAsia="宋体" w:cs="宋体"/>
          <w:color w:val="000000" w:themeColor="text1"/>
          <w:kern w:val="0"/>
          <w:sz w:val="24"/>
          <w:szCs w:val="24"/>
          <w14:textFill>
            <w14:solidFill>
              <w14:schemeClr w14:val="tx1"/>
            </w14:solidFill>
          </w14:textFill>
        </w:rPr>
      </w:pPr>
    </w:p>
    <w:p w14:paraId="682CDAB4">
      <w:pPr>
        <w:spacing w:line="490" w:lineRule="exact"/>
        <w:jc w:val="center"/>
        <w:outlineLvl w:val="9"/>
        <w:rPr>
          <w:rFonts w:hint="eastAsia" w:ascii="宋体" w:hAnsi="宋体" w:eastAsia="宋体" w:cs="宋体"/>
          <w:b/>
          <w:color w:val="000000" w:themeColor="text1"/>
          <w:sz w:val="24"/>
          <w:szCs w:val="24"/>
          <w14:textFill>
            <w14:solidFill>
              <w14:schemeClr w14:val="tx1"/>
            </w14:solidFill>
          </w14:textFill>
        </w:rPr>
      </w:pPr>
    </w:p>
    <w:p w14:paraId="1265BB58">
      <w:pPr>
        <w:spacing w:line="490" w:lineRule="exact"/>
        <w:jc w:val="center"/>
        <w:outlineLvl w:val="9"/>
        <w:rPr>
          <w:rFonts w:hint="eastAsia" w:ascii="宋体" w:hAnsi="宋体" w:eastAsia="宋体" w:cs="宋体"/>
          <w:b/>
          <w:color w:val="000000" w:themeColor="text1"/>
          <w:sz w:val="24"/>
          <w:szCs w:val="24"/>
          <w14:textFill>
            <w14:solidFill>
              <w14:schemeClr w14:val="tx1"/>
            </w14:solidFill>
          </w14:textFill>
        </w:rPr>
      </w:pPr>
    </w:p>
    <w:p w14:paraId="22A12700">
      <w:pPr>
        <w:spacing w:line="490" w:lineRule="exact"/>
        <w:jc w:val="center"/>
        <w:outlineLvl w:val="9"/>
        <w:rPr>
          <w:rFonts w:hint="eastAsia" w:ascii="宋体" w:hAnsi="宋体" w:eastAsia="宋体" w:cs="宋体"/>
          <w:b/>
          <w:color w:val="000000" w:themeColor="text1"/>
          <w:sz w:val="24"/>
          <w:szCs w:val="24"/>
          <w14:textFill>
            <w14:solidFill>
              <w14:schemeClr w14:val="tx1"/>
            </w14:solidFill>
          </w14:textFill>
        </w:rPr>
      </w:pPr>
    </w:p>
    <w:p w14:paraId="2664B35E">
      <w:pPr>
        <w:spacing w:line="490" w:lineRule="exact"/>
        <w:jc w:val="center"/>
        <w:outlineLvl w:val="9"/>
        <w:rPr>
          <w:rFonts w:hint="eastAsia" w:ascii="宋体" w:hAnsi="宋体" w:eastAsia="宋体" w:cs="宋体"/>
          <w:b/>
          <w:color w:val="000000" w:themeColor="text1"/>
          <w:sz w:val="24"/>
          <w:szCs w:val="24"/>
          <w14:textFill>
            <w14:solidFill>
              <w14:schemeClr w14:val="tx1"/>
            </w14:solidFill>
          </w14:textFill>
        </w:rPr>
      </w:pPr>
    </w:p>
    <w:p w14:paraId="7F336906">
      <w:pPr>
        <w:spacing w:line="490" w:lineRule="exact"/>
        <w:jc w:val="center"/>
        <w:outlineLvl w:val="1"/>
        <w:rPr>
          <w:rFonts w:hint="eastAsia" w:ascii="宋体" w:hAnsi="宋体" w:eastAsia="宋体" w:cs="宋体"/>
          <w:color w:val="000000" w:themeColor="text1"/>
          <w:kern w:val="0"/>
          <w:sz w:val="32"/>
          <w:szCs w:val="32"/>
          <w14:textFill>
            <w14:solidFill>
              <w14:schemeClr w14:val="tx1"/>
            </w14:solidFill>
          </w14:textFill>
        </w:rPr>
      </w:pPr>
      <w:bookmarkStart w:id="31" w:name="_Toc30668"/>
      <w:r>
        <w:rPr>
          <w:rFonts w:hint="eastAsia" w:ascii="宋体" w:hAnsi="宋体" w:eastAsia="宋体" w:cs="宋体"/>
          <w:b/>
          <w:color w:val="000000" w:themeColor="text1"/>
          <w:sz w:val="32"/>
          <w:szCs w:val="32"/>
          <w14:textFill>
            <w14:solidFill>
              <w14:schemeClr w14:val="tx1"/>
            </w14:solidFill>
          </w14:textFill>
        </w:rPr>
        <w:t>四、分项价格表</w:t>
      </w:r>
      <w:bookmarkEnd w:id="31"/>
    </w:p>
    <w:p w14:paraId="4A943242">
      <w:pPr>
        <w:autoSpaceDE w:val="0"/>
        <w:autoSpaceDN w:val="0"/>
        <w:adjustRightInd w:val="0"/>
        <w:jc w:val="left"/>
        <w:rPr>
          <w:rFonts w:hint="eastAsia" w:ascii="宋体" w:hAnsi="宋体" w:eastAsia="宋体" w:cs="宋体"/>
          <w:color w:val="000000" w:themeColor="text1"/>
          <w:kern w:val="0"/>
          <w:sz w:val="24"/>
          <w:szCs w:val="24"/>
          <w14:textFill>
            <w14:solidFill>
              <w14:schemeClr w14:val="tx1"/>
            </w14:solidFill>
          </w14:textFill>
        </w:rPr>
      </w:pPr>
    </w:p>
    <w:p w14:paraId="7F94B131">
      <w:pPr>
        <w:autoSpaceDE w:val="0"/>
        <w:autoSpaceDN w:val="0"/>
        <w:adjustRightInd w:val="0"/>
        <w:spacing w:line="490" w:lineRule="exact"/>
        <w:jc w:val="lef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2C71342E">
      <w:pPr>
        <w:autoSpaceDE w:val="0"/>
        <w:autoSpaceDN w:val="0"/>
        <w:adjustRightInd w:val="0"/>
        <w:spacing w:line="490" w:lineRule="exact"/>
        <w:jc w:val="lef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招标编号：</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6B5AC5EB">
      <w:pPr>
        <w:pStyle w:val="136"/>
        <w:spacing w:line="49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投标包号：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金额单位：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人民币（万元） </w:t>
      </w:r>
    </w:p>
    <w:p w14:paraId="3DFAA279">
      <w:pPr>
        <w:pStyle w:val="13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bl>
      <w:tblPr>
        <w:tblStyle w:val="35"/>
        <w:tblpPr w:leftFromText="180" w:rightFromText="180" w:vertAnchor="text" w:horzAnchor="margin" w:tblpXSpec="center" w:tblpY="236"/>
        <w:tblW w:w="9469" w:type="dxa"/>
        <w:tblInd w:w="8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577"/>
        <w:gridCol w:w="2099"/>
        <w:gridCol w:w="885"/>
        <w:gridCol w:w="849"/>
        <w:gridCol w:w="1379"/>
        <w:gridCol w:w="1465"/>
      </w:tblGrid>
      <w:tr w14:paraId="31BC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14:paraId="470C2B6A">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3E949A9B">
            <w:pPr>
              <w:pStyle w:val="31"/>
              <w:spacing w:before="0" w:beforeAutospacing="0" w:after="0" w:afterAutospacing="0"/>
              <w:jc w:val="center"/>
              <w:rPr>
                <w:rFonts w:hint="eastAsia" w:ascii="宋体" w:hAnsi="宋体" w:eastAsia="宋体" w:cs="宋体"/>
                <w:kern w:val="2"/>
                <w:sz w:val="24"/>
                <w:szCs w:val="24"/>
              </w:rPr>
            </w:pPr>
            <w:r>
              <w:rPr>
                <w:rFonts w:hint="eastAsia" w:ascii="宋体" w:hAnsi="宋体" w:eastAsia="宋体" w:cs="宋体"/>
                <w:sz w:val="24"/>
                <w:szCs w:val="24"/>
                <w:lang w:val="zh-CN"/>
              </w:rPr>
              <w:t>服务项目名称</w:t>
            </w:r>
          </w:p>
        </w:tc>
        <w:tc>
          <w:tcPr>
            <w:tcW w:w="2099" w:type="dxa"/>
            <w:tcBorders>
              <w:top w:val="single" w:color="auto" w:sz="4" w:space="0"/>
              <w:left w:val="single" w:color="auto" w:sz="4" w:space="0"/>
              <w:bottom w:val="single" w:color="auto" w:sz="4" w:space="0"/>
              <w:right w:val="single" w:color="auto" w:sz="4" w:space="0"/>
            </w:tcBorders>
            <w:noWrap w:val="0"/>
            <w:vAlign w:val="center"/>
          </w:tcPr>
          <w:p w14:paraId="0BBBF00A">
            <w:pPr>
              <w:pStyle w:val="31"/>
              <w:spacing w:before="0" w:beforeAutospacing="0" w:after="0" w:afterAutospacing="0"/>
              <w:jc w:val="center"/>
              <w:rPr>
                <w:rFonts w:hint="eastAsia" w:ascii="宋体" w:hAnsi="宋体" w:eastAsia="宋体" w:cs="宋体"/>
                <w:kern w:val="2"/>
                <w:sz w:val="24"/>
                <w:szCs w:val="24"/>
              </w:rPr>
            </w:pPr>
            <w:r>
              <w:rPr>
                <w:rFonts w:hint="eastAsia" w:ascii="宋体" w:hAnsi="宋体" w:eastAsia="宋体" w:cs="宋体"/>
                <w:kern w:val="2"/>
                <w:sz w:val="24"/>
                <w:szCs w:val="24"/>
              </w:rPr>
              <w:t>主要服务项目的详细内容</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32DE5E2F">
            <w:pPr>
              <w:pStyle w:val="31"/>
              <w:spacing w:before="0" w:beforeAutospacing="0" w:after="0" w:afterAutospacing="0"/>
              <w:jc w:val="center"/>
              <w:rPr>
                <w:rFonts w:hint="eastAsia" w:ascii="宋体" w:hAnsi="宋体" w:eastAsia="宋体" w:cs="宋体"/>
                <w:kern w:val="2"/>
                <w:sz w:val="24"/>
                <w:szCs w:val="24"/>
              </w:rPr>
            </w:pPr>
            <w:r>
              <w:rPr>
                <w:rFonts w:hint="eastAsia" w:ascii="宋体" w:hAnsi="宋体" w:eastAsia="宋体" w:cs="宋体"/>
                <w:kern w:val="2"/>
                <w:sz w:val="24"/>
                <w:szCs w:val="24"/>
              </w:rPr>
              <w:t>数量</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2A178530">
            <w:pPr>
              <w:pStyle w:val="31"/>
              <w:spacing w:before="0" w:beforeAutospacing="0" w:after="0" w:afterAutospacing="0"/>
              <w:jc w:val="center"/>
              <w:rPr>
                <w:rFonts w:hint="eastAsia" w:ascii="宋体" w:hAnsi="宋体" w:eastAsia="宋体" w:cs="宋体"/>
                <w:kern w:val="2"/>
                <w:sz w:val="24"/>
                <w:szCs w:val="24"/>
              </w:rPr>
            </w:pPr>
            <w:r>
              <w:rPr>
                <w:rFonts w:hint="eastAsia" w:ascii="宋体" w:hAnsi="宋体" w:eastAsia="宋体" w:cs="宋体"/>
                <w:kern w:val="2"/>
                <w:sz w:val="24"/>
                <w:szCs w:val="24"/>
              </w:rPr>
              <w:t>单位</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0E014416">
            <w:pPr>
              <w:pStyle w:val="31"/>
              <w:spacing w:beforeAutospacing="0" w:afterAutospacing="0"/>
              <w:jc w:val="center"/>
              <w:rPr>
                <w:rFonts w:hint="eastAsia" w:ascii="宋体" w:hAnsi="宋体" w:eastAsia="宋体" w:cs="宋体"/>
                <w:kern w:val="2"/>
                <w:sz w:val="24"/>
                <w:szCs w:val="24"/>
              </w:rPr>
            </w:pPr>
            <w:r>
              <w:rPr>
                <w:rFonts w:hint="eastAsia" w:ascii="宋体" w:hAnsi="宋体" w:eastAsia="宋体" w:cs="宋体"/>
                <w:kern w:val="2"/>
                <w:sz w:val="24"/>
                <w:szCs w:val="24"/>
              </w:rPr>
              <w:t>单价（元）</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10BFA77">
            <w:pPr>
              <w:pStyle w:val="31"/>
              <w:spacing w:beforeAutospacing="0" w:afterAutospacing="0"/>
              <w:jc w:val="center"/>
              <w:rPr>
                <w:rFonts w:hint="eastAsia" w:ascii="宋体" w:hAnsi="宋体" w:eastAsia="宋体" w:cs="宋体"/>
                <w:kern w:val="2"/>
                <w:sz w:val="24"/>
                <w:szCs w:val="24"/>
              </w:rPr>
            </w:pPr>
            <w:r>
              <w:rPr>
                <w:rFonts w:hint="eastAsia" w:ascii="宋体" w:hAnsi="宋体" w:eastAsia="宋体" w:cs="宋体"/>
                <w:kern w:val="2"/>
                <w:sz w:val="24"/>
                <w:szCs w:val="24"/>
              </w:rPr>
              <w:t>单项总价（元）</w:t>
            </w:r>
          </w:p>
        </w:tc>
      </w:tr>
      <w:tr w14:paraId="7E5C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14:paraId="63C3740C">
            <w:pPr>
              <w:jc w:val="center"/>
              <w:rPr>
                <w:rFonts w:hint="eastAsia" w:ascii="宋体" w:hAnsi="宋体" w:eastAsia="宋体" w:cs="宋体"/>
                <w:sz w:val="24"/>
                <w:szCs w:val="24"/>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14:paraId="048B461A">
            <w:pPr>
              <w:rPr>
                <w:rFonts w:hint="eastAsia" w:ascii="宋体" w:hAnsi="宋体" w:eastAsia="宋体" w:cs="宋体"/>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0F3066BB">
            <w:pPr>
              <w:rPr>
                <w:rFonts w:hint="eastAsia" w:ascii="宋体" w:hAnsi="宋体" w:eastAsia="宋体" w:cs="宋体"/>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7127D2B">
            <w:pPr>
              <w:rPr>
                <w:rFonts w:hint="eastAsia" w:ascii="宋体" w:hAnsi="宋体" w:eastAsia="宋体" w:cs="宋体"/>
                <w:sz w:val="24"/>
                <w:szCs w:val="24"/>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1F4FF999">
            <w:pPr>
              <w:rPr>
                <w:rFonts w:hint="eastAsia" w:ascii="宋体" w:hAnsi="宋体" w:eastAsia="宋体" w:cs="宋体"/>
                <w:sz w:val="24"/>
                <w:szCs w:val="24"/>
              </w:rPr>
            </w:pPr>
          </w:p>
        </w:tc>
        <w:tc>
          <w:tcPr>
            <w:tcW w:w="1379" w:type="dxa"/>
            <w:tcBorders>
              <w:top w:val="single" w:color="auto" w:sz="4" w:space="0"/>
              <w:left w:val="single" w:color="auto" w:sz="4" w:space="0"/>
              <w:bottom w:val="single" w:color="auto" w:sz="4" w:space="0"/>
              <w:right w:val="single" w:color="auto" w:sz="4" w:space="0"/>
            </w:tcBorders>
            <w:noWrap w:val="0"/>
            <w:vAlign w:val="top"/>
          </w:tcPr>
          <w:p w14:paraId="09116AF0">
            <w:pPr>
              <w:rPr>
                <w:rFonts w:hint="eastAsia" w:ascii="宋体" w:hAnsi="宋体" w:eastAsia="宋体" w:cs="宋体"/>
                <w:sz w:val="24"/>
                <w:szCs w:val="24"/>
              </w:rPr>
            </w:pPr>
          </w:p>
        </w:tc>
        <w:tc>
          <w:tcPr>
            <w:tcW w:w="1465" w:type="dxa"/>
            <w:tcBorders>
              <w:top w:val="single" w:color="auto" w:sz="4" w:space="0"/>
              <w:left w:val="single" w:color="auto" w:sz="4" w:space="0"/>
              <w:bottom w:val="single" w:color="auto" w:sz="4" w:space="0"/>
              <w:right w:val="single" w:color="auto" w:sz="4" w:space="0"/>
            </w:tcBorders>
            <w:noWrap w:val="0"/>
            <w:vAlign w:val="top"/>
          </w:tcPr>
          <w:p w14:paraId="24019089">
            <w:pPr>
              <w:rPr>
                <w:rFonts w:hint="eastAsia" w:ascii="宋体" w:hAnsi="宋体" w:eastAsia="宋体" w:cs="宋体"/>
                <w:sz w:val="24"/>
                <w:szCs w:val="24"/>
              </w:rPr>
            </w:pPr>
          </w:p>
        </w:tc>
      </w:tr>
      <w:tr w14:paraId="4F79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14:paraId="6A70EC1E">
            <w:pPr>
              <w:jc w:val="center"/>
              <w:rPr>
                <w:rFonts w:hint="eastAsia" w:ascii="宋体" w:hAnsi="宋体" w:eastAsia="宋体" w:cs="宋体"/>
                <w:sz w:val="24"/>
                <w:szCs w:val="24"/>
              </w:rPr>
            </w:pPr>
            <w:r>
              <w:rPr>
                <w:rFonts w:hint="eastAsia" w:ascii="宋体" w:hAnsi="宋体" w:eastAsia="宋体" w:cs="宋体"/>
                <w:sz w:val="24"/>
                <w:szCs w:val="24"/>
              </w:rPr>
              <w:t>总计</w:t>
            </w:r>
          </w:p>
        </w:tc>
        <w:tc>
          <w:tcPr>
            <w:tcW w:w="8254" w:type="dxa"/>
            <w:gridSpan w:val="6"/>
            <w:tcBorders>
              <w:top w:val="single" w:color="auto" w:sz="4" w:space="0"/>
              <w:left w:val="single" w:color="auto" w:sz="4" w:space="0"/>
              <w:bottom w:val="single" w:color="auto" w:sz="4" w:space="0"/>
              <w:right w:val="single" w:color="auto" w:sz="4" w:space="0"/>
            </w:tcBorders>
            <w:noWrap w:val="0"/>
            <w:vAlign w:val="center"/>
          </w:tcPr>
          <w:p w14:paraId="6E9B7F5A">
            <w:pPr>
              <w:rPr>
                <w:rFonts w:hint="eastAsia" w:ascii="宋体" w:hAnsi="宋体" w:eastAsia="宋体" w:cs="宋体"/>
                <w:sz w:val="24"/>
                <w:szCs w:val="24"/>
              </w:rPr>
            </w:pPr>
            <w:r>
              <w:rPr>
                <w:rFonts w:hint="eastAsia" w:ascii="宋体" w:hAnsi="宋体" w:eastAsia="宋体" w:cs="宋体"/>
                <w:sz w:val="24"/>
                <w:szCs w:val="24"/>
              </w:rPr>
              <w:t>大写：                          小写：</w:t>
            </w:r>
          </w:p>
        </w:tc>
      </w:tr>
    </w:tbl>
    <w:p w14:paraId="7C62D9FE">
      <w:pPr>
        <w:pStyle w:val="136"/>
        <w:rPr>
          <w:rFonts w:hint="eastAsia" w:ascii="宋体" w:hAnsi="宋体" w:eastAsia="宋体" w:cs="宋体"/>
          <w:color w:val="000000" w:themeColor="text1"/>
          <w:sz w:val="24"/>
          <w:szCs w:val="24"/>
          <w14:textFill>
            <w14:solidFill>
              <w14:schemeClr w14:val="tx1"/>
            </w14:solidFill>
          </w14:textFill>
        </w:rPr>
      </w:pPr>
    </w:p>
    <w:p w14:paraId="5BC78DED">
      <w:pPr>
        <w:pStyle w:val="136"/>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投标人名称（盖公章）：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3AB9CC1C">
      <w:pPr>
        <w:pStyle w:val="136"/>
        <w:spacing w:line="52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法定代表人（负责人）或其授权的代理人(签字)：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40981CD">
      <w:pPr>
        <w:pStyle w:val="136"/>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年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日 </w:t>
      </w:r>
    </w:p>
    <w:p w14:paraId="00716AEF">
      <w:pPr>
        <w:pStyle w:val="136"/>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注：1、应按照</w:t>
      </w:r>
      <w:r>
        <w:rPr>
          <w:rFonts w:hint="eastAsia" w:ascii="宋体" w:hAnsi="宋体" w:eastAsia="宋体" w:cs="宋体"/>
          <w:color w:val="FF0000"/>
          <w:sz w:val="24"/>
          <w:szCs w:val="24"/>
        </w:rPr>
        <w:t>“投标须知”</w:t>
      </w:r>
      <w:r>
        <w:rPr>
          <w:rFonts w:hint="eastAsia" w:ascii="宋体" w:hAnsi="宋体" w:eastAsia="宋体" w:cs="宋体"/>
          <w:color w:val="000000" w:themeColor="text1"/>
          <w:sz w:val="24"/>
          <w:szCs w:val="24"/>
          <w14:textFill>
            <w14:solidFill>
              <w14:schemeClr w14:val="tx1"/>
            </w14:solidFill>
          </w14:textFill>
        </w:rPr>
        <w:t xml:space="preserve">的要求报价。 </w:t>
      </w:r>
    </w:p>
    <w:p w14:paraId="7BDFA9B0">
      <w:pPr>
        <w:pStyle w:val="136"/>
        <w:spacing w:line="5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2、总价金额与按单价汇总金额不一致的，以单价金额计算结果为准。 </w:t>
      </w:r>
    </w:p>
    <w:p w14:paraId="365B8804">
      <w:pPr>
        <w:pStyle w:val="136"/>
        <w:spacing w:line="520" w:lineRule="exac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 xml:space="preserve">   </w:t>
      </w:r>
      <w:r>
        <w:rPr>
          <w:rFonts w:hint="eastAsia" w:hAnsi="宋体" w:cs="宋体"/>
          <w:color w:val="FF0000"/>
          <w:sz w:val="24"/>
          <w:szCs w:val="24"/>
          <w:lang w:val="en-US" w:eastAsia="zh-CN"/>
        </w:rPr>
        <w:t xml:space="preserve"> 3、可根据实际情况自行编制此表。</w:t>
      </w:r>
    </w:p>
    <w:p w14:paraId="24AEA9F1">
      <w:pPr>
        <w:pStyle w:val="136"/>
        <w:rPr>
          <w:rFonts w:hint="eastAsia" w:ascii="宋体" w:hAnsi="宋体" w:eastAsia="宋体" w:cs="宋体"/>
          <w:color w:val="000000" w:themeColor="text1"/>
          <w:sz w:val="24"/>
          <w:szCs w:val="24"/>
          <w14:textFill>
            <w14:solidFill>
              <w14:schemeClr w14:val="tx1"/>
            </w14:solidFill>
          </w14:textFill>
        </w:rPr>
      </w:pPr>
    </w:p>
    <w:p w14:paraId="74E7558A">
      <w:pPr>
        <w:pStyle w:val="136"/>
        <w:rPr>
          <w:rFonts w:hint="eastAsia" w:ascii="宋体" w:hAnsi="宋体" w:eastAsia="宋体" w:cs="宋体"/>
          <w:color w:val="000000" w:themeColor="text1"/>
          <w:sz w:val="24"/>
          <w:szCs w:val="24"/>
          <w14:textFill>
            <w14:solidFill>
              <w14:schemeClr w14:val="tx1"/>
            </w14:solidFill>
          </w14:textFill>
        </w:rPr>
      </w:pPr>
    </w:p>
    <w:p w14:paraId="4D4D3FD3">
      <w:pPr>
        <w:pStyle w:val="136"/>
        <w:rPr>
          <w:rFonts w:hint="eastAsia" w:ascii="宋体" w:hAnsi="宋体" w:eastAsia="宋体" w:cs="宋体"/>
          <w:color w:val="000000" w:themeColor="text1"/>
          <w:sz w:val="24"/>
          <w:szCs w:val="24"/>
          <w14:textFill>
            <w14:solidFill>
              <w14:schemeClr w14:val="tx1"/>
            </w14:solidFill>
          </w14:textFill>
        </w:rPr>
      </w:pPr>
    </w:p>
    <w:p w14:paraId="0287DF97">
      <w:pPr>
        <w:spacing w:line="490" w:lineRule="exact"/>
        <w:jc w:val="center"/>
        <w:outlineLvl w:val="1"/>
        <w:rPr>
          <w:rFonts w:hint="eastAsia" w:ascii="宋体" w:hAnsi="宋体" w:eastAsia="宋体" w:cs="宋体"/>
          <w:b/>
          <w:color w:val="000000" w:themeColor="text1"/>
          <w:sz w:val="24"/>
          <w:szCs w:val="24"/>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58271F2E">
      <w:pPr>
        <w:spacing w:line="490" w:lineRule="exact"/>
        <w:jc w:val="center"/>
        <w:outlineLvl w:val="1"/>
        <w:rPr>
          <w:rFonts w:hint="eastAsia" w:ascii="宋体" w:hAnsi="宋体" w:eastAsia="宋体" w:cs="宋体"/>
          <w:color w:val="000000" w:themeColor="text1"/>
          <w:sz w:val="32"/>
          <w:szCs w:val="32"/>
          <w14:textFill>
            <w14:solidFill>
              <w14:schemeClr w14:val="tx1"/>
            </w14:solidFill>
          </w14:textFill>
        </w:rPr>
      </w:pPr>
      <w:bookmarkStart w:id="32" w:name="_Toc15527"/>
      <w:r>
        <w:rPr>
          <w:rFonts w:hint="eastAsia" w:ascii="宋体" w:hAnsi="宋体" w:eastAsia="宋体" w:cs="宋体"/>
          <w:b/>
          <w:color w:val="000000" w:themeColor="text1"/>
          <w:sz w:val="32"/>
          <w:szCs w:val="32"/>
          <w14:textFill>
            <w14:solidFill>
              <w14:schemeClr w14:val="tx1"/>
            </w14:solidFill>
          </w14:textFill>
        </w:rPr>
        <w:t>五、投标人资格证明文件</w:t>
      </w:r>
      <w:bookmarkEnd w:id="32"/>
    </w:p>
    <w:p w14:paraId="3CA9EE49">
      <w:pPr>
        <w:pStyle w:val="136"/>
        <w:rPr>
          <w:rFonts w:hint="eastAsia" w:ascii="宋体" w:hAnsi="宋体" w:eastAsia="宋体" w:cs="宋体"/>
          <w:color w:val="000000" w:themeColor="text1"/>
          <w:sz w:val="24"/>
          <w:szCs w:val="24"/>
          <w14:textFill>
            <w14:solidFill>
              <w14:schemeClr w14:val="tx1"/>
            </w14:solidFill>
          </w14:textFill>
        </w:rPr>
      </w:pPr>
    </w:p>
    <w:p w14:paraId="2FD553B3">
      <w:pPr>
        <w:autoSpaceDE w:val="0"/>
        <w:autoSpaceDN w:val="0"/>
        <w:adjustRightInd w:val="0"/>
        <w:spacing w:line="49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投标人须按 “投标须知”要求，提供下列证明材料，以满足投标人基本资格条件和特定资格条件要求： </w:t>
      </w:r>
    </w:p>
    <w:p w14:paraId="3F5522A1">
      <w:pPr>
        <w:autoSpaceDE w:val="0"/>
        <w:autoSpaceDN w:val="0"/>
        <w:adjustRightInd w:val="0"/>
        <w:spacing w:line="49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附1、法定代表人（负责人）身份证明书或附有法定代表人（负责人身份证明的授权委托书； </w:t>
      </w:r>
    </w:p>
    <w:p w14:paraId="49A0E861">
      <w:pPr>
        <w:autoSpaceDE w:val="0"/>
        <w:autoSpaceDN w:val="0"/>
        <w:adjustRightInd w:val="0"/>
        <w:spacing w:line="49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附2、法人（负责人）、或者其他组织的营业执照、税务登记证、组织机构代码证等主体资格证明文件，自然人的身份证明；</w:t>
      </w:r>
    </w:p>
    <w:p w14:paraId="035F5EDF">
      <w:pPr>
        <w:autoSpaceDE w:val="0"/>
        <w:autoSpaceDN w:val="0"/>
        <w:adjustRightInd w:val="0"/>
        <w:spacing w:line="49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附3、特定资格条件证明文件； </w:t>
      </w:r>
    </w:p>
    <w:p w14:paraId="50D48D09">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6C494F05">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251A63D9">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081AFF04">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2B838991">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27742CEA">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2A4DAC3C">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6E839F8E">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156810F8">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6F17A16E">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0F5A3DED">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7C15C4C2">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44D5BD3C">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72D404B7">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1829CE08">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26D62159">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3D123564">
      <w:pPr>
        <w:autoSpaceDE w:val="0"/>
        <w:autoSpaceDN w:val="0"/>
        <w:adjustRightInd w:val="0"/>
        <w:spacing w:line="520" w:lineRule="exact"/>
        <w:jc w:val="left"/>
        <w:rPr>
          <w:rFonts w:hint="eastAsia" w:ascii="宋体" w:hAnsi="宋体" w:eastAsia="宋体" w:cs="宋体"/>
          <w:color w:val="000000" w:themeColor="text1"/>
          <w:kern w:val="0"/>
          <w:sz w:val="24"/>
          <w:szCs w:val="24"/>
          <w14:textFill>
            <w14:solidFill>
              <w14:schemeClr w14:val="tx1"/>
            </w14:solidFill>
          </w14:textFill>
        </w:rPr>
      </w:pPr>
    </w:p>
    <w:p w14:paraId="75C795CB">
      <w:pPr>
        <w:pStyle w:val="11"/>
        <w:rPr>
          <w:rFonts w:hint="eastAsia" w:ascii="宋体" w:hAnsi="宋体" w:eastAsia="宋体" w:cs="宋体"/>
          <w:color w:val="000000" w:themeColor="text1"/>
          <w:kern w:val="0"/>
          <w:sz w:val="24"/>
          <w:szCs w:val="24"/>
          <w14:textFill>
            <w14:solidFill>
              <w14:schemeClr w14:val="tx1"/>
            </w14:solidFill>
          </w14:textFill>
        </w:rPr>
      </w:pPr>
    </w:p>
    <w:p w14:paraId="593BDC72">
      <w:pPr>
        <w:rPr>
          <w:rFonts w:hint="eastAsia" w:ascii="宋体" w:hAnsi="宋体" w:eastAsia="宋体" w:cs="宋体"/>
          <w:color w:val="000000" w:themeColor="text1"/>
          <w:sz w:val="24"/>
          <w:szCs w:val="24"/>
          <w14:textFill>
            <w14:solidFill>
              <w14:schemeClr w14:val="tx1"/>
            </w14:solidFill>
          </w14:textFill>
        </w:rPr>
      </w:pPr>
    </w:p>
    <w:p w14:paraId="39D797D6">
      <w:pPr>
        <w:spacing w:line="49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附件1</w:t>
      </w:r>
    </w:p>
    <w:p w14:paraId="50FD3075">
      <w:pPr>
        <w:spacing w:line="49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授权委托书</w:t>
      </w:r>
    </w:p>
    <w:p w14:paraId="51699BDD">
      <w:pPr>
        <w:autoSpaceDE w:val="0"/>
        <w:autoSpaceDN w:val="0"/>
        <w:adjustRightInd w:val="0"/>
        <w:spacing w:line="49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p>
    <w:p w14:paraId="450199C6">
      <w:pPr>
        <w:autoSpaceDE w:val="0"/>
        <w:autoSpaceDN w:val="0"/>
        <w:adjustRightInd w:val="0"/>
        <w:spacing w:line="490" w:lineRule="exact"/>
        <w:ind w:firstLine="600" w:firstLineChars="2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本人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（姓名、职务）系</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（投标人名称）的法定代表人（负责人），现授权</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（姓名、职务）为我方代理人。代理人根据授权，以我方名义签署、澄清、说明、补正、递交、撤回、修改</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（项目名称、招标编号）投标响应文件、签订合同和处理有关事宜，其法律后果由我方承担。 </w:t>
      </w:r>
    </w:p>
    <w:p w14:paraId="02B90AA5">
      <w:pPr>
        <w:autoSpaceDE w:val="0"/>
        <w:autoSpaceDN w:val="0"/>
        <w:adjustRightInd w:val="0"/>
        <w:spacing w:line="490" w:lineRule="exact"/>
        <w:jc w:val="left"/>
        <w:rPr>
          <w:rFonts w:hint="eastAsia" w:ascii="宋体" w:hAnsi="宋体" w:eastAsia="宋体" w:cs="宋体"/>
          <w:color w:val="000000" w:themeColor="text1"/>
          <w:kern w:val="0"/>
          <w:sz w:val="24"/>
          <w:szCs w:val="24"/>
          <w14:textFill>
            <w14:solidFill>
              <w14:schemeClr w14:val="tx1"/>
            </w14:solidFill>
          </w14:textFill>
        </w:rPr>
      </w:pPr>
    </w:p>
    <w:p w14:paraId="65D898F7">
      <w:pPr>
        <w:autoSpaceDE w:val="0"/>
        <w:autoSpaceDN w:val="0"/>
        <w:adjustRightInd w:val="0"/>
        <w:spacing w:line="49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委托期限：</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33048692">
      <w:pPr>
        <w:autoSpaceDE w:val="0"/>
        <w:autoSpaceDN w:val="0"/>
        <w:adjustRightInd w:val="0"/>
        <w:spacing w:line="490" w:lineRule="exact"/>
        <w:jc w:val="left"/>
        <w:rPr>
          <w:rFonts w:hint="eastAsia" w:ascii="宋体" w:hAnsi="宋体" w:eastAsia="宋体" w:cs="宋体"/>
          <w:color w:val="000000" w:themeColor="text1"/>
          <w:kern w:val="0"/>
          <w:sz w:val="24"/>
          <w:szCs w:val="24"/>
          <w14:textFill>
            <w14:solidFill>
              <w14:schemeClr w14:val="tx1"/>
            </w14:solidFill>
          </w14:textFill>
        </w:rPr>
      </w:pPr>
    </w:p>
    <w:p w14:paraId="4F89EB4B">
      <w:pPr>
        <w:autoSpaceDE w:val="0"/>
        <w:autoSpaceDN w:val="0"/>
        <w:adjustRightInd w:val="0"/>
        <w:spacing w:line="49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代理人无转委托权。 </w:t>
      </w:r>
    </w:p>
    <w:p w14:paraId="150203E9">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28201BF9">
      <w:pPr>
        <w:pStyle w:val="136"/>
        <w:spacing w:line="49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本授权书于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日签字生效，特此声明。</w:t>
      </w:r>
    </w:p>
    <w:p w14:paraId="1121E973">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6573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8900" w:type="dxa"/>
          </w:tcPr>
          <w:p w14:paraId="64A292A3">
            <w:pPr>
              <w:pStyle w:val="136"/>
              <w:spacing w:line="490" w:lineRule="exact"/>
              <w:jc w:val="center"/>
              <w:rPr>
                <w:rFonts w:hint="eastAsia" w:ascii="宋体" w:hAnsi="宋体" w:eastAsia="宋体" w:cs="宋体"/>
                <w:color w:val="000000" w:themeColor="text1"/>
                <w:sz w:val="24"/>
                <w:szCs w:val="24"/>
                <w14:textFill>
                  <w14:solidFill>
                    <w14:schemeClr w14:val="tx1"/>
                  </w14:solidFill>
                </w14:textFill>
              </w:rPr>
            </w:pPr>
          </w:p>
          <w:p w14:paraId="16058AD5">
            <w:pPr>
              <w:pStyle w:val="136"/>
              <w:spacing w:line="490" w:lineRule="exact"/>
              <w:jc w:val="center"/>
              <w:rPr>
                <w:rFonts w:hint="eastAsia" w:ascii="宋体" w:hAnsi="宋体" w:eastAsia="宋体" w:cs="宋体"/>
                <w:color w:val="000000" w:themeColor="text1"/>
                <w:sz w:val="24"/>
                <w:szCs w:val="24"/>
                <w14:textFill>
                  <w14:solidFill>
                    <w14:schemeClr w14:val="tx1"/>
                  </w14:solidFill>
                </w14:textFill>
              </w:rPr>
            </w:pPr>
          </w:p>
          <w:p w14:paraId="6DACF275">
            <w:pPr>
              <w:pStyle w:val="136"/>
              <w:spacing w:line="490" w:lineRule="exact"/>
              <w:jc w:val="center"/>
              <w:rPr>
                <w:rFonts w:hint="eastAsia" w:ascii="宋体" w:hAnsi="宋体" w:eastAsia="宋体" w:cs="宋体"/>
                <w:color w:val="000000" w:themeColor="text1"/>
                <w:sz w:val="24"/>
                <w:szCs w:val="24"/>
                <w14:textFill>
                  <w14:solidFill>
                    <w14:schemeClr w14:val="tx1"/>
                  </w14:solidFill>
                </w14:textFill>
              </w:rPr>
            </w:pPr>
          </w:p>
          <w:p w14:paraId="7DAFF438">
            <w:pPr>
              <w:pStyle w:val="136"/>
              <w:spacing w:line="49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委托代理人身份证正面、反面复印件</w:t>
            </w:r>
          </w:p>
          <w:p w14:paraId="470FEE9F">
            <w:pPr>
              <w:pStyle w:val="136"/>
              <w:spacing w:line="490" w:lineRule="exact"/>
              <w:jc w:val="center"/>
              <w:rPr>
                <w:rFonts w:hint="eastAsia" w:ascii="宋体" w:hAnsi="宋体" w:eastAsia="宋体" w:cs="宋体"/>
                <w:color w:val="000000" w:themeColor="text1"/>
                <w:sz w:val="24"/>
                <w:szCs w:val="24"/>
                <w14:textFill>
                  <w14:solidFill>
                    <w14:schemeClr w14:val="tx1"/>
                  </w14:solidFill>
                </w14:textFill>
              </w:rPr>
            </w:pPr>
          </w:p>
        </w:tc>
      </w:tr>
    </w:tbl>
    <w:p w14:paraId="34AA6F36">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4AD4A41B">
      <w:pPr>
        <w:pStyle w:val="136"/>
        <w:spacing w:line="49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投标人名称（盖公章）：</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2A878E8">
      <w:pPr>
        <w:pStyle w:val="136"/>
        <w:spacing w:line="49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法定代表人（负责人）或其授权的代理人(签字)：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A658194">
      <w:pPr>
        <w:pStyle w:val="136"/>
        <w:spacing w:line="49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日 </w:t>
      </w:r>
    </w:p>
    <w:p w14:paraId="511AD914">
      <w:pPr>
        <w:pStyle w:val="136"/>
        <w:spacing w:line="560" w:lineRule="exact"/>
        <w:rPr>
          <w:rFonts w:hint="eastAsia" w:ascii="宋体" w:hAnsi="宋体" w:eastAsia="宋体" w:cs="宋体"/>
          <w:color w:val="000000" w:themeColor="text1"/>
          <w:kern w:val="2"/>
          <w:sz w:val="24"/>
          <w:szCs w:val="24"/>
          <w14:textFill>
            <w14:solidFill>
              <w14:schemeClr w14:val="tx1"/>
            </w14:solidFill>
          </w14:textFill>
        </w:rPr>
      </w:pPr>
    </w:p>
    <w:p w14:paraId="53D6A000">
      <w:pPr>
        <w:pStyle w:val="136"/>
        <w:spacing w:line="560" w:lineRule="exact"/>
        <w:rPr>
          <w:rFonts w:hint="eastAsia" w:ascii="宋体" w:hAnsi="宋体" w:eastAsia="宋体" w:cs="宋体"/>
          <w:color w:val="000000" w:themeColor="text1"/>
          <w:kern w:val="2"/>
          <w:sz w:val="24"/>
          <w:szCs w:val="24"/>
          <w14:textFill>
            <w14:solidFill>
              <w14:schemeClr w14:val="tx1"/>
            </w14:solidFill>
          </w14:textFill>
        </w:rPr>
      </w:pPr>
    </w:p>
    <w:p w14:paraId="6A1C48CA">
      <w:pPr>
        <w:pStyle w:val="136"/>
        <w:spacing w:line="560" w:lineRule="exact"/>
        <w:rPr>
          <w:rFonts w:hint="eastAsia" w:ascii="宋体" w:hAnsi="宋体" w:eastAsia="宋体" w:cs="宋体"/>
          <w:color w:val="000000" w:themeColor="text1"/>
          <w:kern w:val="2"/>
          <w:sz w:val="24"/>
          <w:szCs w:val="24"/>
          <w14:textFill>
            <w14:solidFill>
              <w14:schemeClr w14:val="tx1"/>
            </w14:solidFill>
          </w14:textFill>
        </w:rPr>
      </w:pPr>
    </w:p>
    <w:p w14:paraId="400D62A4">
      <w:pPr>
        <w:pStyle w:val="136"/>
        <w:rPr>
          <w:rFonts w:hint="eastAsia" w:ascii="宋体" w:hAnsi="宋体" w:eastAsia="宋体" w:cs="宋体"/>
          <w:color w:val="000000" w:themeColor="text1"/>
          <w:kern w:val="2"/>
          <w:sz w:val="24"/>
          <w:szCs w:val="24"/>
          <w14:textFill>
            <w14:solidFill>
              <w14:schemeClr w14:val="tx1"/>
            </w14:solidFill>
          </w14:textFill>
        </w:rPr>
      </w:pPr>
    </w:p>
    <w:p w14:paraId="7C68E949">
      <w:pPr>
        <w:pStyle w:val="13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附件1-1</w:t>
      </w:r>
      <w:r>
        <w:rPr>
          <w:rFonts w:hint="eastAsia" w:ascii="宋体" w:hAnsi="宋体" w:eastAsia="宋体" w:cs="宋体"/>
          <w:b/>
          <w:bCs/>
          <w:color w:val="000000" w:themeColor="text1"/>
          <w:sz w:val="24"/>
          <w:szCs w:val="24"/>
          <w14:textFill>
            <w14:solidFill>
              <w14:schemeClr w14:val="tx1"/>
            </w14:solidFill>
          </w14:textFill>
        </w:rPr>
        <w:t xml:space="preserve"> </w:t>
      </w:r>
    </w:p>
    <w:p w14:paraId="5FFFC41E">
      <w:pPr>
        <w:spacing w:line="49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法定代表人（负责人）证明书</w:t>
      </w:r>
      <w:r>
        <w:rPr>
          <w:rFonts w:hint="eastAsia" w:ascii="宋体" w:hAnsi="宋体" w:eastAsia="宋体" w:cs="宋体"/>
          <w:color w:val="000000" w:themeColor="text1"/>
          <w:sz w:val="24"/>
          <w:szCs w:val="24"/>
          <w14:textFill>
            <w14:solidFill>
              <w14:schemeClr w14:val="tx1"/>
            </w14:solidFill>
          </w14:textFill>
        </w:rPr>
        <w:t xml:space="preserve"> </w:t>
      </w:r>
    </w:p>
    <w:p w14:paraId="40A66407">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698908B6">
      <w:pPr>
        <w:pStyle w:val="136"/>
        <w:spacing w:line="600" w:lineRule="exact"/>
        <w:ind w:firstLine="360" w:firstLineChars="1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8ACB0AD">
      <w:pPr>
        <w:pStyle w:val="136"/>
        <w:spacing w:line="6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3389BB15">
      <w:pPr>
        <w:pStyle w:val="136"/>
        <w:spacing w:line="6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659F3F92">
      <w:pPr>
        <w:pStyle w:val="136"/>
        <w:spacing w:line="6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日 </w:t>
      </w:r>
    </w:p>
    <w:p w14:paraId="586F5AB9">
      <w:pPr>
        <w:pStyle w:val="136"/>
        <w:spacing w:line="600" w:lineRule="exact"/>
        <w:ind w:firstLine="360" w:firstLineChars="1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6F58F23">
      <w:pPr>
        <w:pStyle w:val="136"/>
        <w:spacing w:line="600" w:lineRule="exact"/>
        <w:ind w:firstLine="360" w:firstLineChars="1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经营范围：主营：</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；兼营：</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A47A67D">
      <w:pPr>
        <w:pStyle w:val="136"/>
        <w:spacing w:line="6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性别：</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（投标人名称）的法定代表人（负责人）。 </w:t>
      </w:r>
    </w:p>
    <w:tbl>
      <w:tblPr>
        <w:tblStyle w:val="35"/>
        <w:tblW w:w="0" w:type="auto"/>
        <w:tblInd w:w="0" w:type="dxa"/>
        <w:tblLayout w:type="fixed"/>
        <w:tblCellMar>
          <w:top w:w="0" w:type="dxa"/>
          <w:left w:w="108" w:type="dxa"/>
          <w:bottom w:w="0" w:type="dxa"/>
          <w:right w:w="108" w:type="dxa"/>
        </w:tblCellMar>
      </w:tblPr>
      <w:tblGrid>
        <w:gridCol w:w="534"/>
        <w:gridCol w:w="8221"/>
        <w:gridCol w:w="962"/>
      </w:tblGrid>
      <w:tr w14:paraId="059E53CA">
        <w:tblPrEx>
          <w:tblCellMar>
            <w:top w:w="0" w:type="dxa"/>
            <w:left w:w="108" w:type="dxa"/>
            <w:bottom w:w="0" w:type="dxa"/>
            <w:right w:w="108" w:type="dxa"/>
          </w:tblCellMar>
        </w:tblPrEx>
        <w:trPr>
          <w:trHeight w:val="1207" w:hRule="atLeast"/>
        </w:trPr>
        <w:tc>
          <w:tcPr>
            <w:tcW w:w="9717" w:type="dxa"/>
            <w:gridSpan w:val="3"/>
            <w:tcBorders>
              <w:bottom w:val="nil"/>
            </w:tcBorders>
          </w:tcPr>
          <w:p w14:paraId="6BDD36D4">
            <w:pPr>
              <w:rPr>
                <w:rFonts w:hint="eastAsia" w:ascii="宋体" w:hAnsi="宋体" w:eastAsia="宋体" w:cs="宋体"/>
                <w:color w:val="000000" w:themeColor="text1"/>
                <w:sz w:val="24"/>
                <w:szCs w:val="24"/>
                <w14:textFill>
                  <w14:solidFill>
                    <w14:schemeClr w14:val="tx1"/>
                  </w14:solidFill>
                </w14:textFill>
              </w:rPr>
            </w:pPr>
          </w:p>
          <w:p w14:paraId="2333272E">
            <w:pPr>
              <w:pStyle w:val="136"/>
              <w:spacing w:line="49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特此证明。 </w:t>
            </w:r>
          </w:p>
          <w:p w14:paraId="33ABD1E4">
            <w:pPr>
              <w:rPr>
                <w:rFonts w:hint="eastAsia" w:ascii="宋体" w:hAnsi="宋体" w:eastAsia="宋体" w:cs="宋体"/>
                <w:color w:val="000000" w:themeColor="text1"/>
                <w:sz w:val="24"/>
                <w:szCs w:val="24"/>
                <w14:textFill>
                  <w14:solidFill>
                    <w14:schemeClr w14:val="tx1"/>
                  </w14:solidFill>
                </w14:textFill>
              </w:rPr>
            </w:pPr>
          </w:p>
          <w:p w14:paraId="18C061A0">
            <w:pPr>
              <w:rPr>
                <w:rFonts w:hint="eastAsia" w:ascii="宋体" w:hAnsi="宋体" w:eastAsia="宋体" w:cs="宋体"/>
                <w:color w:val="000000" w:themeColor="text1"/>
                <w:sz w:val="24"/>
                <w:szCs w:val="24"/>
                <w14:textFill>
                  <w14:solidFill>
                    <w14:schemeClr w14:val="tx1"/>
                  </w14:solidFill>
                </w14:textFill>
              </w:rPr>
            </w:pPr>
          </w:p>
        </w:tc>
      </w:tr>
      <w:tr w14:paraId="5D2F0647">
        <w:tblPrEx>
          <w:tblCellMar>
            <w:top w:w="0" w:type="dxa"/>
            <w:left w:w="108" w:type="dxa"/>
            <w:bottom w:w="0" w:type="dxa"/>
            <w:right w:w="108" w:type="dxa"/>
          </w:tblCellMar>
        </w:tblPrEx>
        <w:trPr>
          <w:trHeight w:val="679" w:hRule="atLeast"/>
        </w:trPr>
        <w:tc>
          <w:tcPr>
            <w:tcW w:w="534" w:type="dxa"/>
            <w:tcBorders>
              <w:top w:val="nil"/>
              <w:bottom w:val="nil"/>
              <w:right w:val="single" w:color="auto" w:sz="4" w:space="0"/>
            </w:tcBorders>
          </w:tcPr>
          <w:p w14:paraId="070D0842">
            <w:pPr>
              <w:pStyle w:val="136"/>
              <w:spacing w:line="560" w:lineRule="exact"/>
              <w:rPr>
                <w:rFonts w:hint="eastAsia" w:ascii="宋体" w:hAnsi="宋体" w:eastAsia="宋体" w:cs="宋体"/>
                <w:color w:val="000000" w:themeColor="text1"/>
                <w:kern w:val="2"/>
                <w:sz w:val="24"/>
                <w:szCs w:val="24"/>
                <w14:textFill>
                  <w14:solidFill>
                    <w14:schemeClr w14:val="tx1"/>
                  </w14:solidFill>
                </w14:textFill>
              </w:rPr>
            </w:pPr>
          </w:p>
        </w:tc>
        <w:tc>
          <w:tcPr>
            <w:tcW w:w="8221" w:type="dxa"/>
            <w:vMerge w:val="restart"/>
            <w:tcBorders>
              <w:top w:val="single" w:color="auto" w:sz="4" w:space="0"/>
              <w:left w:val="single" w:color="auto" w:sz="4" w:space="0"/>
              <w:right w:val="single" w:color="auto" w:sz="4" w:space="0"/>
            </w:tcBorders>
            <w:vAlign w:val="center"/>
          </w:tcPr>
          <w:p w14:paraId="43834D54">
            <w:pPr>
              <w:pStyle w:val="136"/>
              <w:spacing w:line="560" w:lineRule="exact"/>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法定代表人（负责人）身份证正面、反面复印件</w:t>
            </w:r>
          </w:p>
        </w:tc>
        <w:tc>
          <w:tcPr>
            <w:tcW w:w="962" w:type="dxa"/>
            <w:tcBorders>
              <w:top w:val="nil"/>
              <w:left w:val="single" w:color="auto" w:sz="4" w:space="0"/>
              <w:bottom w:val="nil"/>
            </w:tcBorders>
          </w:tcPr>
          <w:p w14:paraId="069E903A">
            <w:pPr>
              <w:pStyle w:val="136"/>
              <w:spacing w:line="560" w:lineRule="exact"/>
              <w:rPr>
                <w:rFonts w:hint="eastAsia" w:ascii="宋体" w:hAnsi="宋体" w:eastAsia="宋体" w:cs="宋体"/>
                <w:color w:val="000000" w:themeColor="text1"/>
                <w:kern w:val="2"/>
                <w:sz w:val="24"/>
                <w:szCs w:val="24"/>
                <w14:textFill>
                  <w14:solidFill>
                    <w14:schemeClr w14:val="tx1"/>
                  </w14:solidFill>
                </w14:textFill>
              </w:rPr>
            </w:pPr>
          </w:p>
        </w:tc>
      </w:tr>
      <w:tr w14:paraId="1213CD18">
        <w:tblPrEx>
          <w:tblCellMar>
            <w:top w:w="0" w:type="dxa"/>
            <w:left w:w="108" w:type="dxa"/>
            <w:bottom w:w="0" w:type="dxa"/>
            <w:right w:w="108" w:type="dxa"/>
          </w:tblCellMar>
        </w:tblPrEx>
        <w:trPr>
          <w:trHeight w:val="2791" w:hRule="atLeast"/>
        </w:trPr>
        <w:tc>
          <w:tcPr>
            <w:tcW w:w="534" w:type="dxa"/>
            <w:tcBorders>
              <w:top w:val="nil"/>
              <w:left w:val="nil"/>
              <w:bottom w:val="nil"/>
              <w:right w:val="single" w:color="auto" w:sz="4" w:space="0"/>
            </w:tcBorders>
          </w:tcPr>
          <w:p w14:paraId="5061E576">
            <w:pPr>
              <w:pStyle w:val="136"/>
              <w:spacing w:line="560" w:lineRule="exact"/>
              <w:rPr>
                <w:rFonts w:hint="eastAsia" w:ascii="宋体" w:hAnsi="宋体" w:eastAsia="宋体" w:cs="宋体"/>
                <w:color w:val="000000" w:themeColor="text1"/>
                <w:kern w:val="2"/>
                <w:sz w:val="24"/>
                <w:szCs w:val="24"/>
                <w14:textFill>
                  <w14:solidFill>
                    <w14:schemeClr w14:val="tx1"/>
                  </w14:solidFill>
                </w14:textFill>
              </w:rPr>
            </w:pPr>
          </w:p>
        </w:tc>
        <w:tc>
          <w:tcPr>
            <w:tcW w:w="8221" w:type="dxa"/>
            <w:vMerge w:val="continue"/>
            <w:tcBorders>
              <w:left w:val="single" w:color="auto" w:sz="4" w:space="0"/>
              <w:bottom w:val="single" w:color="auto" w:sz="4" w:space="0"/>
              <w:right w:val="single" w:color="auto" w:sz="4" w:space="0"/>
            </w:tcBorders>
          </w:tcPr>
          <w:p w14:paraId="4FC29ABE">
            <w:pPr>
              <w:pStyle w:val="136"/>
              <w:spacing w:line="560" w:lineRule="exact"/>
              <w:rPr>
                <w:rFonts w:hint="eastAsia" w:ascii="宋体" w:hAnsi="宋体" w:eastAsia="宋体" w:cs="宋体"/>
                <w:color w:val="000000" w:themeColor="text1"/>
                <w:kern w:val="2"/>
                <w:sz w:val="24"/>
                <w:szCs w:val="24"/>
                <w14:textFill>
                  <w14:solidFill>
                    <w14:schemeClr w14:val="tx1"/>
                  </w14:solidFill>
                </w14:textFill>
              </w:rPr>
            </w:pPr>
          </w:p>
        </w:tc>
        <w:tc>
          <w:tcPr>
            <w:tcW w:w="962" w:type="dxa"/>
            <w:tcBorders>
              <w:top w:val="nil"/>
              <w:left w:val="single" w:color="auto" w:sz="4" w:space="0"/>
              <w:bottom w:val="nil"/>
              <w:right w:val="nil"/>
            </w:tcBorders>
          </w:tcPr>
          <w:p w14:paraId="256D156E">
            <w:pPr>
              <w:pStyle w:val="136"/>
              <w:spacing w:line="560" w:lineRule="exact"/>
              <w:rPr>
                <w:rFonts w:hint="eastAsia" w:ascii="宋体" w:hAnsi="宋体" w:eastAsia="宋体" w:cs="宋体"/>
                <w:color w:val="000000" w:themeColor="text1"/>
                <w:kern w:val="2"/>
                <w:sz w:val="24"/>
                <w:szCs w:val="24"/>
                <w14:textFill>
                  <w14:solidFill>
                    <w14:schemeClr w14:val="tx1"/>
                  </w14:solidFill>
                </w14:textFill>
              </w:rPr>
            </w:pPr>
          </w:p>
        </w:tc>
      </w:tr>
    </w:tbl>
    <w:p w14:paraId="34868942">
      <w:pPr>
        <w:pStyle w:val="136"/>
        <w:spacing w:line="560" w:lineRule="exact"/>
        <w:rPr>
          <w:rFonts w:hint="eastAsia" w:ascii="宋体" w:hAnsi="宋体" w:eastAsia="宋体" w:cs="宋体"/>
          <w:color w:val="000000" w:themeColor="text1"/>
          <w:kern w:val="2"/>
          <w:sz w:val="24"/>
          <w:szCs w:val="24"/>
          <w14:textFill>
            <w14:solidFill>
              <w14:schemeClr w14:val="tx1"/>
            </w14:solidFill>
          </w14:textFill>
        </w:rPr>
      </w:pPr>
    </w:p>
    <w:p w14:paraId="578BAC03">
      <w:pPr>
        <w:pStyle w:val="136"/>
        <w:spacing w:line="490" w:lineRule="exact"/>
        <w:ind w:firstLine="600" w:firstLineChars="2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投标人名称（盖公章）：</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BFE4792">
      <w:pPr>
        <w:pStyle w:val="136"/>
        <w:spacing w:line="490" w:lineRule="exact"/>
        <w:ind w:firstLine="600" w:firstLineChars="2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法定代表人（负责人）或其授权的代理人(签字)：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7532F24">
      <w:pPr>
        <w:pStyle w:val="136"/>
        <w:spacing w:line="56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383ED77E">
      <w:pPr>
        <w:rPr>
          <w:rFonts w:hint="eastAsia"/>
        </w:rPr>
      </w:pPr>
    </w:p>
    <w:p w14:paraId="56C441F8">
      <w:pPr>
        <w:pStyle w:val="136"/>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附件2</w:t>
      </w:r>
      <w:r>
        <w:rPr>
          <w:rFonts w:hint="eastAsia" w:ascii="宋体" w:hAnsi="宋体" w:eastAsia="宋体" w:cs="宋体"/>
          <w:color w:val="000000" w:themeColor="text1"/>
          <w:sz w:val="24"/>
          <w:szCs w:val="24"/>
          <w14:textFill>
            <w14:solidFill>
              <w14:schemeClr w14:val="tx1"/>
            </w14:solidFill>
          </w14:textFill>
        </w:rPr>
        <w:t xml:space="preserve"> </w:t>
      </w:r>
    </w:p>
    <w:p w14:paraId="4A62CB5A">
      <w:pPr>
        <w:spacing w:line="490" w:lineRule="exact"/>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投标人基本情况</w:t>
      </w:r>
    </w:p>
    <w:p w14:paraId="3D15F61E">
      <w:pPr>
        <w:pStyle w:val="136"/>
        <w:spacing w:line="490" w:lineRule="exact"/>
        <w:ind w:firstLine="240" w:firstLineChars="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1.名称及概况：</w:t>
      </w:r>
    </w:p>
    <w:p w14:paraId="6D171F41">
      <w:pPr>
        <w:pStyle w:val="136"/>
        <w:spacing w:line="490" w:lineRule="exact"/>
        <w:ind w:firstLine="240" w:firstLineChars="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投标人名称：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2AF753B">
      <w:pPr>
        <w:pStyle w:val="136"/>
        <w:spacing w:line="490" w:lineRule="exact"/>
        <w:ind w:firstLine="1440" w:firstLineChars="6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3037BB44">
      <w:pPr>
        <w:pStyle w:val="136"/>
        <w:spacing w:line="49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传真/电话号码：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邮政编码：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1BCAAC02">
      <w:pPr>
        <w:pStyle w:val="136"/>
        <w:spacing w:line="49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成立或注册日期：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4C98975E">
      <w:pPr>
        <w:pStyle w:val="136"/>
        <w:spacing w:line="490" w:lineRule="exact"/>
        <w:ind w:firstLine="240" w:firstLineChars="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注册号码：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80557A9">
      <w:pPr>
        <w:pStyle w:val="136"/>
        <w:spacing w:line="490" w:lineRule="exact"/>
        <w:ind w:firstLine="240" w:firstLineChars="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经营范围：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31C3820">
      <w:pPr>
        <w:pStyle w:val="136"/>
        <w:spacing w:line="490" w:lineRule="exact"/>
        <w:ind w:left="359" w:leftChars="114" w:hanging="120" w:hangingChars="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3．开立基本帐户银行的名称和地址：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（提供注册地人民银行开户许可证复印件）</w:t>
      </w:r>
    </w:p>
    <w:p w14:paraId="6B21F232">
      <w:pPr>
        <w:pStyle w:val="136"/>
        <w:spacing w:line="490" w:lineRule="exact"/>
        <w:ind w:left="359" w:leftChars="114" w:hanging="120" w:hangingChars="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4．提供营业执照副本、税务登记证副本、组织机构代码证副本 (自然人为投标人时，提供自然人身份证明)等证明材料的复印件。 </w:t>
      </w:r>
    </w:p>
    <w:p w14:paraId="37B59156">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3BC62FFD">
      <w:pPr>
        <w:pStyle w:val="136"/>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兹声明上述数据和资料是真实、正确的，我们同意遵照贵方要求出示有关证明文件。</w:t>
      </w:r>
    </w:p>
    <w:p w14:paraId="7C637C18">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6A9BB52D">
      <w:pPr>
        <w:pStyle w:val="136"/>
        <w:spacing w:line="49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投标人名称（盖公章）：</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15C983E">
      <w:pPr>
        <w:pStyle w:val="136"/>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法定代表人（负责人）或其授权的代理人(签字)：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_          </w:t>
      </w:r>
    </w:p>
    <w:p w14:paraId="5C48BC30">
      <w:pPr>
        <w:pStyle w:val="136"/>
        <w:spacing w:line="4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日 </w:t>
      </w:r>
    </w:p>
    <w:p w14:paraId="1D326637">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2399D55D">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260483CF">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2BE8428D">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3814CEB3">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75F04166">
      <w:pPr>
        <w:rPr>
          <w:rFonts w:hint="eastAsia"/>
        </w:rPr>
      </w:pPr>
    </w:p>
    <w:p w14:paraId="7CFC289B">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6F5D1E8E">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38D9FBA0">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24FD25BD">
      <w:pPr>
        <w:pStyle w:val="136"/>
        <w:spacing w:line="49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附件3</w:t>
      </w:r>
    </w:p>
    <w:p w14:paraId="1E7ED926">
      <w:pPr>
        <w:spacing w:line="490" w:lineRule="exact"/>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特定资格证明材料</w:t>
      </w:r>
      <w:r>
        <w:rPr>
          <w:rFonts w:hint="eastAsia" w:ascii="宋体" w:hAnsi="宋体" w:eastAsia="宋体" w:cs="宋体"/>
          <w:color w:val="000000" w:themeColor="text1"/>
          <w:sz w:val="32"/>
          <w:szCs w:val="32"/>
          <w14:textFill>
            <w14:solidFill>
              <w14:schemeClr w14:val="tx1"/>
            </w14:solidFill>
          </w14:textFill>
        </w:rPr>
        <w:t xml:space="preserve"> </w:t>
      </w:r>
    </w:p>
    <w:p w14:paraId="44187626">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02ABFF1D">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5CBE4DBB">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4E71606F">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4A8ED8BE">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11A193C8">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3A4E8A9F">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57E5C2CE">
      <w:pPr>
        <w:pStyle w:val="136"/>
        <w:jc w:val="center"/>
        <w:rPr>
          <w:rFonts w:hint="eastAsia" w:ascii="宋体" w:hAnsi="宋体" w:eastAsia="宋体" w:cs="宋体"/>
          <w:color w:val="000000" w:themeColor="text1"/>
          <w:sz w:val="24"/>
          <w:szCs w:val="24"/>
          <w14:textFill>
            <w14:solidFill>
              <w14:schemeClr w14:val="tx1"/>
            </w14:solidFill>
          </w14:textFill>
        </w:rPr>
      </w:pPr>
    </w:p>
    <w:p w14:paraId="48E1F6BD">
      <w:pPr>
        <w:pStyle w:val="136"/>
        <w:rPr>
          <w:rFonts w:hint="eastAsia" w:ascii="宋体" w:hAnsi="宋体" w:eastAsia="宋体" w:cs="宋体"/>
          <w:color w:val="000000" w:themeColor="text1"/>
          <w:sz w:val="24"/>
          <w:szCs w:val="24"/>
          <w14:textFill>
            <w14:solidFill>
              <w14:schemeClr w14:val="tx1"/>
            </w14:solidFill>
          </w14:textFill>
        </w:rPr>
      </w:pPr>
    </w:p>
    <w:p w14:paraId="139D6231">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54931DDF">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5553DD79">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67629F41">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3768E616">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25A64CE1">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667D8694">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1FF8172D">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281EA47D">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5892F64F">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0D7A5B54">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68279779">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2BB785D5">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363E989B">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50565936">
      <w:pPr>
        <w:spacing w:line="490" w:lineRule="exact"/>
        <w:jc w:val="center"/>
        <w:rPr>
          <w:rFonts w:hint="eastAsia" w:ascii="宋体" w:hAnsi="宋体" w:eastAsia="宋体" w:cs="宋体"/>
          <w:b/>
          <w:color w:val="000000" w:themeColor="text1"/>
          <w:sz w:val="24"/>
          <w:szCs w:val="24"/>
          <w14:textFill>
            <w14:solidFill>
              <w14:schemeClr w14:val="tx1"/>
            </w14:solidFill>
          </w14:textFill>
        </w:rPr>
      </w:pPr>
    </w:p>
    <w:p w14:paraId="15D640F8">
      <w:pPr>
        <w:spacing w:line="490" w:lineRule="exact"/>
        <w:jc w:val="center"/>
        <w:outlineLvl w:val="1"/>
        <w:rPr>
          <w:rFonts w:hint="eastAsia" w:ascii="宋体" w:hAnsi="宋体" w:eastAsia="宋体" w:cs="宋体"/>
          <w:b/>
          <w:color w:val="000000" w:themeColor="text1"/>
          <w:sz w:val="24"/>
          <w:szCs w:val="24"/>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26FDF580">
      <w:pPr>
        <w:spacing w:line="490" w:lineRule="exact"/>
        <w:jc w:val="center"/>
        <w:outlineLvl w:val="1"/>
        <w:rPr>
          <w:rFonts w:hint="eastAsia" w:ascii="宋体" w:hAnsi="宋体" w:eastAsia="宋体" w:cs="宋体"/>
          <w:color w:val="000000" w:themeColor="text1"/>
          <w:sz w:val="32"/>
          <w:szCs w:val="32"/>
          <w14:textFill>
            <w14:solidFill>
              <w14:schemeClr w14:val="tx1"/>
            </w14:solidFill>
          </w14:textFill>
        </w:rPr>
      </w:pPr>
      <w:bookmarkStart w:id="33" w:name="_Toc12051"/>
      <w:r>
        <w:rPr>
          <w:rFonts w:hint="eastAsia" w:ascii="宋体" w:hAnsi="宋体" w:eastAsia="宋体" w:cs="宋体"/>
          <w:b/>
          <w:color w:val="000000" w:themeColor="text1"/>
          <w:sz w:val="32"/>
          <w:szCs w:val="32"/>
          <w14:textFill>
            <w14:solidFill>
              <w14:schemeClr w14:val="tx1"/>
            </w14:solidFill>
          </w14:textFill>
        </w:rPr>
        <w:t>六、商务响应说明书</w:t>
      </w:r>
      <w:bookmarkEnd w:id="33"/>
    </w:p>
    <w:p w14:paraId="619985D9">
      <w:pPr>
        <w:pStyle w:val="136"/>
        <w:jc w:val="center"/>
        <w:rPr>
          <w:rFonts w:hint="eastAsia" w:ascii="宋体" w:hAnsi="宋体" w:eastAsia="宋体" w:cs="宋体"/>
          <w:color w:val="000000" w:themeColor="text1"/>
          <w:sz w:val="24"/>
          <w:szCs w:val="24"/>
          <w14:textFill>
            <w14:solidFill>
              <w14:schemeClr w14:val="tx1"/>
            </w14:solidFill>
          </w14:textFill>
        </w:rPr>
      </w:pPr>
    </w:p>
    <w:p w14:paraId="7B2CC37B">
      <w:pPr>
        <w:pStyle w:val="136"/>
        <w:spacing w:line="49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92A3242">
      <w:pPr>
        <w:pStyle w:val="136"/>
        <w:spacing w:line="49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7E28828">
      <w:pPr>
        <w:pStyle w:val="136"/>
        <w:spacing w:line="49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投标包号：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C8C4061">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787AE226">
      <w:pPr>
        <w:pStyle w:val="136"/>
        <w:spacing w:line="49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按照磋商文件的商务要求编制商务响应说明书，格式不限。 </w:t>
      </w:r>
    </w:p>
    <w:p w14:paraId="3EFD00F8">
      <w:pPr>
        <w:pStyle w:val="136"/>
        <w:spacing w:line="49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但内容至少应包括如下： </w:t>
      </w:r>
    </w:p>
    <w:p w14:paraId="27EE738C">
      <w:pPr>
        <w:pStyle w:val="136"/>
        <w:spacing w:line="490" w:lineRule="exact"/>
        <w:ind w:firstLine="360" w:firstLineChars="150"/>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1. 投标报价所包含的全部</w:t>
      </w:r>
      <w:r>
        <w:rPr>
          <w:rFonts w:hint="eastAsia" w:hAnsi="宋体" w:cs="宋体"/>
          <w:color w:val="FF0000"/>
          <w:sz w:val="24"/>
          <w:szCs w:val="24"/>
          <w:highlight w:val="none"/>
          <w:lang w:val="en-US" w:eastAsia="zh-CN"/>
        </w:rPr>
        <w:t>服务</w:t>
      </w:r>
      <w:r>
        <w:rPr>
          <w:rFonts w:hint="eastAsia" w:ascii="宋体" w:hAnsi="宋体" w:eastAsia="宋体" w:cs="宋体"/>
          <w:color w:val="FF0000"/>
          <w:sz w:val="24"/>
          <w:szCs w:val="24"/>
          <w:highlight w:val="none"/>
        </w:rPr>
        <w:t xml:space="preserve">内容； </w:t>
      </w:r>
    </w:p>
    <w:p w14:paraId="5CEC29A1">
      <w:pPr>
        <w:pStyle w:val="136"/>
        <w:spacing w:line="490" w:lineRule="exact"/>
        <w:ind w:firstLine="360" w:firstLineChars="150"/>
        <w:rPr>
          <w:rFonts w:hint="eastAsia" w:ascii="宋体" w:hAnsi="宋体" w:eastAsia="宋体" w:cs="宋体"/>
          <w:color w:val="FF0000"/>
          <w:sz w:val="24"/>
          <w:szCs w:val="24"/>
          <w:highlight w:val="none"/>
        </w:rPr>
      </w:pPr>
      <w:r>
        <w:rPr>
          <w:rFonts w:hint="eastAsia" w:hAnsi="宋体" w:cs="宋体"/>
          <w:color w:val="FF0000"/>
          <w:sz w:val="24"/>
          <w:szCs w:val="24"/>
          <w:highlight w:val="none"/>
          <w:lang w:val="en-US" w:eastAsia="zh-CN"/>
        </w:rPr>
        <w:t>2</w:t>
      </w:r>
      <w:r>
        <w:rPr>
          <w:rFonts w:hint="eastAsia" w:ascii="宋体" w:hAnsi="宋体" w:eastAsia="宋体" w:cs="宋体"/>
          <w:color w:val="FF0000"/>
          <w:sz w:val="24"/>
          <w:szCs w:val="24"/>
          <w:highlight w:val="none"/>
        </w:rPr>
        <w:t xml:space="preserve">. 交货期； </w:t>
      </w:r>
    </w:p>
    <w:p w14:paraId="5087CF51">
      <w:pPr>
        <w:pStyle w:val="136"/>
        <w:spacing w:line="490" w:lineRule="exact"/>
        <w:ind w:firstLine="360" w:firstLineChars="150"/>
        <w:rPr>
          <w:rFonts w:hint="eastAsia" w:ascii="宋体" w:hAnsi="宋体" w:eastAsia="宋体" w:cs="宋体"/>
          <w:color w:val="FF0000"/>
          <w:sz w:val="24"/>
          <w:szCs w:val="24"/>
          <w:highlight w:val="none"/>
        </w:rPr>
      </w:pPr>
      <w:r>
        <w:rPr>
          <w:rFonts w:hint="eastAsia" w:hAnsi="宋体" w:cs="宋体"/>
          <w:color w:val="FF0000"/>
          <w:sz w:val="24"/>
          <w:szCs w:val="24"/>
          <w:highlight w:val="none"/>
          <w:lang w:val="en-US" w:eastAsia="zh-CN"/>
        </w:rPr>
        <w:t>3</w:t>
      </w:r>
      <w:r>
        <w:rPr>
          <w:rFonts w:hint="eastAsia" w:ascii="宋体" w:hAnsi="宋体" w:eastAsia="宋体" w:cs="宋体"/>
          <w:color w:val="FF0000"/>
          <w:sz w:val="24"/>
          <w:szCs w:val="24"/>
          <w:highlight w:val="none"/>
        </w:rPr>
        <w:t xml:space="preserve">. 交货地点； </w:t>
      </w:r>
    </w:p>
    <w:p w14:paraId="39DFA6CE">
      <w:pPr>
        <w:pStyle w:val="136"/>
        <w:spacing w:line="490" w:lineRule="exact"/>
        <w:rPr>
          <w:rFonts w:hint="default" w:ascii="宋体" w:hAnsi="宋体" w:eastAsia="宋体" w:cs="宋体"/>
          <w:color w:val="FF0000"/>
          <w:sz w:val="24"/>
          <w:szCs w:val="24"/>
          <w:highlight w:val="none"/>
          <w:lang w:val="en-US" w:eastAsia="zh-CN"/>
        </w:rPr>
      </w:pPr>
      <w:r>
        <w:rPr>
          <w:rFonts w:hint="eastAsia" w:hAnsi="宋体" w:cs="宋体"/>
          <w:color w:val="FF0000"/>
          <w:sz w:val="24"/>
          <w:szCs w:val="24"/>
          <w:highlight w:val="none"/>
          <w:lang w:val="en-US" w:eastAsia="zh-CN"/>
        </w:rPr>
        <w:t xml:space="preserve">   ......</w:t>
      </w:r>
    </w:p>
    <w:p w14:paraId="730F26FD">
      <w:pPr>
        <w:pStyle w:val="136"/>
        <w:spacing w:line="490" w:lineRule="exact"/>
        <w:rPr>
          <w:rFonts w:hint="eastAsia" w:ascii="宋体" w:hAnsi="宋体" w:eastAsia="宋体" w:cs="宋体"/>
          <w:color w:val="000000" w:themeColor="text1"/>
          <w:sz w:val="24"/>
          <w:szCs w:val="24"/>
          <w14:textFill>
            <w14:solidFill>
              <w14:schemeClr w14:val="tx1"/>
            </w14:solidFill>
          </w14:textFill>
        </w:rPr>
      </w:pPr>
    </w:p>
    <w:p w14:paraId="27512B98">
      <w:pPr>
        <w:pStyle w:val="136"/>
        <w:spacing w:line="490" w:lineRule="exact"/>
        <w:ind w:firstLine="240" w:firstLineChars="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投标人名称（盖公章）：</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D9FD289">
      <w:pPr>
        <w:pStyle w:val="136"/>
        <w:spacing w:line="49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法定代表人（负责人）或其授权的代理人(签字)：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_          </w:t>
      </w:r>
    </w:p>
    <w:p w14:paraId="06205C1C">
      <w:pPr>
        <w:pStyle w:val="136"/>
        <w:spacing w:line="49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41FE6D65">
      <w:pPr>
        <w:pStyle w:val="136"/>
        <w:spacing w:line="520" w:lineRule="exact"/>
        <w:rPr>
          <w:rFonts w:hint="eastAsia" w:ascii="宋体" w:hAnsi="宋体" w:eastAsia="宋体" w:cs="宋体"/>
          <w:color w:val="000000" w:themeColor="text1"/>
          <w:sz w:val="24"/>
          <w:szCs w:val="24"/>
          <w14:textFill>
            <w14:solidFill>
              <w14:schemeClr w14:val="tx1"/>
            </w14:solidFill>
          </w14:textFill>
        </w:rPr>
      </w:pPr>
    </w:p>
    <w:p w14:paraId="04F5BDD4">
      <w:pPr>
        <w:pStyle w:val="136"/>
        <w:spacing w:line="520" w:lineRule="exact"/>
        <w:rPr>
          <w:rFonts w:hint="eastAsia" w:ascii="宋体" w:hAnsi="宋体" w:eastAsia="宋体" w:cs="宋体"/>
          <w:color w:val="000000" w:themeColor="text1"/>
          <w:sz w:val="24"/>
          <w:szCs w:val="24"/>
          <w14:textFill>
            <w14:solidFill>
              <w14:schemeClr w14:val="tx1"/>
            </w14:solidFill>
          </w14:textFill>
        </w:rPr>
      </w:pPr>
    </w:p>
    <w:p w14:paraId="07012C82">
      <w:pPr>
        <w:pStyle w:val="136"/>
        <w:spacing w:line="520" w:lineRule="exact"/>
        <w:rPr>
          <w:rFonts w:hint="eastAsia" w:ascii="宋体" w:hAnsi="宋体" w:eastAsia="宋体" w:cs="宋体"/>
          <w:color w:val="000000" w:themeColor="text1"/>
          <w:sz w:val="24"/>
          <w:szCs w:val="24"/>
          <w14:textFill>
            <w14:solidFill>
              <w14:schemeClr w14:val="tx1"/>
            </w14:solidFill>
          </w14:textFill>
        </w:rPr>
      </w:pPr>
    </w:p>
    <w:p w14:paraId="635C1B98">
      <w:pPr>
        <w:pStyle w:val="136"/>
        <w:spacing w:line="520" w:lineRule="exact"/>
        <w:rPr>
          <w:rFonts w:hint="eastAsia" w:ascii="宋体" w:hAnsi="宋体" w:eastAsia="宋体" w:cs="宋体"/>
          <w:color w:val="000000" w:themeColor="text1"/>
          <w:sz w:val="24"/>
          <w:szCs w:val="24"/>
          <w14:textFill>
            <w14:solidFill>
              <w14:schemeClr w14:val="tx1"/>
            </w14:solidFill>
          </w14:textFill>
        </w:rPr>
      </w:pPr>
    </w:p>
    <w:p w14:paraId="6A91868B">
      <w:pPr>
        <w:pStyle w:val="136"/>
        <w:spacing w:line="520" w:lineRule="exact"/>
        <w:rPr>
          <w:rFonts w:hint="eastAsia" w:ascii="宋体" w:hAnsi="宋体" w:eastAsia="宋体" w:cs="宋体"/>
          <w:color w:val="000000" w:themeColor="text1"/>
          <w:sz w:val="24"/>
          <w:szCs w:val="24"/>
          <w14:textFill>
            <w14:solidFill>
              <w14:schemeClr w14:val="tx1"/>
            </w14:solidFill>
          </w14:textFill>
        </w:rPr>
      </w:pPr>
    </w:p>
    <w:p w14:paraId="7FD4B6B1">
      <w:pPr>
        <w:pStyle w:val="136"/>
        <w:spacing w:line="520" w:lineRule="exact"/>
        <w:rPr>
          <w:rFonts w:hint="eastAsia" w:ascii="宋体" w:hAnsi="宋体" w:eastAsia="宋体" w:cs="宋体"/>
          <w:color w:val="000000" w:themeColor="text1"/>
          <w:sz w:val="24"/>
          <w:szCs w:val="24"/>
          <w14:textFill>
            <w14:solidFill>
              <w14:schemeClr w14:val="tx1"/>
            </w14:solidFill>
          </w14:textFill>
        </w:rPr>
      </w:pPr>
    </w:p>
    <w:p w14:paraId="23B81407">
      <w:pPr>
        <w:pStyle w:val="136"/>
        <w:spacing w:line="520" w:lineRule="exact"/>
        <w:rPr>
          <w:rFonts w:hint="eastAsia" w:ascii="宋体" w:hAnsi="宋体" w:eastAsia="宋体" w:cs="宋体"/>
          <w:color w:val="000000" w:themeColor="text1"/>
          <w:sz w:val="24"/>
          <w:szCs w:val="24"/>
          <w14:textFill>
            <w14:solidFill>
              <w14:schemeClr w14:val="tx1"/>
            </w14:solidFill>
          </w14:textFill>
        </w:rPr>
      </w:pPr>
    </w:p>
    <w:p w14:paraId="339666E6">
      <w:pPr>
        <w:pStyle w:val="136"/>
        <w:spacing w:line="520" w:lineRule="exact"/>
        <w:rPr>
          <w:rFonts w:hint="eastAsia" w:ascii="宋体" w:hAnsi="宋体" w:eastAsia="宋体" w:cs="宋体"/>
          <w:color w:val="000000" w:themeColor="text1"/>
          <w:sz w:val="24"/>
          <w:szCs w:val="24"/>
          <w14:textFill>
            <w14:solidFill>
              <w14:schemeClr w14:val="tx1"/>
            </w14:solidFill>
          </w14:textFill>
        </w:rPr>
      </w:pPr>
    </w:p>
    <w:p w14:paraId="66C5F17B">
      <w:pPr>
        <w:rPr>
          <w:rFonts w:hint="eastAsia" w:ascii="宋体" w:hAnsi="宋体" w:eastAsia="宋体" w:cs="宋体"/>
          <w:color w:val="000000" w:themeColor="text1"/>
          <w:sz w:val="24"/>
          <w:szCs w:val="24"/>
          <w14:textFill>
            <w14:solidFill>
              <w14:schemeClr w14:val="tx1"/>
            </w14:solidFill>
          </w14:textFill>
        </w:rPr>
      </w:pPr>
    </w:p>
    <w:p w14:paraId="75E097CF">
      <w:pPr>
        <w:rPr>
          <w:rFonts w:hint="eastAsia" w:ascii="宋体" w:hAnsi="宋体" w:eastAsia="宋体" w:cs="宋体"/>
          <w:color w:val="000000" w:themeColor="text1"/>
          <w:sz w:val="24"/>
          <w:szCs w:val="24"/>
          <w14:textFill>
            <w14:solidFill>
              <w14:schemeClr w14:val="tx1"/>
            </w14:solidFill>
          </w14:textFill>
        </w:rPr>
      </w:pPr>
    </w:p>
    <w:p w14:paraId="64815F81">
      <w:pPr>
        <w:rPr>
          <w:rFonts w:hint="eastAsia" w:ascii="宋体" w:hAnsi="宋体" w:eastAsia="宋体" w:cs="宋体"/>
          <w:color w:val="000000" w:themeColor="text1"/>
          <w:sz w:val="24"/>
          <w:szCs w:val="24"/>
          <w14:textFill>
            <w14:solidFill>
              <w14:schemeClr w14:val="tx1"/>
            </w14:solidFill>
          </w14:textFill>
        </w:rPr>
      </w:pPr>
    </w:p>
    <w:p w14:paraId="1F647A4C">
      <w:pPr>
        <w:rPr>
          <w:rFonts w:hint="eastAsia" w:ascii="宋体" w:hAnsi="宋体" w:eastAsia="宋体" w:cs="宋体"/>
          <w:color w:val="000000" w:themeColor="text1"/>
          <w:sz w:val="24"/>
          <w:szCs w:val="24"/>
          <w14:textFill>
            <w14:solidFill>
              <w14:schemeClr w14:val="tx1"/>
            </w14:solidFill>
          </w14:textFill>
        </w:rPr>
      </w:pPr>
    </w:p>
    <w:p w14:paraId="53AF8CE4">
      <w:pPr>
        <w:pStyle w:val="136"/>
        <w:spacing w:line="520" w:lineRule="exact"/>
        <w:rPr>
          <w:rFonts w:hint="eastAsia" w:ascii="宋体" w:hAnsi="宋体" w:eastAsia="宋体" w:cs="宋体"/>
          <w:color w:val="000000" w:themeColor="text1"/>
          <w:sz w:val="24"/>
          <w:szCs w:val="24"/>
          <w14:textFill>
            <w14:solidFill>
              <w14:schemeClr w14:val="tx1"/>
            </w14:solidFill>
          </w14:textFill>
        </w:rPr>
      </w:pPr>
    </w:p>
    <w:p w14:paraId="3D3C1EFB">
      <w:pPr>
        <w:spacing w:line="490" w:lineRule="exact"/>
        <w:jc w:val="center"/>
        <w:outlineLvl w:val="1"/>
        <w:rPr>
          <w:rFonts w:hint="default" w:ascii="宋体" w:hAnsi="宋体" w:eastAsia="宋体" w:cs="宋体"/>
          <w:color w:val="FF0000"/>
          <w:sz w:val="32"/>
          <w:szCs w:val="32"/>
          <w:highlight w:val="none"/>
          <w:lang w:val="en-US" w:eastAsia="zh-CN"/>
        </w:rPr>
      </w:pPr>
      <w:bookmarkStart w:id="34" w:name="_Toc13961"/>
      <w:r>
        <w:rPr>
          <w:rFonts w:hint="eastAsia" w:ascii="宋体" w:hAnsi="宋体" w:eastAsia="宋体" w:cs="宋体"/>
          <w:b/>
          <w:color w:val="FF0000"/>
          <w:sz w:val="32"/>
          <w:szCs w:val="32"/>
          <w:highlight w:val="none"/>
        </w:rPr>
        <w:t>七、</w:t>
      </w:r>
      <w:r>
        <w:rPr>
          <w:rFonts w:hint="eastAsia" w:ascii="宋体" w:hAnsi="宋体" w:cs="宋体"/>
          <w:b/>
          <w:color w:val="FF0000"/>
          <w:sz w:val="32"/>
          <w:szCs w:val="32"/>
          <w:highlight w:val="none"/>
          <w:lang w:val="en-US" w:eastAsia="zh-CN"/>
        </w:rPr>
        <w:t>投标方案说明书</w:t>
      </w:r>
      <w:bookmarkEnd w:id="34"/>
    </w:p>
    <w:p w14:paraId="011381BD">
      <w:pPr>
        <w:pStyle w:val="136"/>
        <w:jc w:val="center"/>
        <w:rPr>
          <w:rFonts w:hint="eastAsia" w:ascii="宋体" w:hAnsi="宋体" w:eastAsia="宋体" w:cs="宋体"/>
          <w:color w:val="FF0000"/>
          <w:sz w:val="24"/>
          <w:szCs w:val="24"/>
          <w:highlight w:val="none"/>
        </w:rPr>
      </w:pPr>
    </w:p>
    <w:p w14:paraId="77062A9C">
      <w:pPr>
        <w:pStyle w:val="136"/>
        <w:spacing w:line="490" w:lineRule="exact"/>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 xml:space="preserve">按照磋商文件的要求编制的投标方案说明书，内容包括的详细说明、内容响应表、质量保证和售后服务承诺等。至少应包括如下： </w:t>
      </w:r>
    </w:p>
    <w:p w14:paraId="0ED6DC5E">
      <w:pPr>
        <w:pStyle w:val="136"/>
        <w:spacing w:line="490" w:lineRule="exact"/>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 xml:space="preserve">1）技术说明书 </w:t>
      </w:r>
    </w:p>
    <w:p w14:paraId="389293D6">
      <w:pPr>
        <w:pStyle w:val="136"/>
        <w:spacing w:line="490" w:lineRule="exact"/>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 xml:space="preserve">2）填写技术规格响应表。 </w:t>
      </w:r>
    </w:p>
    <w:p w14:paraId="4C7F01D8">
      <w:pPr>
        <w:pStyle w:val="136"/>
        <w:spacing w:line="490" w:lineRule="exact"/>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 xml:space="preserve">3) 服务内容优于或偏离技术要求的指标（如果有的话）。 </w:t>
      </w:r>
    </w:p>
    <w:p w14:paraId="68416F0F">
      <w:pPr>
        <w:pStyle w:val="136"/>
        <w:spacing w:line="490" w:lineRule="exact"/>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lang w:val="en-US" w:eastAsia="zh-CN"/>
        </w:rPr>
        <w:t>4</w:t>
      </w:r>
      <w:r>
        <w:rPr>
          <w:rFonts w:hint="eastAsia" w:ascii="宋体" w:hAnsi="宋体" w:eastAsia="宋体" w:cs="宋体"/>
          <w:color w:val="FF0000"/>
          <w:sz w:val="24"/>
          <w:szCs w:val="24"/>
          <w:highlight w:val="none"/>
        </w:rPr>
        <w:t>）质量保证措施、培训方案、售后服务的内容及承诺。</w:t>
      </w:r>
    </w:p>
    <w:p w14:paraId="3B3E0564">
      <w:pPr>
        <w:ind w:firstLine="480" w:firstLineChars="200"/>
        <w:rPr>
          <w:rFonts w:hint="default" w:eastAsia="宋体"/>
          <w:color w:val="FF0000"/>
          <w:highlight w:val="none"/>
          <w:lang w:val="en-US" w:eastAsia="zh-CN"/>
        </w:rPr>
      </w:pPr>
      <w:r>
        <w:rPr>
          <w:rFonts w:hint="eastAsia" w:ascii="宋体" w:hAnsi="宋体" w:cs="宋体"/>
          <w:color w:val="FF0000"/>
          <w:sz w:val="24"/>
          <w:szCs w:val="24"/>
          <w:highlight w:val="none"/>
          <w:lang w:val="en-US" w:eastAsia="zh-CN"/>
        </w:rPr>
        <w:t>......</w:t>
      </w:r>
    </w:p>
    <w:p w14:paraId="04A9468F">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4EB6AF5D">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54A1AA68">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08609E12">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2A44CA79">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1358BE4E">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3FCAB581">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2E84DBD9">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63294595">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69F01273">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2794BEA0">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393629E7">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4A68EB48">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412284C1">
      <w:pPr>
        <w:pStyle w:val="136"/>
        <w:spacing w:line="560" w:lineRule="exact"/>
        <w:rPr>
          <w:rFonts w:hint="eastAsia" w:ascii="宋体" w:hAnsi="宋体" w:eastAsia="宋体" w:cs="宋体"/>
          <w:color w:val="000000" w:themeColor="text1"/>
          <w:sz w:val="24"/>
          <w:szCs w:val="24"/>
          <w14:textFill>
            <w14:solidFill>
              <w14:schemeClr w14:val="tx1"/>
            </w14:solidFill>
          </w14:textFill>
        </w:rPr>
      </w:pPr>
    </w:p>
    <w:p w14:paraId="0F8ECADB">
      <w:pPr>
        <w:pStyle w:val="136"/>
        <w:spacing w:line="560" w:lineRule="exact"/>
        <w:rPr>
          <w:rFonts w:hint="eastAsia" w:ascii="宋体" w:hAnsi="宋体" w:eastAsia="宋体" w:cs="宋体"/>
          <w:color w:val="000000" w:themeColor="text1"/>
          <w:kern w:val="2"/>
          <w:sz w:val="24"/>
          <w:szCs w:val="24"/>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3B942CB0">
      <w:pPr>
        <w:spacing w:line="490" w:lineRule="exact"/>
        <w:jc w:val="center"/>
        <w:outlineLvl w:val="1"/>
        <w:rPr>
          <w:rFonts w:hint="eastAsia" w:ascii="宋体" w:hAnsi="宋体" w:eastAsia="宋体" w:cs="宋体"/>
          <w:color w:val="000000" w:themeColor="text1"/>
          <w:kern w:val="0"/>
          <w:sz w:val="32"/>
          <w:szCs w:val="32"/>
          <w14:textFill>
            <w14:solidFill>
              <w14:schemeClr w14:val="tx1"/>
            </w14:solidFill>
          </w14:textFill>
        </w:rPr>
      </w:pPr>
      <w:bookmarkStart w:id="35" w:name="_Toc24297"/>
      <w:r>
        <w:rPr>
          <w:rFonts w:hint="eastAsia" w:ascii="宋体" w:hAnsi="宋体" w:eastAsia="宋体" w:cs="宋体"/>
          <w:b/>
          <w:color w:val="000000" w:themeColor="text1"/>
          <w:sz w:val="32"/>
          <w:szCs w:val="32"/>
          <w14:textFill>
            <w14:solidFill>
              <w14:schemeClr w14:val="tx1"/>
            </w14:solidFill>
          </w14:textFill>
        </w:rPr>
        <w:t>八、投标人认为有必须提供的其他资料</w:t>
      </w:r>
      <w:bookmarkEnd w:id="35"/>
    </w:p>
    <w:p w14:paraId="47B3CF55">
      <w:pPr>
        <w:pStyle w:val="136"/>
        <w:rPr>
          <w:rFonts w:hint="eastAsia" w:ascii="宋体" w:hAnsi="宋体" w:eastAsia="宋体" w:cs="宋体"/>
          <w:color w:val="000000" w:themeColor="text1"/>
          <w:sz w:val="24"/>
          <w:szCs w:val="24"/>
          <w14:textFill>
            <w14:solidFill>
              <w14:schemeClr w14:val="tx1"/>
            </w14:solidFill>
          </w14:textFill>
        </w:rPr>
      </w:pPr>
    </w:p>
    <w:p w14:paraId="5CACBCEA">
      <w:pPr>
        <w:pStyle w:val="136"/>
        <w:jc w:val="center"/>
        <w:outlineLvl w:val="9"/>
        <w:rPr>
          <w:rFonts w:hint="eastAsia" w:ascii="宋体" w:hAnsi="宋体" w:eastAsia="宋体" w:cs="宋体"/>
          <w:color w:val="000000" w:themeColor="text1"/>
          <w:sz w:val="24"/>
          <w:szCs w:val="24"/>
          <w14:textFill>
            <w14:solidFill>
              <w14:schemeClr w14:val="tx1"/>
            </w14:solidFill>
          </w14:textFill>
        </w:rPr>
      </w:pPr>
      <w:bookmarkStart w:id="36" w:name="_Toc12885"/>
      <w:bookmarkStart w:id="37" w:name="_Toc12738"/>
      <w:r>
        <w:rPr>
          <w:rFonts w:hint="eastAsia" w:ascii="宋体" w:hAnsi="宋体" w:eastAsia="宋体" w:cs="宋体"/>
          <w:color w:val="000000" w:themeColor="text1"/>
          <w:sz w:val="24"/>
          <w:szCs w:val="24"/>
          <w14:textFill>
            <w14:solidFill>
              <w14:schemeClr w14:val="tx1"/>
            </w14:solidFill>
          </w14:textFill>
        </w:rPr>
        <w:t>（格式自定）</w:t>
      </w:r>
      <w:bookmarkEnd w:id="36"/>
      <w:bookmarkEnd w:id="37"/>
    </w:p>
    <w:p w14:paraId="3A921780">
      <w:pPr>
        <w:pStyle w:val="136"/>
        <w:rPr>
          <w:rFonts w:hint="eastAsia" w:ascii="宋体" w:hAnsi="宋体" w:eastAsia="宋体" w:cs="宋体"/>
          <w:color w:val="000000" w:themeColor="text1"/>
          <w:sz w:val="24"/>
          <w:szCs w:val="24"/>
          <w14:textFill>
            <w14:solidFill>
              <w14:schemeClr w14:val="tx1"/>
            </w14:solidFill>
          </w14:textFill>
        </w:rPr>
      </w:pPr>
    </w:p>
    <w:p w14:paraId="5D052F2F">
      <w:pPr>
        <w:pStyle w:val="136"/>
        <w:rPr>
          <w:rFonts w:hint="eastAsia" w:ascii="宋体" w:hAnsi="宋体" w:eastAsia="宋体" w:cs="宋体"/>
          <w:color w:val="000000" w:themeColor="text1"/>
          <w:sz w:val="24"/>
          <w:szCs w:val="24"/>
          <w14:textFill>
            <w14:solidFill>
              <w14:schemeClr w14:val="tx1"/>
            </w14:solidFill>
          </w14:textFill>
        </w:rPr>
      </w:pPr>
    </w:p>
    <w:p w14:paraId="1E4B0C66">
      <w:pPr>
        <w:pStyle w:val="136"/>
        <w:rPr>
          <w:rFonts w:hint="eastAsia" w:ascii="宋体" w:hAnsi="宋体" w:eastAsia="宋体" w:cs="宋体"/>
          <w:color w:val="000000" w:themeColor="text1"/>
          <w:sz w:val="24"/>
          <w:szCs w:val="24"/>
          <w14:textFill>
            <w14:solidFill>
              <w14:schemeClr w14:val="tx1"/>
            </w14:solidFill>
          </w14:textFill>
        </w:rPr>
      </w:pPr>
    </w:p>
    <w:p w14:paraId="3EA4A59B">
      <w:pPr>
        <w:pStyle w:val="136"/>
        <w:rPr>
          <w:rFonts w:hint="eastAsia" w:ascii="宋体" w:hAnsi="宋体" w:eastAsia="宋体" w:cs="宋体"/>
          <w:color w:val="000000" w:themeColor="text1"/>
          <w:sz w:val="24"/>
          <w:szCs w:val="24"/>
          <w14:textFill>
            <w14:solidFill>
              <w14:schemeClr w14:val="tx1"/>
            </w14:solidFill>
          </w14:textFill>
        </w:rPr>
      </w:pPr>
    </w:p>
    <w:p w14:paraId="1A604EF6">
      <w:pPr>
        <w:pStyle w:val="136"/>
        <w:rPr>
          <w:rFonts w:hint="eastAsia" w:ascii="宋体" w:hAnsi="宋体" w:eastAsia="宋体" w:cs="宋体"/>
          <w:color w:val="000000" w:themeColor="text1"/>
          <w:sz w:val="24"/>
          <w:szCs w:val="24"/>
          <w14:textFill>
            <w14:solidFill>
              <w14:schemeClr w14:val="tx1"/>
            </w14:solidFill>
          </w14:textFill>
        </w:rPr>
      </w:pPr>
    </w:p>
    <w:p w14:paraId="6DB765D8">
      <w:pPr>
        <w:pStyle w:val="136"/>
        <w:rPr>
          <w:rFonts w:hint="eastAsia" w:ascii="宋体" w:hAnsi="宋体" w:eastAsia="宋体" w:cs="宋体"/>
          <w:color w:val="000000" w:themeColor="text1"/>
          <w:sz w:val="24"/>
          <w:szCs w:val="24"/>
          <w14:textFill>
            <w14:solidFill>
              <w14:schemeClr w14:val="tx1"/>
            </w14:solidFill>
          </w14:textFill>
        </w:rPr>
      </w:pPr>
    </w:p>
    <w:p w14:paraId="24412AE4">
      <w:pPr>
        <w:pStyle w:val="136"/>
        <w:rPr>
          <w:rFonts w:hint="eastAsia" w:ascii="宋体" w:hAnsi="宋体" w:eastAsia="宋体" w:cs="宋体"/>
          <w:color w:val="000000" w:themeColor="text1"/>
          <w:sz w:val="24"/>
          <w:szCs w:val="24"/>
          <w14:textFill>
            <w14:solidFill>
              <w14:schemeClr w14:val="tx1"/>
            </w14:solidFill>
          </w14:textFill>
        </w:rPr>
      </w:pPr>
    </w:p>
    <w:p w14:paraId="7D6D6BC3">
      <w:pPr>
        <w:pStyle w:val="136"/>
        <w:rPr>
          <w:rFonts w:hint="eastAsia" w:ascii="宋体" w:hAnsi="宋体" w:eastAsia="宋体" w:cs="宋体"/>
          <w:color w:val="000000" w:themeColor="text1"/>
          <w:sz w:val="24"/>
          <w:szCs w:val="24"/>
          <w14:textFill>
            <w14:solidFill>
              <w14:schemeClr w14:val="tx1"/>
            </w14:solidFill>
          </w14:textFill>
        </w:rPr>
      </w:pPr>
    </w:p>
    <w:p w14:paraId="308AF629">
      <w:pPr>
        <w:pStyle w:val="136"/>
        <w:rPr>
          <w:rFonts w:hint="eastAsia" w:ascii="宋体" w:hAnsi="宋体" w:eastAsia="宋体" w:cs="宋体"/>
          <w:color w:val="000000" w:themeColor="text1"/>
          <w:sz w:val="24"/>
          <w:szCs w:val="24"/>
          <w14:textFill>
            <w14:solidFill>
              <w14:schemeClr w14:val="tx1"/>
            </w14:solidFill>
          </w14:textFill>
        </w:rPr>
      </w:pPr>
    </w:p>
    <w:p w14:paraId="6D48CB1E">
      <w:pPr>
        <w:pStyle w:val="136"/>
        <w:rPr>
          <w:rFonts w:hint="eastAsia" w:ascii="宋体" w:hAnsi="宋体" w:eastAsia="宋体" w:cs="宋体"/>
          <w:color w:val="000000" w:themeColor="text1"/>
          <w:sz w:val="24"/>
          <w:szCs w:val="24"/>
          <w14:textFill>
            <w14:solidFill>
              <w14:schemeClr w14:val="tx1"/>
            </w14:solidFill>
          </w14:textFill>
        </w:rPr>
      </w:pPr>
    </w:p>
    <w:p w14:paraId="565A12A2">
      <w:pPr>
        <w:pStyle w:val="136"/>
        <w:rPr>
          <w:rFonts w:hint="eastAsia" w:ascii="宋体" w:hAnsi="宋体" w:eastAsia="宋体" w:cs="宋体"/>
          <w:color w:val="000000" w:themeColor="text1"/>
          <w:sz w:val="24"/>
          <w:szCs w:val="24"/>
          <w14:textFill>
            <w14:solidFill>
              <w14:schemeClr w14:val="tx1"/>
            </w14:solidFill>
          </w14:textFill>
        </w:rPr>
      </w:pPr>
    </w:p>
    <w:p w14:paraId="7D405832">
      <w:pPr>
        <w:pStyle w:val="136"/>
        <w:rPr>
          <w:rFonts w:hint="eastAsia" w:ascii="宋体" w:hAnsi="宋体" w:eastAsia="宋体" w:cs="宋体"/>
          <w:color w:val="000000" w:themeColor="text1"/>
          <w:sz w:val="24"/>
          <w:szCs w:val="24"/>
          <w14:textFill>
            <w14:solidFill>
              <w14:schemeClr w14:val="tx1"/>
            </w14:solidFill>
          </w14:textFill>
        </w:rPr>
      </w:pPr>
    </w:p>
    <w:p w14:paraId="48D00AE4">
      <w:pPr>
        <w:pStyle w:val="136"/>
        <w:rPr>
          <w:rFonts w:hint="eastAsia" w:ascii="宋体" w:hAnsi="宋体" w:eastAsia="宋体" w:cs="宋体"/>
          <w:color w:val="000000" w:themeColor="text1"/>
          <w:sz w:val="24"/>
          <w:szCs w:val="24"/>
          <w14:textFill>
            <w14:solidFill>
              <w14:schemeClr w14:val="tx1"/>
            </w14:solidFill>
          </w14:textFill>
        </w:rPr>
      </w:pPr>
    </w:p>
    <w:p w14:paraId="68E2E072">
      <w:pPr>
        <w:pStyle w:val="136"/>
        <w:rPr>
          <w:rFonts w:hint="eastAsia" w:ascii="宋体" w:hAnsi="宋体" w:eastAsia="宋体" w:cs="宋体"/>
          <w:color w:val="000000" w:themeColor="text1"/>
          <w:sz w:val="24"/>
          <w:szCs w:val="24"/>
          <w14:textFill>
            <w14:solidFill>
              <w14:schemeClr w14:val="tx1"/>
            </w14:solidFill>
          </w14:textFill>
        </w:rPr>
      </w:pPr>
    </w:p>
    <w:p w14:paraId="06E41549">
      <w:pPr>
        <w:pStyle w:val="136"/>
        <w:rPr>
          <w:rFonts w:hint="eastAsia" w:ascii="宋体" w:hAnsi="宋体" w:eastAsia="宋体" w:cs="宋体"/>
          <w:color w:val="000000" w:themeColor="text1"/>
          <w:sz w:val="24"/>
          <w:szCs w:val="24"/>
          <w14:textFill>
            <w14:solidFill>
              <w14:schemeClr w14:val="tx1"/>
            </w14:solidFill>
          </w14:textFill>
        </w:rPr>
      </w:pPr>
    </w:p>
    <w:p w14:paraId="4D80D1C0">
      <w:pPr>
        <w:pStyle w:val="136"/>
        <w:rPr>
          <w:rFonts w:hint="eastAsia" w:ascii="宋体" w:hAnsi="宋体" w:eastAsia="宋体" w:cs="宋体"/>
          <w:color w:val="000000" w:themeColor="text1"/>
          <w:sz w:val="24"/>
          <w:szCs w:val="24"/>
          <w14:textFill>
            <w14:solidFill>
              <w14:schemeClr w14:val="tx1"/>
            </w14:solidFill>
          </w14:textFill>
        </w:rPr>
      </w:pPr>
    </w:p>
    <w:p w14:paraId="4D466545">
      <w:pPr>
        <w:pStyle w:val="136"/>
        <w:rPr>
          <w:rFonts w:hint="eastAsia" w:ascii="宋体" w:hAnsi="宋体" w:eastAsia="宋体" w:cs="宋体"/>
          <w:color w:val="000000" w:themeColor="text1"/>
          <w:sz w:val="24"/>
          <w:szCs w:val="24"/>
          <w14:textFill>
            <w14:solidFill>
              <w14:schemeClr w14:val="tx1"/>
            </w14:solidFill>
          </w14:textFill>
        </w:rPr>
      </w:pPr>
    </w:p>
    <w:p w14:paraId="6FE053EF">
      <w:pPr>
        <w:pStyle w:val="136"/>
        <w:rPr>
          <w:rFonts w:hint="eastAsia" w:ascii="宋体" w:hAnsi="宋体" w:eastAsia="宋体" w:cs="宋体"/>
          <w:color w:val="000000" w:themeColor="text1"/>
          <w:sz w:val="24"/>
          <w:szCs w:val="24"/>
          <w14:textFill>
            <w14:solidFill>
              <w14:schemeClr w14:val="tx1"/>
            </w14:solidFill>
          </w14:textFill>
        </w:rPr>
      </w:pPr>
    </w:p>
    <w:p w14:paraId="10C8550E">
      <w:pPr>
        <w:pStyle w:val="136"/>
        <w:rPr>
          <w:rFonts w:hint="eastAsia" w:ascii="宋体" w:hAnsi="宋体" w:eastAsia="宋体" w:cs="宋体"/>
          <w:color w:val="000000" w:themeColor="text1"/>
          <w:sz w:val="24"/>
          <w:szCs w:val="24"/>
          <w14:textFill>
            <w14:solidFill>
              <w14:schemeClr w14:val="tx1"/>
            </w14:solidFill>
          </w14:textFill>
        </w:rPr>
      </w:pPr>
    </w:p>
    <w:p w14:paraId="3D94274E">
      <w:pPr>
        <w:pStyle w:val="136"/>
        <w:rPr>
          <w:rFonts w:hint="eastAsia" w:ascii="宋体" w:hAnsi="宋体" w:eastAsia="宋体" w:cs="宋体"/>
          <w:color w:val="000000" w:themeColor="text1"/>
          <w:sz w:val="24"/>
          <w:szCs w:val="24"/>
          <w14:textFill>
            <w14:solidFill>
              <w14:schemeClr w14:val="tx1"/>
            </w14:solidFill>
          </w14:textFill>
        </w:rPr>
      </w:pPr>
    </w:p>
    <w:p w14:paraId="39678284">
      <w:pPr>
        <w:pStyle w:val="136"/>
        <w:rPr>
          <w:rFonts w:hint="eastAsia" w:ascii="宋体" w:hAnsi="宋体" w:eastAsia="宋体" w:cs="宋体"/>
          <w:color w:val="000000" w:themeColor="text1"/>
          <w:sz w:val="24"/>
          <w:szCs w:val="24"/>
          <w14:textFill>
            <w14:solidFill>
              <w14:schemeClr w14:val="tx1"/>
            </w14:solidFill>
          </w14:textFill>
        </w:rPr>
      </w:pPr>
    </w:p>
    <w:p w14:paraId="6164DBA0">
      <w:pPr>
        <w:pStyle w:val="136"/>
        <w:rPr>
          <w:rFonts w:hint="eastAsia" w:ascii="宋体" w:hAnsi="宋体" w:eastAsia="宋体" w:cs="宋体"/>
          <w:color w:val="000000" w:themeColor="text1"/>
          <w:sz w:val="24"/>
          <w:szCs w:val="24"/>
          <w14:textFill>
            <w14:solidFill>
              <w14:schemeClr w14:val="tx1"/>
            </w14:solidFill>
          </w14:textFill>
        </w:rPr>
      </w:pPr>
    </w:p>
    <w:p w14:paraId="5B28AC10">
      <w:pPr>
        <w:pStyle w:val="136"/>
        <w:rPr>
          <w:rFonts w:hint="eastAsia" w:ascii="宋体" w:hAnsi="宋体" w:eastAsia="宋体" w:cs="宋体"/>
          <w:color w:val="000000" w:themeColor="text1"/>
          <w:sz w:val="24"/>
          <w:szCs w:val="24"/>
          <w14:textFill>
            <w14:solidFill>
              <w14:schemeClr w14:val="tx1"/>
            </w14:solidFill>
          </w14:textFill>
        </w:rPr>
      </w:pPr>
    </w:p>
    <w:p w14:paraId="0596AEDB">
      <w:pPr>
        <w:pStyle w:val="136"/>
        <w:rPr>
          <w:rFonts w:hint="eastAsia" w:ascii="宋体" w:hAnsi="宋体" w:eastAsia="宋体" w:cs="宋体"/>
          <w:color w:val="000000" w:themeColor="text1"/>
          <w:sz w:val="24"/>
          <w:szCs w:val="24"/>
          <w14:textFill>
            <w14:solidFill>
              <w14:schemeClr w14:val="tx1"/>
            </w14:solidFill>
          </w14:textFill>
        </w:rPr>
      </w:pPr>
    </w:p>
    <w:p w14:paraId="6070C812">
      <w:pPr>
        <w:pStyle w:val="136"/>
        <w:rPr>
          <w:rFonts w:hint="eastAsia" w:ascii="宋体" w:hAnsi="宋体" w:eastAsia="宋体" w:cs="宋体"/>
          <w:color w:val="000000" w:themeColor="text1"/>
          <w:sz w:val="24"/>
          <w:szCs w:val="24"/>
          <w14:textFill>
            <w14:solidFill>
              <w14:schemeClr w14:val="tx1"/>
            </w14:solidFill>
          </w14:textFill>
        </w:rPr>
      </w:pPr>
    </w:p>
    <w:p w14:paraId="111E8059">
      <w:pPr>
        <w:pStyle w:val="136"/>
        <w:rPr>
          <w:rFonts w:hint="eastAsia" w:ascii="宋体" w:hAnsi="宋体" w:eastAsia="宋体" w:cs="宋体"/>
          <w:color w:val="000000" w:themeColor="text1"/>
          <w:sz w:val="24"/>
          <w:szCs w:val="24"/>
          <w14:textFill>
            <w14:solidFill>
              <w14:schemeClr w14:val="tx1"/>
            </w14:solidFill>
          </w14:textFill>
        </w:rPr>
      </w:pPr>
    </w:p>
    <w:p w14:paraId="358CD704">
      <w:pPr>
        <w:pStyle w:val="136"/>
        <w:rPr>
          <w:rFonts w:hint="eastAsia" w:ascii="宋体" w:hAnsi="宋体" w:eastAsia="宋体" w:cs="宋体"/>
          <w:color w:val="000000" w:themeColor="text1"/>
          <w:sz w:val="24"/>
          <w:szCs w:val="24"/>
          <w14:textFill>
            <w14:solidFill>
              <w14:schemeClr w14:val="tx1"/>
            </w14:solidFill>
          </w14:textFill>
        </w:rPr>
      </w:pPr>
    </w:p>
    <w:p w14:paraId="0C9FD6C9">
      <w:pPr>
        <w:pStyle w:val="136"/>
        <w:rPr>
          <w:rFonts w:hint="eastAsia" w:ascii="宋体" w:hAnsi="宋体" w:eastAsia="宋体" w:cs="宋体"/>
          <w:color w:val="000000" w:themeColor="text1"/>
          <w:sz w:val="24"/>
          <w:szCs w:val="24"/>
          <w14:textFill>
            <w14:solidFill>
              <w14:schemeClr w14:val="tx1"/>
            </w14:solidFill>
          </w14:textFill>
        </w:rPr>
      </w:pPr>
    </w:p>
    <w:p w14:paraId="772D686F">
      <w:pPr>
        <w:pStyle w:val="136"/>
        <w:rPr>
          <w:rFonts w:hint="eastAsia" w:ascii="宋体" w:hAnsi="宋体" w:eastAsia="宋体" w:cs="宋体"/>
          <w:color w:val="000000" w:themeColor="text1"/>
          <w:sz w:val="24"/>
          <w:szCs w:val="24"/>
          <w14:textFill>
            <w14:solidFill>
              <w14:schemeClr w14:val="tx1"/>
            </w14:solidFill>
          </w14:textFill>
        </w:rPr>
      </w:pPr>
    </w:p>
    <w:p w14:paraId="17E9A711">
      <w:pPr>
        <w:pStyle w:val="136"/>
        <w:rPr>
          <w:rFonts w:hint="eastAsia" w:ascii="宋体" w:hAnsi="宋体" w:eastAsia="宋体" w:cs="宋体"/>
          <w:color w:val="000000" w:themeColor="text1"/>
          <w:sz w:val="24"/>
          <w:szCs w:val="24"/>
          <w14:textFill>
            <w14:solidFill>
              <w14:schemeClr w14:val="tx1"/>
            </w14:solidFill>
          </w14:textFill>
        </w:rPr>
      </w:pPr>
    </w:p>
    <w:p w14:paraId="15434320">
      <w:pPr>
        <w:pStyle w:val="136"/>
        <w:rPr>
          <w:rFonts w:hint="eastAsia" w:ascii="宋体" w:hAnsi="宋体" w:eastAsia="宋体" w:cs="宋体"/>
          <w:color w:val="000000" w:themeColor="text1"/>
          <w:sz w:val="24"/>
          <w:szCs w:val="24"/>
          <w14:textFill>
            <w14:solidFill>
              <w14:schemeClr w14:val="tx1"/>
            </w14:solidFill>
          </w14:textFill>
        </w:rPr>
      </w:pPr>
    </w:p>
    <w:p w14:paraId="5F40A320">
      <w:pPr>
        <w:pStyle w:val="136"/>
        <w:rPr>
          <w:rFonts w:hint="eastAsia" w:ascii="宋体" w:hAnsi="宋体" w:eastAsia="宋体" w:cs="宋体"/>
          <w:color w:val="000000" w:themeColor="text1"/>
          <w:sz w:val="24"/>
          <w:szCs w:val="24"/>
          <w14:textFill>
            <w14:solidFill>
              <w14:schemeClr w14:val="tx1"/>
            </w14:solidFill>
          </w14:textFill>
        </w:rPr>
      </w:pPr>
    </w:p>
    <w:p w14:paraId="3A4F015B">
      <w:pPr>
        <w:pStyle w:val="136"/>
        <w:rPr>
          <w:rFonts w:hint="eastAsia" w:ascii="宋体" w:hAnsi="宋体" w:eastAsia="宋体" w:cs="宋体"/>
          <w:color w:val="000000" w:themeColor="text1"/>
          <w:sz w:val="24"/>
          <w:szCs w:val="24"/>
          <w14:textFill>
            <w14:solidFill>
              <w14:schemeClr w14:val="tx1"/>
            </w14:solidFill>
          </w14:textFill>
        </w:rPr>
      </w:pPr>
    </w:p>
    <w:p w14:paraId="6EBEE729">
      <w:pPr>
        <w:pStyle w:val="136"/>
        <w:rPr>
          <w:rFonts w:hint="eastAsia" w:ascii="宋体" w:hAnsi="宋体" w:eastAsia="宋体" w:cs="宋体"/>
          <w:color w:val="000000" w:themeColor="text1"/>
          <w:sz w:val="24"/>
          <w:szCs w:val="24"/>
          <w14:textFill>
            <w14:solidFill>
              <w14:schemeClr w14:val="tx1"/>
            </w14:solidFill>
          </w14:textFill>
        </w:rPr>
      </w:pPr>
    </w:p>
    <w:p w14:paraId="7554C23D">
      <w:pPr>
        <w:pStyle w:val="136"/>
        <w:rPr>
          <w:rFonts w:hint="eastAsia" w:ascii="宋体" w:hAnsi="宋体" w:eastAsia="宋体" w:cs="宋体"/>
          <w:color w:val="000000" w:themeColor="text1"/>
          <w:sz w:val="24"/>
          <w:szCs w:val="24"/>
          <w14:textFill>
            <w14:solidFill>
              <w14:schemeClr w14:val="tx1"/>
            </w14:solidFill>
          </w14:textFill>
        </w:rPr>
      </w:pPr>
    </w:p>
    <w:p w14:paraId="0AE4C76E">
      <w:pPr>
        <w:rPr>
          <w:rFonts w:hint="eastAsia"/>
        </w:rPr>
      </w:pPr>
    </w:p>
    <w:p w14:paraId="2C83B8AE">
      <w:pPr>
        <w:pStyle w:val="136"/>
        <w:rPr>
          <w:rFonts w:hint="eastAsia" w:ascii="宋体" w:hAnsi="宋体" w:eastAsia="宋体" w:cs="宋体"/>
          <w:color w:val="000000" w:themeColor="text1"/>
          <w:sz w:val="24"/>
          <w:szCs w:val="24"/>
          <w14:textFill>
            <w14:solidFill>
              <w14:schemeClr w14:val="tx1"/>
            </w14:solidFill>
          </w14:textFill>
        </w:rPr>
      </w:pPr>
    </w:p>
    <w:p w14:paraId="423B5DED">
      <w:pPr>
        <w:pStyle w:val="136"/>
        <w:rPr>
          <w:rFonts w:hint="eastAsia" w:ascii="宋体" w:hAnsi="宋体" w:eastAsia="宋体" w:cs="宋体"/>
          <w:color w:val="000000" w:themeColor="text1"/>
          <w:sz w:val="24"/>
          <w:szCs w:val="24"/>
          <w14:textFill>
            <w14:solidFill>
              <w14:schemeClr w14:val="tx1"/>
            </w14:solidFill>
          </w14:textFill>
        </w:rPr>
      </w:pPr>
    </w:p>
    <w:p w14:paraId="65B2400E">
      <w:pPr>
        <w:pStyle w:val="136"/>
        <w:rPr>
          <w:rFonts w:hint="eastAsia" w:ascii="宋体" w:hAnsi="宋体" w:eastAsia="宋体" w:cs="宋体"/>
          <w:color w:val="000000" w:themeColor="text1"/>
          <w:sz w:val="24"/>
          <w:szCs w:val="24"/>
          <w14:textFill>
            <w14:solidFill>
              <w14:schemeClr w14:val="tx1"/>
            </w14:solidFill>
          </w14:textFill>
        </w:rPr>
      </w:pPr>
    </w:p>
    <w:p w14:paraId="5C4255EF">
      <w:pPr>
        <w:rPr>
          <w:rFonts w:hint="eastAsia" w:ascii="宋体" w:hAnsi="宋体" w:eastAsia="宋体" w:cs="宋体"/>
          <w:color w:val="000000" w:themeColor="text1"/>
          <w:sz w:val="24"/>
          <w:szCs w:val="24"/>
          <w14:textFill>
            <w14:solidFill>
              <w14:schemeClr w14:val="tx1"/>
            </w14:solidFill>
          </w14:textFill>
        </w:rPr>
      </w:pPr>
    </w:p>
    <w:p w14:paraId="2CD7F237">
      <w:pPr>
        <w:rPr>
          <w:rFonts w:hint="eastAsia" w:ascii="宋体" w:hAnsi="宋体" w:eastAsia="宋体" w:cs="宋体"/>
          <w:color w:val="000000" w:themeColor="text1"/>
          <w:sz w:val="24"/>
          <w:szCs w:val="24"/>
          <w14:textFill>
            <w14:solidFill>
              <w14:schemeClr w14:val="tx1"/>
            </w14:solidFill>
          </w14:textFill>
        </w:rPr>
      </w:pPr>
    </w:p>
    <w:p w14:paraId="31A56925">
      <w:pPr>
        <w:rPr>
          <w:rFonts w:hint="eastAsia" w:ascii="宋体" w:hAnsi="宋体" w:eastAsia="宋体" w:cs="宋体"/>
          <w:color w:val="000000" w:themeColor="text1"/>
          <w:sz w:val="24"/>
          <w:szCs w:val="24"/>
          <w14:textFill>
            <w14:solidFill>
              <w14:schemeClr w14:val="tx1"/>
            </w14:solidFill>
          </w14:textFill>
        </w:rPr>
      </w:pPr>
    </w:p>
    <w:p w14:paraId="10485C4C">
      <w:pPr>
        <w:jc w:val="center"/>
        <w:outlineLvl w:val="0"/>
        <w:rPr>
          <w:rFonts w:hint="eastAsia" w:ascii="宋体" w:hAnsi="宋体" w:eastAsia="宋体" w:cs="宋体"/>
          <w:b/>
          <w:bCs/>
          <w:color w:val="000000"/>
          <w:sz w:val="36"/>
          <w:szCs w:val="36"/>
        </w:rPr>
      </w:pPr>
      <w:bookmarkStart w:id="38" w:name="_Toc26414"/>
      <w:bookmarkStart w:id="39" w:name="_Toc22705"/>
      <w:r>
        <w:rPr>
          <w:rFonts w:hint="eastAsia" w:ascii="宋体" w:hAnsi="宋体" w:eastAsia="宋体" w:cs="宋体"/>
          <w:b/>
          <w:bCs/>
          <w:color w:val="000000"/>
          <w:sz w:val="36"/>
          <w:szCs w:val="36"/>
          <w:lang w:val="en-US" w:eastAsia="zh-CN"/>
        </w:rPr>
        <w:t>第七章  附件</w:t>
      </w:r>
      <w:bookmarkEnd w:id="38"/>
      <w:bookmarkEnd w:id="39"/>
    </w:p>
    <w:p w14:paraId="03A49C67">
      <w:pPr>
        <w:spacing w:before="101" w:line="222" w:lineRule="auto"/>
        <w:ind w:left="104"/>
        <w:jc w:val="center"/>
        <w:outlineLvl w:val="9"/>
        <w:rPr>
          <w:rFonts w:hint="eastAsia" w:ascii="宋体" w:hAnsi="宋体" w:eastAsia="宋体" w:cs="宋体"/>
          <w:b/>
          <w:bCs/>
          <w:sz w:val="31"/>
          <w:szCs w:val="31"/>
        </w:rPr>
      </w:pPr>
      <w:bookmarkStart w:id="40" w:name="_Toc10336"/>
      <w:r>
        <w:rPr>
          <w:rFonts w:hint="eastAsia" w:ascii="宋体" w:hAnsi="宋体" w:eastAsia="宋体" w:cs="宋体"/>
          <w:b/>
          <w:bCs/>
          <w:spacing w:val="16"/>
          <w:sz w:val="31"/>
          <w:szCs w:val="31"/>
        </w:rPr>
        <w:t>中小企业声明函、监狱企业证明文件、残疾人福利性单位</w:t>
      </w:r>
      <w:r>
        <w:rPr>
          <w:rFonts w:hint="eastAsia" w:ascii="宋体" w:hAnsi="宋体" w:eastAsia="宋体" w:cs="宋体"/>
          <w:b/>
          <w:bCs/>
          <w:spacing w:val="13"/>
          <w:sz w:val="31"/>
          <w:szCs w:val="31"/>
        </w:rPr>
        <w:t>声明函（</w:t>
      </w:r>
      <w:r>
        <w:rPr>
          <w:rFonts w:hint="eastAsia" w:ascii="宋体" w:hAnsi="宋体" w:eastAsia="宋体" w:cs="宋体"/>
          <w:b/>
          <w:bCs/>
          <w:color w:val="FF0000"/>
          <w:spacing w:val="13"/>
          <w:sz w:val="31"/>
          <w:szCs w:val="31"/>
        </w:rPr>
        <w:t>如果是</w:t>
      </w:r>
      <w:r>
        <w:rPr>
          <w:rFonts w:hint="eastAsia" w:ascii="宋体" w:hAnsi="宋体" w:eastAsia="宋体" w:cs="宋体"/>
          <w:b/>
          <w:bCs/>
          <w:spacing w:val="13"/>
          <w:sz w:val="31"/>
          <w:szCs w:val="31"/>
        </w:rPr>
        <w:t>）</w:t>
      </w:r>
      <w:bookmarkEnd w:id="40"/>
    </w:p>
    <w:p w14:paraId="4759E078">
      <w:pPr>
        <w:spacing w:before="285" w:line="408" w:lineRule="exact"/>
        <w:rPr>
          <w:rFonts w:hint="eastAsia" w:ascii="宋体" w:hAnsi="宋体" w:eastAsia="宋体" w:cs="宋体"/>
          <w:spacing w:val="10"/>
          <w:position w:val="15"/>
          <w:sz w:val="20"/>
          <w:szCs w:val="20"/>
        </w:rPr>
      </w:pPr>
      <w:r>
        <w:rPr>
          <w:rFonts w:hint="eastAsia" w:ascii="宋体" w:hAnsi="宋体" w:eastAsia="宋体" w:cs="宋体"/>
          <w:spacing w:val="10"/>
          <w:position w:val="15"/>
          <w:sz w:val="20"/>
          <w:szCs w:val="20"/>
        </w:rPr>
        <w:t>如果投标人符合中小企业要求或为监狱企业、残疾人福利性单位的，按下列格式提供相应的声明或文件，否则可不提供。</w:t>
      </w:r>
    </w:p>
    <w:p w14:paraId="14A17D34">
      <w:pPr>
        <w:spacing w:before="164" w:line="228" w:lineRule="auto"/>
        <w:ind w:left="37"/>
        <w:outlineLvl w:val="9"/>
        <w:rPr>
          <w:rFonts w:hint="eastAsia" w:ascii="宋体" w:hAnsi="宋体" w:eastAsia="宋体" w:cs="宋体"/>
          <w:sz w:val="20"/>
          <w:szCs w:val="20"/>
        </w:rPr>
      </w:pPr>
      <w:bookmarkStart w:id="41" w:name="_Toc25039"/>
      <w:bookmarkStart w:id="42" w:name="_Toc27947"/>
      <w:r>
        <w:rPr>
          <w:rFonts w:hint="eastAsia" w:ascii="宋体" w:hAnsi="宋体" w:eastAsia="宋体" w:cs="宋体"/>
          <w:spacing w:val="6"/>
          <w:sz w:val="20"/>
          <w:szCs w:val="20"/>
        </w:rPr>
        <w:t>1.中小企业声明函</w:t>
      </w:r>
      <w:bookmarkEnd w:id="41"/>
      <w:bookmarkEnd w:id="42"/>
    </w:p>
    <w:p w14:paraId="6ECE2A4B">
      <w:pPr>
        <w:spacing w:before="162" w:line="227" w:lineRule="auto"/>
        <w:ind w:left="2981"/>
        <w:outlineLvl w:val="9"/>
        <w:rPr>
          <w:rFonts w:hint="eastAsia" w:ascii="宋体" w:hAnsi="宋体" w:eastAsia="宋体" w:cs="宋体"/>
          <w:sz w:val="20"/>
          <w:szCs w:val="20"/>
        </w:rPr>
      </w:pPr>
      <w:r>
        <w:rPr>
          <w:rFonts w:hint="eastAsia" w:ascii="宋体" w:hAnsi="宋体" w:eastAsia="宋体" w:cs="宋体"/>
          <w:spacing w:val="7"/>
          <w:sz w:val="20"/>
          <w:szCs w:val="20"/>
        </w:rPr>
        <w:t>中小企业声明函（货物）</w:t>
      </w:r>
    </w:p>
    <w:p w14:paraId="23B3ABEB">
      <w:pPr>
        <w:spacing w:before="163" w:line="377" w:lineRule="auto"/>
        <w:ind w:left="23" w:right="143" w:firstLine="525"/>
        <w:rPr>
          <w:rFonts w:hint="eastAsia" w:ascii="宋体" w:hAnsi="宋体" w:eastAsia="宋体" w:cs="宋体"/>
          <w:sz w:val="20"/>
          <w:szCs w:val="20"/>
        </w:rPr>
      </w:pPr>
      <w:r>
        <w:rPr>
          <w:rFonts w:hint="eastAsia" w:ascii="宋体" w:hAnsi="宋体" w:eastAsia="宋体" w:cs="宋体"/>
          <w:spacing w:val="7"/>
          <w:sz w:val="20"/>
          <w:szCs w:val="20"/>
        </w:rPr>
        <w:t>本公司（联合体）郑重声明，根据《政府采购促进中小企业发展管理办法》（财库﹝</w:t>
      </w:r>
      <w:r>
        <w:rPr>
          <w:rFonts w:hint="eastAsia" w:ascii="宋体" w:hAnsi="宋体" w:eastAsia="宋体" w:cs="宋体"/>
          <w:spacing w:val="9"/>
          <w:sz w:val="20"/>
          <w:szCs w:val="20"/>
        </w:rPr>
        <w:t>2020﹞46号）的规定，本公司（联合体）参加</w:t>
      </w:r>
      <w:r>
        <w:rPr>
          <w:rFonts w:hint="eastAsia" w:ascii="宋体" w:hAnsi="宋体" w:eastAsia="宋体" w:cs="宋体"/>
          <w:spacing w:val="9"/>
          <w:sz w:val="20"/>
          <w:szCs w:val="20"/>
          <w:u w:val="single" w:color="auto"/>
        </w:rPr>
        <w:t>（单位名称）</w:t>
      </w:r>
      <w:r>
        <w:rPr>
          <w:rFonts w:hint="eastAsia" w:ascii="宋体" w:hAnsi="宋体" w:eastAsia="宋体" w:cs="宋体"/>
          <w:spacing w:val="9"/>
          <w:sz w:val="20"/>
          <w:szCs w:val="20"/>
        </w:rPr>
        <w:t>的</w:t>
      </w:r>
      <w:r>
        <w:rPr>
          <w:rFonts w:hint="eastAsia" w:ascii="宋体" w:hAnsi="宋体" w:eastAsia="宋体" w:cs="宋体"/>
          <w:spacing w:val="9"/>
          <w:sz w:val="20"/>
          <w:szCs w:val="20"/>
          <w:u w:val="single" w:color="auto"/>
        </w:rPr>
        <w:t>（项目名称）</w:t>
      </w:r>
      <w:r>
        <w:rPr>
          <w:rFonts w:hint="eastAsia" w:ascii="宋体" w:hAnsi="宋体" w:eastAsia="宋体" w:cs="宋体"/>
          <w:spacing w:val="9"/>
          <w:sz w:val="20"/>
          <w:szCs w:val="20"/>
        </w:rPr>
        <w:t>采购活动，</w:t>
      </w:r>
      <w:r>
        <w:rPr>
          <w:rFonts w:hint="eastAsia" w:ascii="宋体" w:hAnsi="宋体" w:eastAsia="宋体" w:cs="宋体"/>
          <w:spacing w:val="10"/>
          <w:sz w:val="20"/>
          <w:szCs w:val="20"/>
        </w:rPr>
        <w:t>提供的货物全部由符合政策要求的中小企业制造。相关企业（</w:t>
      </w:r>
      <w:r>
        <w:rPr>
          <w:rFonts w:hint="eastAsia" w:ascii="宋体" w:hAnsi="宋体" w:eastAsia="宋体" w:cs="宋体"/>
          <w:spacing w:val="9"/>
          <w:sz w:val="20"/>
          <w:szCs w:val="20"/>
        </w:rPr>
        <w:t>含联合体中的中小企业、签</w:t>
      </w:r>
      <w:r>
        <w:rPr>
          <w:rFonts w:hint="eastAsia" w:ascii="宋体" w:hAnsi="宋体" w:eastAsia="宋体" w:cs="宋体"/>
          <w:spacing w:val="8"/>
          <w:sz w:val="20"/>
          <w:szCs w:val="20"/>
        </w:rPr>
        <w:t>订分包意向协议的中小企业）的具体情况如下：</w:t>
      </w:r>
    </w:p>
    <w:p w14:paraId="3B5452EB">
      <w:pPr>
        <w:spacing w:before="160" w:line="377" w:lineRule="auto"/>
        <w:ind w:left="24" w:firstLine="432"/>
        <w:rPr>
          <w:rFonts w:hint="eastAsia" w:ascii="宋体" w:hAnsi="宋体" w:eastAsia="宋体" w:cs="宋体"/>
          <w:sz w:val="20"/>
          <w:szCs w:val="20"/>
        </w:rPr>
      </w:pPr>
      <w:r>
        <w:rPr>
          <w:rFonts w:hint="eastAsia" w:ascii="宋体" w:hAnsi="宋体" w:eastAsia="宋体" w:cs="宋体"/>
          <w:spacing w:val="9"/>
          <w:sz w:val="20"/>
          <w:szCs w:val="20"/>
        </w:rPr>
        <w:t>1.</w:t>
      </w:r>
      <w:r>
        <w:rPr>
          <w:rFonts w:hint="eastAsia" w:ascii="宋体" w:hAnsi="宋体" w:eastAsia="宋体" w:cs="宋体"/>
          <w:spacing w:val="9"/>
          <w:sz w:val="20"/>
          <w:szCs w:val="20"/>
          <w:u w:val="single" w:color="auto"/>
        </w:rPr>
        <w:t>（标的名称</w:t>
      </w:r>
      <w:r>
        <w:rPr>
          <w:rFonts w:hint="eastAsia" w:ascii="宋体" w:hAnsi="宋体" w:eastAsia="宋体" w:cs="宋体"/>
          <w:spacing w:val="-1"/>
          <w:sz w:val="20"/>
          <w:szCs w:val="20"/>
          <w:u w:val="single" w:color="auto"/>
        </w:rPr>
        <w:t>）</w:t>
      </w:r>
      <w:r>
        <w:rPr>
          <w:rFonts w:hint="eastAsia" w:ascii="宋体" w:hAnsi="宋体" w:eastAsia="宋体" w:cs="宋体"/>
          <w:spacing w:val="-1"/>
          <w:sz w:val="20"/>
          <w:szCs w:val="20"/>
        </w:rPr>
        <w:t>，</w:t>
      </w:r>
      <w:r>
        <w:rPr>
          <w:rFonts w:hint="eastAsia" w:ascii="宋体" w:hAnsi="宋体" w:eastAsia="宋体" w:cs="宋体"/>
          <w:spacing w:val="9"/>
          <w:sz w:val="20"/>
          <w:szCs w:val="20"/>
        </w:rPr>
        <w:t>属于</w:t>
      </w:r>
      <w:r>
        <w:rPr>
          <w:rFonts w:hint="eastAsia" w:ascii="宋体" w:hAnsi="宋体" w:eastAsia="宋体" w:cs="宋体"/>
          <w:spacing w:val="9"/>
          <w:sz w:val="20"/>
          <w:szCs w:val="20"/>
          <w:u w:val="single" w:color="auto"/>
        </w:rPr>
        <w:t>（采购文件中明确的所属行业）</w:t>
      </w:r>
      <w:r>
        <w:rPr>
          <w:rFonts w:hint="eastAsia" w:ascii="宋体" w:hAnsi="宋体" w:eastAsia="宋体" w:cs="宋体"/>
          <w:spacing w:val="8"/>
          <w:sz w:val="20"/>
          <w:szCs w:val="20"/>
          <w:u w:val="single" w:color="auto"/>
        </w:rPr>
        <w:t>行业</w:t>
      </w:r>
      <w:r>
        <w:rPr>
          <w:rFonts w:hint="eastAsia" w:ascii="宋体" w:hAnsi="宋体" w:eastAsia="宋体" w:cs="宋体"/>
          <w:spacing w:val="8"/>
          <w:sz w:val="20"/>
          <w:szCs w:val="20"/>
        </w:rPr>
        <w:t>；制造商为</w:t>
      </w:r>
      <w:r>
        <w:rPr>
          <w:rFonts w:hint="eastAsia" w:ascii="宋体" w:hAnsi="宋体" w:eastAsia="宋体" w:cs="宋体"/>
          <w:spacing w:val="8"/>
          <w:sz w:val="20"/>
          <w:szCs w:val="20"/>
          <w:u w:val="single" w:color="auto"/>
        </w:rPr>
        <w:t>（企业名称</w:t>
      </w:r>
      <w:r>
        <w:rPr>
          <w:rFonts w:hint="eastAsia" w:ascii="宋体" w:hAnsi="宋体" w:eastAsia="宋体" w:cs="宋体"/>
          <w:spacing w:val="-1"/>
          <w:sz w:val="20"/>
          <w:szCs w:val="20"/>
          <w:u w:val="single" w:color="auto"/>
        </w:rPr>
        <w:t>）</w:t>
      </w:r>
      <w:r>
        <w:rPr>
          <w:rFonts w:hint="eastAsia" w:ascii="宋体" w:hAnsi="宋体" w:eastAsia="宋体" w:cs="宋体"/>
          <w:spacing w:val="-1"/>
          <w:sz w:val="20"/>
          <w:szCs w:val="20"/>
        </w:rPr>
        <w:t>，</w:t>
      </w:r>
      <w:r>
        <w:rPr>
          <w:rFonts w:hint="eastAsia" w:ascii="宋体" w:hAnsi="宋体" w:eastAsia="宋体" w:cs="宋体"/>
          <w:spacing w:val="3"/>
          <w:sz w:val="20"/>
          <w:szCs w:val="20"/>
        </w:rPr>
        <w:t xml:space="preserve"> </w:t>
      </w:r>
      <w:r>
        <w:rPr>
          <w:rFonts w:hint="eastAsia" w:ascii="宋体" w:hAnsi="宋体" w:eastAsia="宋体" w:cs="宋体"/>
          <w:spacing w:val="7"/>
          <w:sz w:val="20"/>
          <w:szCs w:val="20"/>
        </w:rPr>
        <w:t>从业人员人，营业收入为万元，资产总额为万元①</w:t>
      </w:r>
      <w:r>
        <w:rPr>
          <w:rFonts w:hint="eastAsia" w:ascii="宋体" w:hAnsi="宋体" w:eastAsia="宋体" w:cs="宋体"/>
          <w:spacing w:val="-66"/>
          <w:sz w:val="20"/>
          <w:szCs w:val="20"/>
        </w:rPr>
        <w:t xml:space="preserve"> </w:t>
      </w:r>
      <w:r>
        <w:rPr>
          <w:rFonts w:hint="eastAsia" w:ascii="宋体" w:hAnsi="宋体" w:eastAsia="宋体" w:cs="宋体"/>
          <w:spacing w:val="7"/>
          <w:sz w:val="20"/>
          <w:szCs w:val="20"/>
        </w:rPr>
        <w:t>,属于</w:t>
      </w:r>
      <w:r>
        <w:rPr>
          <w:rFonts w:hint="eastAsia" w:ascii="宋体" w:hAnsi="宋体" w:eastAsia="宋体" w:cs="宋体"/>
          <w:spacing w:val="7"/>
          <w:sz w:val="20"/>
          <w:szCs w:val="20"/>
          <w:u w:val="single" w:color="auto"/>
        </w:rPr>
        <w:t>（中型企业、小型企业、微型</w:t>
      </w:r>
      <w:r>
        <w:rPr>
          <w:rFonts w:hint="eastAsia" w:ascii="宋体" w:hAnsi="宋体" w:eastAsia="宋体" w:cs="宋体"/>
          <w:spacing w:val="3"/>
          <w:sz w:val="20"/>
          <w:szCs w:val="20"/>
          <w:u w:val="single" w:color="auto"/>
        </w:rPr>
        <w:t>企业</w:t>
      </w:r>
      <w:r>
        <w:rPr>
          <w:rFonts w:hint="eastAsia" w:ascii="宋体" w:hAnsi="宋体" w:eastAsia="宋体" w:cs="宋体"/>
          <w:sz w:val="20"/>
          <w:szCs w:val="20"/>
          <w:u w:val="single" w:color="auto"/>
        </w:rPr>
        <w:t>）</w:t>
      </w:r>
      <w:r>
        <w:rPr>
          <w:rFonts w:hint="eastAsia" w:ascii="宋体" w:hAnsi="宋体" w:eastAsia="宋体" w:cs="宋体"/>
          <w:sz w:val="20"/>
          <w:szCs w:val="20"/>
        </w:rPr>
        <w:t>；</w:t>
      </w:r>
    </w:p>
    <w:p w14:paraId="07F347E9">
      <w:pPr>
        <w:spacing w:before="158" w:line="378" w:lineRule="auto"/>
        <w:ind w:left="24" w:firstLine="420"/>
        <w:rPr>
          <w:rFonts w:hint="eastAsia" w:ascii="宋体" w:hAnsi="宋体" w:eastAsia="宋体" w:cs="宋体"/>
        </w:rPr>
      </w:pPr>
      <w:r>
        <w:rPr>
          <w:rFonts w:hint="eastAsia" w:ascii="宋体" w:hAnsi="宋体" w:eastAsia="宋体" w:cs="宋体"/>
          <w:spacing w:val="9"/>
          <w:sz w:val="20"/>
          <w:szCs w:val="20"/>
        </w:rPr>
        <w:t>2.</w:t>
      </w:r>
      <w:r>
        <w:rPr>
          <w:rFonts w:hint="eastAsia" w:ascii="宋体" w:hAnsi="宋体" w:eastAsia="宋体" w:cs="宋体"/>
          <w:spacing w:val="9"/>
          <w:sz w:val="20"/>
          <w:szCs w:val="20"/>
          <w:u w:val="single" w:color="auto"/>
        </w:rPr>
        <w:t>（标的名称</w:t>
      </w:r>
      <w:r>
        <w:rPr>
          <w:rFonts w:hint="eastAsia" w:ascii="宋体" w:hAnsi="宋体" w:eastAsia="宋体" w:cs="宋体"/>
          <w:sz w:val="20"/>
          <w:szCs w:val="20"/>
          <w:u w:val="single" w:color="auto"/>
        </w:rPr>
        <w:t>）</w:t>
      </w:r>
      <w:r>
        <w:rPr>
          <w:rFonts w:hint="eastAsia" w:ascii="宋体" w:hAnsi="宋体" w:eastAsia="宋体" w:cs="宋体"/>
          <w:sz w:val="20"/>
          <w:szCs w:val="20"/>
        </w:rPr>
        <w:t>，</w:t>
      </w:r>
      <w:r>
        <w:rPr>
          <w:rFonts w:hint="eastAsia" w:ascii="宋体" w:hAnsi="宋体" w:eastAsia="宋体" w:cs="宋体"/>
          <w:spacing w:val="9"/>
          <w:sz w:val="20"/>
          <w:szCs w:val="20"/>
        </w:rPr>
        <w:t>属于</w:t>
      </w:r>
      <w:r>
        <w:rPr>
          <w:rFonts w:hint="eastAsia" w:ascii="宋体" w:hAnsi="宋体" w:eastAsia="宋体" w:cs="宋体"/>
          <w:spacing w:val="9"/>
          <w:sz w:val="20"/>
          <w:szCs w:val="20"/>
          <w:u w:val="single" w:color="auto"/>
        </w:rPr>
        <w:t>（采购文件中明确的所属行业）行业</w:t>
      </w:r>
      <w:r>
        <w:rPr>
          <w:rFonts w:hint="eastAsia" w:ascii="宋体" w:hAnsi="宋体" w:eastAsia="宋体" w:cs="宋体"/>
          <w:spacing w:val="9"/>
          <w:sz w:val="20"/>
          <w:szCs w:val="20"/>
        </w:rPr>
        <w:t>；制造商为</w:t>
      </w:r>
      <w:r>
        <w:rPr>
          <w:rFonts w:hint="eastAsia" w:ascii="宋体" w:hAnsi="宋体" w:eastAsia="宋体" w:cs="宋体"/>
          <w:spacing w:val="9"/>
          <w:sz w:val="20"/>
          <w:szCs w:val="20"/>
          <w:u w:val="single" w:color="auto"/>
        </w:rPr>
        <w:t>（企业名称</w:t>
      </w:r>
      <w:r>
        <w:rPr>
          <w:rFonts w:hint="eastAsia" w:ascii="宋体" w:hAnsi="宋体" w:eastAsia="宋体" w:cs="宋体"/>
          <w:sz w:val="20"/>
          <w:szCs w:val="20"/>
          <w:u w:val="single" w:color="auto"/>
        </w:rPr>
        <w:t>）</w:t>
      </w:r>
      <w:r>
        <w:rPr>
          <w:rFonts w:hint="eastAsia" w:ascii="宋体" w:hAnsi="宋体" w:eastAsia="宋体" w:cs="宋体"/>
          <w:sz w:val="20"/>
          <w:szCs w:val="20"/>
        </w:rPr>
        <w:t xml:space="preserve">， </w:t>
      </w:r>
      <w:r>
        <w:rPr>
          <w:rFonts w:hint="eastAsia" w:ascii="宋体" w:hAnsi="宋体" w:eastAsia="宋体" w:cs="宋体"/>
          <w:spacing w:val="9"/>
          <w:sz w:val="20"/>
          <w:szCs w:val="20"/>
        </w:rPr>
        <w:t>从业人员人，营业收入为万元，资产总额为万元，属于</w:t>
      </w:r>
      <w:r>
        <w:rPr>
          <w:rFonts w:hint="eastAsia" w:ascii="宋体" w:hAnsi="宋体" w:eastAsia="宋体" w:cs="宋体"/>
          <w:spacing w:val="9"/>
          <w:sz w:val="20"/>
          <w:szCs w:val="20"/>
          <w:u w:val="single" w:color="auto"/>
        </w:rPr>
        <w:t>（中型企业、小 型企业、 微型</w:t>
      </w:r>
      <w:r>
        <w:rPr>
          <w:rFonts w:hint="eastAsia" w:ascii="宋体" w:hAnsi="宋体" w:eastAsia="宋体" w:cs="宋体"/>
          <w:spacing w:val="3"/>
          <w:sz w:val="20"/>
          <w:szCs w:val="20"/>
          <w:u w:val="single" w:color="auto"/>
        </w:rPr>
        <w:t>企业</w:t>
      </w:r>
      <w:r>
        <w:rPr>
          <w:rFonts w:hint="eastAsia" w:ascii="宋体" w:hAnsi="宋体" w:eastAsia="宋体" w:cs="宋体"/>
          <w:sz w:val="20"/>
          <w:szCs w:val="20"/>
          <w:u w:val="single" w:color="auto"/>
        </w:rPr>
        <w:t>）</w:t>
      </w:r>
      <w:r>
        <w:rPr>
          <w:rFonts w:hint="eastAsia" w:ascii="宋体" w:hAnsi="宋体" w:eastAsia="宋体" w:cs="宋体"/>
          <w:sz w:val="20"/>
          <w:szCs w:val="20"/>
        </w:rPr>
        <w:t>；</w:t>
      </w:r>
    </w:p>
    <w:p w14:paraId="0E817F14">
      <w:pPr>
        <w:pStyle w:val="16"/>
        <w:spacing w:before="58" w:line="63" w:lineRule="exact"/>
        <w:ind w:left="458"/>
        <w:rPr>
          <w:rFonts w:hint="eastAsia" w:ascii="宋体" w:hAnsi="宋体" w:eastAsia="宋体" w:cs="宋体"/>
          <w:sz w:val="20"/>
          <w:szCs w:val="20"/>
        </w:rPr>
      </w:pPr>
      <w:r>
        <w:rPr>
          <w:rFonts w:hint="eastAsia" w:ascii="宋体" w:hAnsi="宋体" w:eastAsia="宋体" w:cs="宋体"/>
          <w:spacing w:val="4"/>
          <w:position w:val="1"/>
          <w:sz w:val="20"/>
          <w:szCs w:val="20"/>
        </w:rPr>
        <w:t>……</w:t>
      </w:r>
    </w:p>
    <w:p w14:paraId="6F235F65">
      <w:pPr>
        <w:spacing w:before="155" w:line="411" w:lineRule="exact"/>
        <w:ind w:firstLine="436" w:firstLineChars="200"/>
        <w:rPr>
          <w:rFonts w:hint="eastAsia" w:ascii="宋体" w:hAnsi="宋体" w:eastAsia="宋体" w:cs="宋体"/>
          <w:spacing w:val="9"/>
          <w:position w:val="15"/>
          <w:sz w:val="20"/>
          <w:szCs w:val="20"/>
        </w:rPr>
      </w:pPr>
      <w:r>
        <w:rPr>
          <w:rFonts w:hint="eastAsia" w:ascii="宋体" w:hAnsi="宋体" w:eastAsia="宋体" w:cs="宋体"/>
          <w:spacing w:val="9"/>
          <w:position w:val="15"/>
          <w:sz w:val="20"/>
          <w:szCs w:val="20"/>
        </w:rPr>
        <w:t>以上企业，不属于大企业的分支机构，不存在控股股东为大企业的情形，也不存在与大企业的负责人为同一人的情形。</w:t>
      </w:r>
    </w:p>
    <w:p w14:paraId="255F2491">
      <w:pPr>
        <w:spacing w:before="155" w:line="411" w:lineRule="exact"/>
        <w:ind w:left="674"/>
        <w:rPr>
          <w:rFonts w:hint="eastAsia" w:ascii="宋体" w:hAnsi="宋体" w:eastAsia="宋体" w:cs="宋体"/>
          <w:sz w:val="20"/>
          <w:szCs w:val="20"/>
        </w:rPr>
      </w:pPr>
      <w:r>
        <w:rPr>
          <w:rFonts w:hint="eastAsia" w:ascii="宋体" w:hAnsi="宋体" w:eastAsia="宋体" w:cs="宋体"/>
          <w:spacing w:val="9"/>
          <w:position w:val="15"/>
          <w:sz w:val="20"/>
          <w:szCs w:val="20"/>
        </w:rPr>
        <w:t>本企业对上述声明内容的真实性负责。如有虚假，将依法承担相应责任。</w:t>
      </w:r>
    </w:p>
    <w:p w14:paraId="6D589675">
      <w:pPr>
        <w:pStyle w:val="16"/>
        <w:spacing w:line="251" w:lineRule="auto"/>
        <w:rPr>
          <w:rFonts w:hint="eastAsia" w:ascii="宋体" w:hAnsi="宋体" w:eastAsia="宋体" w:cs="宋体"/>
        </w:rPr>
      </w:pPr>
    </w:p>
    <w:p w14:paraId="2E195F0A">
      <w:pPr>
        <w:pStyle w:val="16"/>
        <w:spacing w:line="251" w:lineRule="auto"/>
        <w:rPr>
          <w:rFonts w:hint="eastAsia" w:ascii="宋体" w:hAnsi="宋体" w:eastAsia="宋体" w:cs="宋体"/>
        </w:rPr>
      </w:pPr>
    </w:p>
    <w:p w14:paraId="45F5C1EA">
      <w:pPr>
        <w:spacing w:before="65" w:line="408" w:lineRule="exact"/>
        <w:ind w:left="5171"/>
        <w:rPr>
          <w:rFonts w:hint="eastAsia" w:ascii="宋体" w:hAnsi="宋体" w:eastAsia="宋体" w:cs="宋体"/>
          <w:sz w:val="20"/>
          <w:szCs w:val="20"/>
        </w:rPr>
      </w:pPr>
      <w:r>
        <w:rPr>
          <w:rFonts w:hint="eastAsia" w:ascii="宋体" w:hAnsi="宋体" w:eastAsia="宋体" w:cs="宋体"/>
          <w:spacing w:val="8"/>
          <w:position w:val="15"/>
          <w:sz w:val="20"/>
          <w:szCs w:val="20"/>
        </w:rPr>
        <w:t>企业名称（盖章</w:t>
      </w:r>
      <w:r>
        <w:rPr>
          <w:rFonts w:hint="eastAsia" w:ascii="宋体" w:hAnsi="宋体" w:eastAsia="宋体" w:cs="宋体"/>
          <w:position w:val="15"/>
          <w:sz w:val="20"/>
          <w:szCs w:val="20"/>
        </w:rPr>
        <w:t>）：</w:t>
      </w:r>
    </w:p>
    <w:p w14:paraId="5E6721F4">
      <w:pPr>
        <w:spacing w:line="228" w:lineRule="auto"/>
        <w:ind w:left="6358"/>
        <w:rPr>
          <w:rFonts w:hint="eastAsia" w:ascii="宋体" w:hAnsi="宋体" w:eastAsia="宋体" w:cs="宋体"/>
          <w:sz w:val="20"/>
          <w:szCs w:val="20"/>
        </w:rPr>
      </w:pPr>
      <w:r>
        <w:rPr>
          <w:rFonts w:hint="eastAsia" w:ascii="宋体" w:hAnsi="宋体" w:eastAsia="宋体" w:cs="宋体"/>
          <w:spacing w:val="-13"/>
          <w:sz w:val="20"/>
          <w:szCs w:val="20"/>
        </w:rPr>
        <w:t>日</w:t>
      </w:r>
      <w:r>
        <w:rPr>
          <w:rFonts w:hint="eastAsia" w:ascii="宋体" w:hAnsi="宋体" w:eastAsia="宋体" w:cs="宋体"/>
          <w:spacing w:val="17"/>
          <w:sz w:val="20"/>
          <w:szCs w:val="20"/>
        </w:rPr>
        <w:t xml:space="preserve"> </w:t>
      </w:r>
      <w:r>
        <w:rPr>
          <w:rFonts w:hint="eastAsia" w:ascii="宋体" w:hAnsi="宋体" w:eastAsia="宋体" w:cs="宋体"/>
          <w:spacing w:val="-13"/>
          <w:sz w:val="20"/>
          <w:szCs w:val="20"/>
        </w:rPr>
        <w:t>期：</w:t>
      </w:r>
    </w:p>
    <w:p w14:paraId="20DB38AC">
      <w:pPr>
        <w:pStyle w:val="16"/>
        <w:spacing w:line="251" w:lineRule="auto"/>
        <w:ind w:left="0" w:leftChars="0" w:firstLine="0" w:firstLineChars="0"/>
        <w:rPr>
          <w:rFonts w:hint="eastAsia" w:ascii="宋体" w:hAnsi="宋体" w:eastAsia="宋体" w:cs="宋体"/>
        </w:rPr>
      </w:pPr>
    </w:p>
    <w:p w14:paraId="44DC7EEB">
      <w:pPr>
        <w:spacing w:before="65" w:line="377" w:lineRule="auto"/>
        <w:ind w:right="156"/>
        <w:jc w:val="both"/>
        <w:rPr>
          <w:rFonts w:hint="eastAsia" w:ascii="宋体" w:hAnsi="宋体" w:eastAsia="宋体" w:cs="宋体"/>
          <w:spacing w:val="9"/>
          <w:sz w:val="20"/>
          <w:szCs w:val="20"/>
        </w:rPr>
      </w:pPr>
      <w:r>
        <w:rPr>
          <w:rFonts w:hint="eastAsia" w:ascii="宋体" w:hAnsi="宋体" w:eastAsia="宋体" w:cs="宋体"/>
          <w:spacing w:val="10"/>
          <w:sz w:val="20"/>
          <w:szCs w:val="20"/>
        </w:rPr>
        <w:t>①从业人员、营业收入、资产总额填报上一年度数据，无</w:t>
      </w:r>
      <w:r>
        <w:rPr>
          <w:rFonts w:hint="eastAsia" w:ascii="宋体" w:hAnsi="宋体" w:eastAsia="宋体" w:cs="宋体"/>
          <w:spacing w:val="9"/>
          <w:sz w:val="20"/>
          <w:szCs w:val="20"/>
        </w:rPr>
        <w:t>上一年度数据的新成立企业可不填报。</w:t>
      </w:r>
    </w:p>
    <w:p w14:paraId="49A5D56E">
      <w:pPr>
        <w:spacing w:before="65" w:line="377" w:lineRule="auto"/>
        <w:ind w:right="156"/>
        <w:jc w:val="both"/>
        <w:rPr>
          <w:rFonts w:hint="eastAsia" w:ascii="宋体" w:hAnsi="宋体" w:eastAsia="宋体" w:cs="宋体"/>
          <w:sz w:val="20"/>
          <w:szCs w:val="20"/>
        </w:rPr>
      </w:pPr>
      <w:r>
        <w:rPr>
          <w:rFonts w:hint="eastAsia" w:ascii="宋体" w:hAnsi="宋体" w:eastAsia="宋体" w:cs="宋体"/>
          <w:spacing w:val="9"/>
          <w:sz w:val="20"/>
          <w:szCs w:val="20"/>
        </w:rPr>
        <w:t>注：不满足《政府采购促进中小企业发展管理办法》（财</w:t>
      </w:r>
      <w:r>
        <w:rPr>
          <w:rFonts w:hint="eastAsia" w:ascii="宋体" w:hAnsi="宋体" w:eastAsia="宋体" w:cs="宋体"/>
          <w:spacing w:val="8"/>
          <w:sz w:val="20"/>
          <w:szCs w:val="20"/>
        </w:rPr>
        <w:t>库﹝2020﹞46号）要求的投标人可不提供此声明函。</w:t>
      </w:r>
    </w:p>
    <w:p w14:paraId="3683B88F">
      <w:pPr>
        <w:spacing w:line="226" w:lineRule="auto"/>
        <w:rPr>
          <w:rFonts w:hint="eastAsia" w:ascii="宋体" w:hAnsi="宋体" w:eastAsia="宋体" w:cs="宋体"/>
          <w:sz w:val="20"/>
          <w:szCs w:val="20"/>
        </w:rPr>
        <w:sectPr>
          <w:headerReference r:id="rId6" w:type="default"/>
          <w:footerReference r:id="rId7" w:type="default"/>
          <w:pgSz w:w="11906" w:h="16839"/>
          <w:pgMar w:top="957" w:right="1081" w:bottom="1301" w:left="1165" w:header="737" w:footer="1131" w:gutter="0"/>
          <w:pgNumType w:fmt="decimal"/>
          <w:cols w:space="720" w:num="1"/>
        </w:sectPr>
      </w:pPr>
    </w:p>
    <w:p w14:paraId="055508B3">
      <w:pPr>
        <w:spacing w:before="65" w:line="228" w:lineRule="auto"/>
        <w:ind w:left="24"/>
        <w:outlineLvl w:val="9"/>
        <w:rPr>
          <w:rFonts w:hint="eastAsia" w:ascii="宋体" w:hAnsi="宋体" w:eastAsia="宋体" w:cs="宋体"/>
          <w:sz w:val="20"/>
          <w:szCs w:val="20"/>
        </w:rPr>
      </w:pPr>
      <w:bookmarkStart w:id="43" w:name="_Toc2927"/>
      <w:bookmarkStart w:id="44" w:name="_Toc14185"/>
      <w:r>
        <w:rPr>
          <w:rFonts w:hint="eastAsia" w:ascii="宋体" w:hAnsi="宋体" w:eastAsia="宋体" w:cs="宋体"/>
          <w:spacing w:val="8"/>
          <w:sz w:val="20"/>
          <w:szCs w:val="20"/>
        </w:rPr>
        <w:t>2.监狱企业证明文件</w:t>
      </w:r>
      <w:bookmarkEnd w:id="43"/>
      <w:bookmarkEnd w:id="44"/>
    </w:p>
    <w:p w14:paraId="423A43D3">
      <w:pPr>
        <w:spacing w:before="161" w:line="408" w:lineRule="exact"/>
        <w:ind w:left="465"/>
        <w:rPr>
          <w:rFonts w:hint="eastAsia" w:ascii="宋体" w:hAnsi="宋体" w:eastAsia="宋体" w:cs="宋体"/>
          <w:sz w:val="20"/>
          <w:szCs w:val="20"/>
        </w:rPr>
      </w:pPr>
      <w:r>
        <w:rPr>
          <w:rFonts w:hint="eastAsia" w:ascii="宋体" w:hAnsi="宋体" w:eastAsia="宋体" w:cs="宋体"/>
          <w:spacing w:val="9"/>
          <w:position w:val="15"/>
          <w:sz w:val="20"/>
          <w:szCs w:val="20"/>
        </w:rPr>
        <w:t>以省级以上监狱管理局、戒毒管理局（含新疆生产建设兵团）出具的属于监狱企业的</w:t>
      </w:r>
    </w:p>
    <w:p w14:paraId="6E40CED2">
      <w:pPr>
        <w:spacing w:line="227" w:lineRule="auto"/>
        <w:ind w:left="22"/>
        <w:rPr>
          <w:rFonts w:hint="eastAsia" w:ascii="宋体" w:hAnsi="宋体" w:eastAsia="宋体" w:cs="宋体"/>
          <w:sz w:val="20"/>
          <w:szCs w:val="20"/>
        </w:rPr>
      </w:pPr>
      <w:r>
        <w:rPr>
          <w:rFonts w:hint="eastAsia" w:ascii="宋体" w:hAnsi="宋体" w:eastAsia="宋体" w:cs="宋体"/>
          <w:spacing w:val="7"/>
          <w:sz w:val="20"/>
          <w:szCs w:val="20"/>
        </w:rPr>
        <w:t>证明文件为准。</w:t>
      </w:r>
    </w:p>
    <w:p w14:paraId="2E8BBF47">
      <w:pPr>
        <w:pStyle w:val="16"/>
        <w:spacing w:line="256" w:lineRule="auto"/>
        <w:rPr>
          <w:rFonts w:hint="eastAsia" w:ascii="宋体" w:hAnsi="宋体" w:eastAsia="宋体" w:cs="宋体"/>
        </w:rPr>
      </w:pPr>
    </w:p>
    <w:p w14:paraId="3001C21B">
      <w:pPr>
        <w:pStyle w:val="16"/>
        <w:spacing w:line="257" w:lineRule="auto"/>
        <w:outlineLvl w:val="9"/>
        <w:rPr>
          <w:rFonts w:hint="eastAsia" w:ascii="宋体" w:hAnsi="宋体" w:eastAsia="宋体" w:cs="宋体"/>
        </w:rPr>
      </w:pPr>
    </w:p>
    <w:p w14:paraId="71E4615C">
      <w:pPr>
        <w:spacing w:before="65" w:line="228" w:lineRule="auto"/>
        <w:ind w:left="26"/>
        <w:outlineLvl w:val="9"/>
        <w:rPr>
          <w:rFonts w:hint="eastAsia" w:ascii="宋体" w:hAnsi="宋体" w:eastAsia="宋体" w:cs="宋体"/>
          <w:sz w:val="20"/>
          <w:szCs w:val="20"/>
        </w:rPr>
      </w:pPr>
      <w:bookmarkStart w:id="45" w:name="_Toc11780"/>
      <w:bookmarkStart w:id="46" w:name="_Toc19637"/>
      <w:r>
        <w:rPr>
          <w:rFonts w:hint="eastAsia" w:ascii="宋体" w:hAnsi="宋体" w:eastAsia="宋体" w:cs="宋体"/>
          <w:spacing w:val="8"/>
          <w:sz w:val="20"/>
          <w:szCs w:val="20"/>
        </w:rPr>
        <w:t>3.残疾人福利性单位声明函</w:t>
      </w:r>
      <w:bookmarkEnd w:id="45"/>
      <w:bookmarkEnd w:id="46"/>
    </w:p>
    <w:p w14:paraId="299A75CB">
      <w:pPr>
        <w:spacing w:before="161" w:line="228" w:lineRule="auto"/>
        <w:ind w:left="3226"/>
        <w:outlineLvl w:val="9"/>
        <w:rPr>
          <w:rFonts w:hint="eastAsia" w:ascii="宋体" w:hAnsi="宋体" w:eastAsia="宋体" w:cs="宋体"/>
          <w:sz w:val="20"/>
          <w:szCs w:val="20"/>
        </w:rPr>
      </w:pPr>
      <w:r>
        <w:rPr>
          <w:rFonts w:hint="eastAsia" w:ascii="宋体" w:hAnsi="宋体" w:eastAsia="宋体" w:cs="宋体"/>
          <w:spacing w:val="9"/>
          <w:sz w:val="20"/>
          <w:szCs w:val="20"/>
        </w:rPr>
        <w:t>残疾人福利性单位声明函</w:t>
      </w:r>
    </w:p>
    <w:p w14:paraId="6F6F7DFA">
      <w:pPr>
        <w:spacing w:before="165" w:line="377" w:lineRule="auto"/>
        <w:ind w:left="21" w:firstLine="421"/>
        <w:rPr>
          <w:rFonts w:hint="eastAsia" w:ascii="宋体" w:hAnsi="宋体" w:eastAsia="宋体" w:cs="宋体"/>
          <w:sz w:val="20"/>
          <w:szCs w:val="20"/>
        </w:rPr>
      </w:pPr>
      <w:r>
        <w:rPr>
          <w:rFonts w:hint="eastAsia" w:ascii="宋体" w:hAnsi="宋体" w:eastAsia="宋体" w:cs="宋体"/>
          <w:spacing w:val="7"/>
          <w:sz w:val="20"/>
          <w:szCs w:val="20"/>
        </w:rPr>
        <w:t>本单位郑重声明，根据《财政部</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民政部</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 xml:space="preserve">中国残疾人联合会关于促进残疾人就业政府   </w:t>
      </w:r>
      <w:r>
        <w:rPr>
          <w:rFonts w:hint="eastAsia" w:ascii="宋体" w:hAnsi="宋体" w:eastAsia="宋体" w:cs="宋体"/>
          <w:spacing w:val="8"/>
          <w:sz w:val="20"/>
          <w:szCs w:val="20"/>
        </w:rPr>
        <w:t>采购政策的通知》（财库〔2017〕141号）的规定，本单位为符合条件的</w:t>
      </w:r>
      <w:r>
        <w:rPr>
          <w:rFonts w:hint="eastAsia" w:ascii="宋体" w:hAnsi="宋体" w:eastAsia="宋体" w:cs="宋体"/>
          <w:spacing w:val="7"/>
          <w:sz w:val="20"/>
          <w:szCs w:val="20"/>
        </w:rPr>
        <w:t>残疾人福利性单位，</w:t>
      </w:r>
      <w:r>
        <w:rPr>
          <w:rFonts w:hint="eastAsia" w:ascii="宋体" w:hAnsi="宋体" w:eastAsia="宋体" w:cs="宋体"/>
          <w:sz w:val="20"/>
          <w:szCs w:val="20"/>
        </w:rPr>
        <w:t xml:space="preserve"> </w:t>
      </w:r>
      <w:r>
        <w:rPr>
          <w:rFonts w:hint="eastAsia" w:ascii="宋体" w:hAnsi="宋体" w:eastAsia="宋体" w:cs="宋体"/>
          <w:spacing w:val="8"/>
          <w:sz w:val="20"/>
          <w:szCs w:val="20"/>
        </w:rPr>
        <w:t>且本单位参加</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8"/>
          <w:sz w:val="20"/>
          <w:szCs w:val="20"/>
        </w:rPr>
        <w:t>单位的</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90"/>
          <w:sz w:val="20"/>
          <w:szCs w:val="20"/>
        </w:rPr>
        <w:t xml:space="preserve"> </w:t>
      </w:r>
      <w:r>
        <w:rPr>
          <w:rFonts w:hint="eastAsia" w:ascii="宋体" w:hAnsi="宋体" w:eastAsia="宋体" w:cs="宋体"/>
          <w:spacing w:val="8"/>
          <w:sz w:val="20"/>
          <w:szCs w:val="20"/>
        </w:rPr>
        <w:t>项目采购活动提供本单位制造的货物（由本</w:t>
      </w:r>
      <w:r>
        <w:rPr>
          <w:rFonts w:hint="eastAsia" w:ascii="宋体" w:hAnsi="宋体" w:eastAsia="宋体" w:cs="宋体"/>
          <w:spacing w:val="7"/>
          <w:sz w:val="20"/>
          <w:szCs w:val="20"/>
        </w:rPr>
        <w:t xml:space="preserve">单位承担工   </w:t>
      </w:r>
      <w:r>
        <w:rPr>
          <w:rFonts w:hint="eastAsia" w:ascii="宋体" w:hAnsi="宋体" w:eastAsia="宋体" w:cs="宋体"/>
          <w:spacing w:val="9"/>
          <w:sz w:val="20"/>
          <w:szCs w:val="20"/>
        </w:rPr>
        <w:t>程/提供服务</w:t>
      </w:r>
      <w:r>
        <w:rPr>
          <w:rFonts w:hint="eastAsia" w:ascii="宋体" w:hAnsi="宋体" w:eastAsia="宋体" w:cs="宋体"/>
          <w:spacing w:val="20"/>
          <w:sz w:val="20"/>
          <w:szCs w:val="20"/>
        </w:rPr>
        <w:t>），</w:t>
      </w:r>
      <w:r>
        <w:rPr>
          <w:rFonts w:hint="eastAsia" w:ascii="宋体" w:hAnsi="宋体" w:eastAsia="宋体" w:cs="宋体"/>
          <w:spacing w:val="9"/>
          <w:sz w:val="20"/>
          <w:szCs w:val="20"/>
        </w:rPr>
        <w:t>或者提供其它残疾人福利性单位制造的货物（不包括使用非残疾人福利性</w:t>
      </w:r>
    </w:p>
    <w:p w14:paraId="0318621D">
      <w:pPr>
        <w:spacing w:before="1" w:line="226" w:lineRule="auto"/>
        <w:ind w:left="23"/>
        <w:rPr>
          <w:rFonts w:hint="eastAsia" w:ascii="宋体" w:hAnsi="宋体" w:eastAsia="宋体" w:cs="宋体"/>
          <w:sz w:val="20"/>
          <w:szCs w:val="20"/>
        </w:rPr>
      </w:pPr>
      <w:r>
        <w:rPr>
          <w:rFonts w:hint="eastAsia" w:ascii="宋体" w:hAnsi="宋体" w:eastAsia="宋体" w:cs="宋体"/>
          <w:spacing w:val="7"/>
          <w:sz w:val="20"/>
          <w:szCs w:val="20"/>
        </w:rPr>
        <w:t>单位注册商标的货物）。</w:t>
      </w:r>
    </w:p>
    <w:p w14:paraId="7F1A2C14">
      <w:pPr>
        <w:spacing w:before="162" w:line="227" w:lineRule="auto"/>
        <w:ind w:left="443"/>
        <w:rPr>
          <w:rFonts w:hint="eastAsia" w:ascii="宋体" w:hAnsi="宋体" w:eastAsia="宋体" w:cs="宋体"/>
          <w:sz w:val="20"/>
          <w:szCs w:val="20"/>
        </w:rPr>
      </w:pPr>
      <w:r>
        <w:rPr>
          <w:rFonts w:hint="eastAsia" w:ascii="宋体" w:hAnsi="宋体" w:eastAsia="宋体" w:cs="宋体"/>
          <w:spacing w:val="9"/>
          <w:sz w:val="20"/>
          <w:szCs w:val="20"/>
        </w:rPr>
        <w:t>本单位对上述声明的真实性负责。如有虚假，将依法承担相应责任。</w:t>
      </w:r>
    </w:p>
    <w:p w14:paraId="0270BB4B">
      <w:pPr>
        <w:pStyle w:val="16"/>
        <w:spacing w:line="250" w:lineRule="auto"/>
        <w:rPr>
          <w:rFonts w:hint="eastAsia" w:ascii="宋体" w:hAnsi="宋体" w:eastAsia="宋体" w:cs="宋体"/>
        </w:rPr>
      </w:pPr>
    </w:p>
    <w:p w14:paraId="5B1EB712">
      <w:pPr>
        <w:pStyle w:val="16"/>
        <w:spacing w:line="251" w:lineRule="auto"/>
        <w:rPr>
          <w:rFonts w:hint="eastAsia" w:ascii="宋体" w:hAnsi="宋体" w:eastAsia="宋体" w:cs="宋体"/>
        </w:rPr>
      </w:pPr>
    </w:p>
    <w:p w14:paraId="5A3B9AF8">
      <w:pPr>
        <w:spacing w:before="65" w:line="377" w:lineRule="auto"/>
        <w:ind w:left="3804"/>
        <w:rPr>
          <w:rFonts w:hint="eastAsia" w:ascii="宋体" w:hAnsi="宋体" w:eastAsia="宋体" w:cs="宋体"/>
          <w:sz w:val="20"/>
          <w:szCs w:val="20"/>
        </w:rPr>
      </w:pPr>
      <w:r>
        <w:rPr>
          <w:rFonts w:hint="eastAsia" w:ascii="宋体" w:hAnsi="宋体" w:eastAsia="宋体" w:cs="宋体"/>
          <w:spacing w:val="8"/>
          <w:sz w:val="20"/>
          <w:szCs w:val="20"/>
        </w:rPr>
        <w:t>投标人名称（加盖公章</w:t>
      </w:r>
      <w:r>
        <w:rPr>
          <w:rFonts w:hint="eastAsia" w:ascii="宋体" w:hAnsi="宋体" w:eastAsia="宋体" w:cs="宋体"/>
          <w:spacing w:val="9"/>
          <w:sz w:val="20"/>
          <w:szCs w:val="20"/>
        </w:rPr>
        <w:t>）：</w:t>
      </w:r>
      <w:r>
        <w:rPr>
          <w:rFonts w:hint="eastAsia" w:ascii="宋体" w:hAnsi="宋体" w:eastAsia="宋体" w:cs="宋体"/>
          <w:spacing w:val="15"/>
          <w:sz w:val="20"/>
          <w:szCs w:val="20"/>
        </w:rPr>
        <w:t xml:space="preserve"> </w:t>
      </w:r>
      <w:r>
        <w:rPr>
          <w:rFonts w:hint="eastAsia" w:ascii="宋体" w:hAnsi="宋体" w:eastAsia="宋体" w:cs="宋体"/>
          <w:sz w:val="20"/>
          <w:szCs w:val="20"/>
          <w:u w:val="single" w:color="auto"/>
        </w:rPr>
        <w:t xml:space="preserve">       </w:t>
      </w:r>
    </w:p>
    <w:p w14:paraId="778A7585">
      <w:pPr>
        <w:spacing w:before="1" w:line="227" w:lineRule="auto"/>
        <w:ind w:left="3626"/>
        <w:rPr>
          <w:rFonts w:hint="eastAsia" w:ascii="宋体" w:hAnsi="宋体" w:eastAsia="宋体" w:cs="宋体"/>
          <w:sz w:val="20"/>
          <w:szCs w:val="20"/>
        </w:rPr>
      </w:pPr>
      <w:r>
        <w:rPr>
          <w:rFonts w:hint="eastAsia" w:ascii="宋体" w:hAnsi="宋体" w:eastAsia="宋体" w:cs="宋体"/>
          <w:spacing w:val="-6"/>
          <w:sz w:val="20"/>
          <w:szCs w:val="20"/>
        </w:rPr>
        <w:t>日</w:t>
      </w:r>
      <w:r>
        <w:rPr>
          <w:rFonts w:hint="eastAsia" w:ascii="宋体" w:hAnsi="宋体" w:eastAsia="宋体" w:cs="宋体"/>
          <w:spacing w:val="23"/>
          <w:sz w:val="20"/>
          <w:szCs w:val="20"/>
        </w:rPr>
        <w:t xml:space="preserve"> </w:t>
      </w:r>
      <w:r>
        <w:rPr>
          <w:rFonts w:hint="eastAsia" w:ascii="宋体" w:hAnsi="宋体" w:eastAsia="宋体" w:cs="宋体"/>
          <w:spacing w:val="-6"/>
          <w:sz w:val="20"/>
          <w:szCs w:val="20"/>
        </w:rPr>
        <w:t>期：</w:t>
      </w:r>
      <w:r>
        <w:rPr>
          <w:rFonts w:hint="eastAsia" w:ascii="宋体" w:hAnsi="宋体" w:eastAsia="宋体" w:cs="宋体"/>
          <w:spacing w:val="15"/>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90"/>
          <w:sz w:val="20"/>
          <w:szCs w:val="20"/>
        </w:rPr>
        <w:t xml:space="preserve"> </w:t>
      </w:r>
      <w:r>
        <w:rPr>
          <w:rFonts w:hint="eastAsia" w:ascii="宋体" w:hAnsi="宋体" w:eastAsia="宋体" w:cs="宋体"/>
          <w:spacing w:val="-6"/>
          <w:sz w:val="20"/>
          <w:szCs w:val="20"/>
        </w:rPr>
        <w:t xml:space="preserve">年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6"/>
          <w:sz w:val="20"/>
          <w:szCs w:val="20"/>
        </w:rPr>
        <w:t>月</w:t>
      </w:r>
      <w:r>
        <w:rPr>
          <w:rFonts w:hint="eastAsia" w:ascii="宋体" w:hAnsi="宋体" w:eastAsia="宋体" w:cs="宋体"/>
          <w:spacing w:val="5"/>
          <w:sz w:val="20"/>
          <w:szCs w:val="20"/>
          <w:u w:val="single" w:color="auto"/>
        </w:rPr>
        <w:t xml:space="preserve">      </w:t>
      </w:r>
      <w:r>
        <w:rPr>
          <w:rFonts w:hint="eastAsia" w:ascii="宋体" w:hAnsi="宋体" w:eastAsia="宋体" w:cs="宋体"/>
          <w:spacing w:val="48"/>
          <w:sz w:val="20"/>
          <w:szCs w:val="20"/>
        </w:rPr>
        <w:t xml:space="preserve"> </w:t>
      </w:r>
      <w:r>
        <w:rPr>
          <w:rFonts w:hint="eastAsia" w:ascii="宋体" w:hAnsi="宋体" w:eastAsia="宋体" w:cs="宋体"/>
          <w:spacing w:val="-6"/>
          <w:sz w:val="20"/>
          <w:szCs w:val="20"/>
        </w:rPr>
        <w:t>日</w:t>
      </w:r>
    </w:p>
    <w:p w14:paraId="17CF7C17">
      <w:pPr>
        <w:pStyle w:val="16"/>
        <w:spacing w:line="251" w:lineRule="auto"/>
        <w:rPr>
          <w:rFonts w:hint="eastAsia" w:ascii="宋体" w:hAnsi="宋体" w:eastAsia="宋体" w:cs="宋体"/>
        </w:rPr>
      </w:pPr>
    </w:p>
    <w:p w14:paraId="0F294269">
      <w:pPr>
        <w:pStyle w:val="16"/>
        <w:spacing w:line="252" w:lineRule="auto"/>
        <w:rPr>
          <w:rFonts w:hint="eastAsia" w:ascii="宋体" w:hAnsi="宋体" w:eastAsia="宋体" w:cs="宋体"/>
        </w:rPr>
      </w:pPr>
    </w:p>
    <w:p w14:paraId="6BE12706">
      <w:pPr>
        <w:spacing w:before="66" w:line="227" w:lineRule="auto"/>
        <w:ind w:left="442"/>
        <w:rPr>
          <w:rFonts w:hint="eastAsia" w:ascii="宋体" w:hAnsi="宋体" w:eastAsia="宋体" w:cs="宋体"/>
          <w:sz w:val="20"/>
          <w:szCs w:val="20"/>
        </w:rPr>
      </w:pPr>
      <w:r>
        <w:rPr>
          <w:rFonts w:hint="eastAsia" w:ascii="宋体" w:hAnsi="宋体" w:eastAsia="宋体" w:cs="宋体"/>
          <w:spacing w:val="10"/>
          <w:sz w:val="20"/>
          <w:szCs w:val="20"/>
        </w:rPr>
        <w:t>注</w:t>
      </w:r>
      <w:r>
        <w:rPr>
          <w:rFonts w:hint="eastAsia" w:ascii="宋体" w:hAnsi="宋体" w:eastAsia="宋体" w:cs="宋体"/>
          <w:spacing w:val="-1"/>
          <w:sz w:val="20"/>
          <w:szCs w:val="20"/>
        </w:rPr>
        <w:t>：（</w:t>
      </w:r>
      <w:r>
        <w:rPr>
          <w:rFonts w:hint="eastAsia" w:ascii="宋体" w:hAnsi="宋体" w:eastAsia="宋体" w:cs="宋体"/>
          <w:spacing w:val="10"/>
          <w:sz w:val="20"/>
          <w:szCs w:val="20"/>
        </w:rPr>
        <w:t>非残疾人福利性单位可不提供此声明函）</w:t>
      </w:r>
    </w:p>
    <w:p w14:paraId="6621D578">
      <w:pPr>
        <w:spacing w:before="75" w:line="227" w:lineRule="auto"/>
        <w:ind w:left="1167"/>
        <w:rPr>
          <w:rFonts w:hint="eastAsia" w:ascii="宋体" w:hAnsi="宋体" w:eastAsia="宋体" w:cs="宋体"/>
          <w:spacing w:val="18"/>
          <w:sz w:val="23"/>
          <w:szCs w:val="23"/>
        </w:rPr>
      </w:pPr>
    </w:p>
    <w:p w14:paraId="6310CCAA">
      <w:pPr>
        <w:spacing w:before="75" w:line="227" w:lineRule="auto"/>
        <w:ind w:left="1167"/>
        <w:rPr>
          <w:rFonts w:hint="eastAsia" w:ascii="宋体" w:hAnsi="宋体" w:eastAsia="宋体" w:cs="宋体"/>
          <w:spacing w:val="18"/>
          <w:sz w:val="23"/>
          <w:szCs w:val="23"/>
        </w:rPr>
      </w:pPr>
    </w:p>
    <w:p w14:paraId="4B88DE8F">
      <w:pPr>
        <w:spacing w:before="75" w:line="227" w:lineRule="auto"/>
        <w:ind w:left="1167"/>
        <w:rPr>
          <w:rFonts w:hint="eastAsia" w:ascii="宋体" w:hAnsi="宋体" w:eastAsia="宋体" w:cs="宋体"/>
          <w:spacing w:val="18"/>
          <w:sz w:val="23"/>
          <w:szCs w:val="23"/>
        </w:rPr>
      </w:pPr>
    </w:p>
    <w:p w14:paraId="177FC3AA">
      <w:pPr>
        <w:spacing w:before="75" w:line="227" w:lineRule="auto"/>
        <w:ind w:left="1167"/>
        <w:rPr>
          <w:rFonts w:hint="eastAsia" w:ascii="宋体" w:hAnsi="宋体" w:eastAsia="宋体" w:cs="宋体"/>
          <w:spacing w:val="18"/>
          <w:sz w:val="23"/>
          <w:szCs w:val="23"/>
        </w:rPr>
      </w:pPr>
    </w:p>
    <w:p w14:paraId="294E4A1E">
      <w:pPr>
        <w:spacing w:before="75" w:line="227" w:lineRule="auto"/>
        <w:ind w:left="1167"/>
        <w:rPr>
          <w:rFonts w:hint="eastAsia" w:ascii="宋体" w:hAnsi="宋体" w:eastAsia="宋体" w:cs="宋体"/>
          <w:spacing w:val="18"/>
          <w:sz w:val="23"/>
          <w:szCs w:val="23"/>
        </w:rPr>
      </w:pPr>
    </w:p>
    <w:p w14:paraId="195247DE">
      <w:pPr>
        <w:spacing w:before="75" w:line="227" w:lineRule="auto"/>
        <w:ind w:left="1167"/>
        <w:rPr>
          <w:rFonts w:hint="eastAsia" w:ascii="宋体" w:hAnsi="宋体" w:eastAsia="宋体" w:cs="宋体"/>
          <w:spacing w:val="18"/>
          <w:sz w:val="23"/>
          <w:szCs w:val="23"/>
        </w:rPr>
      </w:pPr>
    </w:p>
    <w:p w14:paraId="254B86B2">
      <w:pPr>
        <w:spacing w:before="75" w:line="227" w:lineRule="auto"/>
        <w:ind w:left="1167"/>
        <w:rPr>
          <w:rFonts w:hint="eastAsia" w:ascii="宋体" w:hAnsi="宋体" w:eastAsia="宋体" w:cs="宋体"/>
          <w:spacing w:val="18"/>
          <w:sz w:val="23"/>
          <w:szCs w:val="23"/>
        </w:rPr>
      </w:pPr>
    </w:p>
    <w:p w14:paraId="4FDE3AAE">
      <w:pPr>
        <w:spacing w:before="75" w:line="227" w:lineRule="auto"/>
        <w:ind w:left="1167"/>
        <w:rPr>
          <w:rFonts w:hint="eastAsia" w:ascii="宋体" w:hAnsi="宋体" w:eastAsia="宋体" w:cs="宋体"/>
          <w:spacing w:val="18"/>
          <w:sz w:val="23"/>
          <w:szCs w:val="23"/>
        </w:rPr>
      </w:pPr>
    </w:p>
    <w:p w14:paraId="369C02DE">
      <w:pPr>
        <w:spacing w:before="75" w:line="227" w:lineRule="auto"/>
        <w:ind w:left="1167"/>
        <w:rPr>
          <w:rFonts w:hint="eastAsia" w:ascii="宋体" w:hAnsi="宋体" w:eastAsia="宋体" w:cs="宋体"/>
          <w:spacing w:val="18"/>
          <w:sz w:val="23"/>
          <w:szCs w:val="23"/>
        </w:rPr>
      </w:pPr>
    </w:p>
    <w:p w14:paraId="39F2BE32">
      <w:pPr>
        <w:spacing w:before="75" w:line="227" w:lineRule="auto"/>
        <w:ind w:left="1167"/>
        <w:rPr>
          <w:rFonts w:hint="eastAsia" w:ascii="宋体" w:hAnsi="宋体" w:eastAsia="宋体" w:cs="宋体"/>
          <w:spacing w:val="18"/>
          <w:sz w:val="23"/>
          <w:szCs w:val="23"/>
        </w:rPr>
      </w:pPr>
    </w:p>
    <w:p w14:paraId="0E7D753B">
      <w:pPr>
        <w:spacing w:before="75" w:line="227" w:lineRule="auto"/>
        <w:ind w:left="1167"/>
        <w:rPr>
          <w:rFonts w:hint="eastAsia" w:ascii="宋体" w:hAnsi="宋体" w:eastAsia="宋体" w:cs="宋体"/>
          <w:spacing w:val="18"/>
          <w:sz w:val="23"/>
          <w:szCs w:val="23"/>
        </w:rPr>
      </w:pPr>
    </w:p>
    <w:p w14:paraId="25588353">
      <w:pPr>
        <w:spacing w:before="75" w:line="227" w:lineRule="auto"/>
        <w:ind w:left="1167"/>
        <w:rPr>
          <w:rFonts w:hint="eastAsia" w:ascii="宋体" w:hAnsi="宋体" w:eastAsia="宋体" w:cs="宋体"/>
          <w:spacing w:val="18"/>
          <w:sz w:val="23"/>
          <w:szCs w:val="23"/>
        </w:rPr>
      </w:pPr>
    </w:p>
    <w:p w14:paraId="0E12C4C9">
      <w:pPr>
        <w:spacing w:before="75" w:line="227" w:lineRule="auto"/>
        <w:ind w:left="1167"/>
        <w:rPr>
          <w:rFonts w:hint="eastAsia" w:ascii="宋体" w:hAnsi="宋体" w:eastAsia="宋体" w:cs="宋体"/>
          <w:spacing w:val="18"/>
          <w:sz w:val="23"/>
          <w:szCs w:val="23"/>
        </w:rPr>
      </w:pPr>
    </w:p>
    <w:p w14:paraId="20045503">
      <w:pPr>
        <w:spacing w:before="75" w:line="227" w:lineRule="auto"/>
        <w:ind w:left="1167"/>
        <w:rPr>
          <w:rFonts w:hint="eastAsia" w:ascii="宋体" w:hAnsi="宋体" w:eastAsia="宋体" w:cs="宋体"/>
          <w:spacing w:val="18"/>
          <w:sz w:val="23"/>
          <w:szCs w:val="23"/>
        </w:rPr>
      </w:pPr>
    </w:p>
    <w:p w14:paraId="0D734354">
      <w:pPr>
        <w:spacing w:before="75" w:line="227" w:lineRule="auto"/>
        <w:ind w:left="1167"/>
        <w:rPr>
          <w:rFonts w:hint="eastAsia" w:ascii="宋体" w:hAnsi="宋体" w:eastAsia="宋体" w:cs="宋体"/>
          <w:spacing w:val="18"/>
          <w:sz w:val="23"/>
          <w:szCs w:val="23"/>
        </w:rPr>
      </w:pPr>
    </w:p>
    <w:p w14:paraId="242DCDBF">
      <w:pPr>
        <w:spacing w:before="75" w:line="227" w:lineRule="auto"/>
        <w:ind w:left="1167"/>
        <w:rPr>
          <w:rFonts w:hint="eastAsia" w:ascii="宋体" w:hAnsi="宋体" w:eastAsia="宋体" w:cs="宋体"/>
          <w:spacing w:val="18"/>
          <w:sz w:val="23"/>
          <w:szCs w:val="23"/>
        </w:rPr>
      </w:pPr>
    </w:p>
    <w:p w14:paraId="1A47BFFF">
      <w:pPr>
        <w:spacing w:before="75" w:line="227" w:lineRule="auto"/>
        <w:ind w:left="1167"/>
        <w:rPr>
          <w:rFonts w:hint="eastAsia" w:ascii="宋体" w:hAnsi="宋体" w:eastAsia="宋体" w:cs="宋体"/>
          <w:spacing w:val="18"/>
          <w:sz w:val="23"/>
          <w:szCs w:val="23"/>
        </w:rPr>
      </w:pPr>
    </w:p>
    <w:p w14:paraId="212FF817">
      <w:pPr>
        <w:spacing w:before="75" w:line="227" w:lineRule="auto"/>
        <w:ind w:left="1167"/>
        <w:rPr>
          <w:rFonts w:hint="eastAsia" w:ascii="宋体" w:hAnsi="宋体" w:eastAsia="宋体" w:cs="宋体"/>
          <w:spacing w:val="18"/>
          <w:sz w:val="23"/>
          <w:szCs w:val="23"/>
        </w:rPr>
      </w:pPr>
    </w:p>
    <w:p w14:paraId="6AE089A2">
      <w:pPr>
        <w:spacing w:before="75" w:line="227" w:lineRule="auto"/>
        <w:ind w:left="1167"/>
        <w:rPr>
          <w:rFonts w:hint="eastAsia" w:ascii="宋体" w:hAnsi="宋体" w:eastAsia="宋体" w:cs="宋体"/>
          <w:spacing w:val="18"/>
          <w:sz w:val="23"/>
          <w:szCs w:val="23"/>
        </w:rPr>
      </w:pPr>
    </w:p>
    <w:p w14:paraId="3B33E70C">
      <w:pPr>
        <w:spacing w:before="75" w:line="227" w:lineRule="auto"/>
        <w:ind w:left="1167"/>
        <w:rPr>
          <w:rFonts w:hint="eastAsia" w:ascii="宋体" w:hAnsi="宋体" w:eastAsia="宋体" w:cs="宋体"/>
          <w:spacing w:val="18"/>
          <w:sz w:val="23"/>
          <w:szCs w:val="23"/>
        </w:rPr>
      </w:pPr>
    </w:p>
    <w:p w14:paraId="0AD504DF">
      <w:pPr>
        <w:spacing w:before="75" w:line="227" w:lineRule="auto"/>
        <w:ind w:left="1167"/>
        <w:rPr>
          <w:rFonts w:hint="eastAsia" w:ascii="宋体" w:hAnsi="宋体" w:eastAsia="宋体" w:cs="宋体"/>
          <w:sz w:val="23"/>
          <w:szCs w:val="23"/>
        </w:rPr>
      </w:pPr>
      <w:r>
        <w:rPr>
          <w:rFonts w:hint="eastAsia" w:ascii="宋体" w:hAnsi="宋体" w:eastAsia="宋体" w:cs="宋体"/>
          <w:spacing w:val="18"/>
          <w:sz w:val="23"/>
          <w:szCs w:val="23"/>
        </w:rPr>
        <w:t>关</w:t>
      </w:r>
      <w:r>
        <w:rPr>
          <w:rFonts w:hint="eastAsia" w:ascii="宋体" w:hAnsi="宋体" w:eastAsia="宋体" w:cs="宋体"/>
          <w:spacing w:val="10"/>
          <w:sz w:val="23"/>
          <w:szCs w:val="23"/>
        </w:rPr>
        <w:t>于印发《政府采购促进中小企业发展管理办法》的通知</w:t>
      </w:r>
    </w:p>
    <w:p w14:paraId="496FDFE9">
      <w:pPr>
        <w:spacing w:line="295" w:lineRule="auto"/>
        <w:rPr>
          <w:rFonts w:hint="eastAsia" w:ascii="宋体" w:hAnsi="宋体" w:eastAsia="宋体" w:cs="宋体"/>
          <w:sz w:val="21"/>
        </w:rPr>
      </w:pPr>
    </w:p>
    <w:p w14:paraId="3C325FB5">
      <w:pPr>
        <w:spacing w:before="75" w:line="227" w:lineRule="auto"/>
        <w:ind w:left="3187"/>
        <w:rPr>
          <w:rFonts w:hint="eastAsia" w:ascii="宋体" w:hAnsi="宋体" w:eastAsia="宋体" w:cs="宋体"/>
          <w:sz w:val="23"/>
          <w:szCs w:val="23"/>
        </w:rPr>
      </w:pPr>
      <w:r>
        <w:rPr>
          <w:rFonts w:hint="eastAsia" w:ascii="宋体" w:hAnsi="宋体" w:eastAsia="宋体" w:cs="宋体"/>
          <w:spacing w:val="2"/>
          <w:sz w:val="23"/>
          <w:szCs w:val="23"/>
        </w:rPr>
        <w:t>财库〔2020</w:t>
      </w:r>
      <w:r>
        <w:rPr>
          <w:rFonts w:hint="eastAsia" w:ascii="宋体" w:hAnsi="宋体" w:eastAsia="宋体" w:cs="宋体"/>
          <w:spacing w:val="1"/>
          <w:sz w:val="23"/>
          <w:szCs w:val="23"/>
        </w:rPr>
        <w:t>〕46 号</w:t>
      </w:r>
    </w:p>
    <w:p w14:paraId="34EBC295">
      <w:pPr>
        <w:spacing w:line="320" w:lineRule="auto"/>
        <w:rPr>
          <w:rFonts w:hint="eastAsia" w:ascii="宋体" w:hAnsi="宋体" w:eastAsia="宋体" w:cs="宋体"/>
          <w:sz w:val="21"/>
        </w:rPr>
      </w:pPr>
    </w:p>
    <w:p w14:paraId="00E72792">
      <w:pPr>
        <w:spacing w:before="75" w:line="400" w:lineRule="auto"/>
        <w:ind w:left="26" w:right="19"/>
        <w:rPr>
          <w:rFonts w:hint="eastAsia" w:ascii="宋体" w:hAnsi="宋体" w:eastAsia="宋体" w:cs="宋体"/>
          <w:sz w:val="23"/>
          <w:szCs w:val="23"/>
        </w:rPr>
      </w:pPr>
      <w:r>
        <w:rPr>
          <w:rFonts w:hint="eastAsia" w:ascii="宋体" w:hAnsi="宋体" w:eastAsia="宋体" w:cs="宋体"/>
          <w:spacing w:val="-1"/>
          <w:sz w:val="23"/>
          <w:szCs w:val="23"/>
        </w:rPr>
        <w:t>各中央预算单位办公厅 (室) ，各省、自治</w:t>
      </w:r>
      <w:r>
        <w:rPr>
          <w:rFonts w:hint="eastAsia" w:ascii="宋体" w:hAnsi="宋体" w:eastAsia="宋体" w:cs="宋体"/>
          <w:sz w:val="23"/>
          <w:szCs w:val="23"/>
        </w:rPr>
        <w:t xml:space="preserve">区、直辖市、计划单列市财政厅 (局)、 </w:t>
      </w:r>
      <w:r>
        <w:rPr>
          <w:rFonts w:hint="eastAsia" w:ascii="宋体" w:hAnsi="宋体" w:eastAsia="宋体" w:cs="宋体"/>
          <w:spacing w:val="18"/>
          <w:sz w:val="23"/>
          <w:szCs w:val="23"/>
        </w:rPr>
        <w:t>工</w:t>
      </w:r>
      <w:r>
        <w:rPr>
          <w:rFonts w:hint="eastAsia" w:ascii="宋体" w:hAnsi="宋体" w:eastAsia="宋体" w:cs="宋体"/>
          <w:spacing w:val="11"/>
          <w:sz w:val="23"/>
          <w:szCs w:val="23"/>
        </w:rPr>
        <w:t>业</w:t>
      </w:r>
      <w:r>
        <w:rPr>
          <w:rFonts w:hint="eastAsia" w:ascii="宋体" w:hAnsi="宋体" w:eastAsia="宋体" w:cs="宋体"/>
          <w:spacing w:val="9"/>
          <w:sz w:val="23"/>
          <w:szCs w:val="23"/>
        </w:rPr>
        <w:t>和信息化主管部门，新疆生产建设兵团财政局、工业和信息化主管部门：</w:t>
      </w:r>
    </w:p>
    <w:p w14:paraId="45315113">
      <w:pPr>
        <w:spacing w:before="257" w:line="397" w:lineRule="auto"/>
        <w:ind w:left="24" w:right="99" w:firstLine="481"/>
        <w:rPr>
          <w:rFonts w:hint="eastAsia" w:ascii="宋体" w:hAnsi="宋体" w:eastAsia="宋体" w:cs="宋体"/>
          <w:sz w:val="23"/>
          <w:szCs w:val="23"/>
        </w:rPr>
      </w:pPr>
      <w:r>
        <w:rPr>
          <w:rFonts w:hint="eastAsia" w:ascii="宋体" w:hAnsi="宋体" w:eastAsia="宋体" w:cs="宋体"/>
          <w:spacing w:val="12"/>
          <w:sz w:val="23"/>
          <w:szCs w:val="23"/>
        </w:rPr>
        <w:t>为贯彻落</w:t>
      </w:r>
      <w:r>
        <w:rPr>
          <w:rFonts w:hint="eastAsia" w:ascii="宋体" w:hAnsi="宋体" w:eastAsia="宋体" w:cs="宋体"/>
          <w:spacing w:val="8"/>
          <w:sz w:val="23"/>
          <w:szCs w:val="23"/>
        </w:rPr>
        <w:t>实</w:t>
      </w:r>
      <w:r>
        <w:rPr>
          <w:rFonts w:hint="eastAsia" w:ascii="宋体" w:hAnsi="宋体" w:eastAsia="宋体" w:cs="宋体"/>
          <w:spacing w:val="6"/>
          <w:sz w:val="23"/>
          <w:szCs w:val="23"/>
        </w:rPr>
        <w:t>《关于促进中小企业健康发展的指导意见》，发挥政府采购政策</w:t>
      </w:r>
      <w:r>
        <w:rPr>
          <w:rFonts w:hint="eastAsia" w:ascii="宋体" w:hAnsi="宋体" w:eastAsia="宋体" w:cs="宋体"/>
          <w:sz w:val="23"/>
          <w:szCs w:val="23"/>
        </w:rPr>
        <w:t xml:space="preserve"> </w:t>
      </w:r>
      <w:r>
        <w:rPr>
          <w:rFonts w:hint="eastAsia" w:ascii="宋体" w:hAnsi="宋体" w:eastAsia="宋体" w:cs="宋体"/>
          <w:spacing w:val="7"/>
          <w:sz w:val="23"/>
          <w:szCs w:val="23"/>
        </w:rPr>
        <w:t>功能，促进中小企业发展，根据《中华人民共和国政府采购法》、《中华人民</w:t>
      </w:r>
      <w:r>
        <w:rPr>
          <w:rFonts w:hint="eastAsia" w:ascii="宋体" w:hAnsi="宋体" w:eastAsia="宋体" w:cs="宋体"/>
          <w:spacing w:val="5"/>
          <w:sz w:val="23"/>
          <w:szCs w:val="23"/>
        </w:rPr>
        <w:t>共</w:t>
      </w:r>
      <w:r>
        <w:rPr>
          <w:rFonts w:hint="eastAsia" w:ascii="宋体" w:hAnsi="宋体" w:eastAsia="宋体" w:cs="宋体"/>
          <w:sz w:val="23"/>
          <w:szCs w:val="23"/>
        </w:rPr>
        <w:t xml:space="preserve"> </w:t>
      </w:r>
      <w:r>
        <w:rPr>
          <w:rFonts w:hint="eastAsia" w:ascii="宋体" w:hAnsi="宋体" w:eastAsia="宋体" w:cs="宋体"/>
          <w:spacing w:val="8"/>
          <w:sz w:val="23"/>
          <w:szCs w:val="23"/>
        </w:rPr>
        <w:t>和</w:t>
      </w:r>
      <w:r>
        <w:rPr>
          <w:rFonts w:hint="eastAsia" w:ascii="宋体" w:hAnsi="宋体" w:eastAsia="宋体" w:cs="宋体"/>
          <w:spacing w:val="7"/>
          <w:sz w:val="23"/>
          <w:szCs w:val="23"/>
        </w:rPr>
        <w:t>国中小企业促进法》等法律法规，财政部、工业和信息化部制定了《政府采购</w:t>
      </w:r>
      <w:r>
        <w:rPr>
          <w:rFonts w:hint="eastAsia" w:ascii="宋体" w:hAnsi="宋体" w:eastAsia="宋体" w:cs="宋体"/>
          <w:sz w:val="23"/>
          <w:szCs w:val="23"/>
        </w:rPr>
        <w:t xml:space="preserve"> </w:t>
      </w:r>
      <w:r>
        <w:rPr>
          <w:rFonts w:hint="eastAsia" w:ascii="宋体" w:hAnsi="宋体" w:eastAsia="宋体" w:cs="宋体"/>
          <w:spacing w:val="15"/>
          <w:sz w:val="23"/>
          <w:szCs w:val="23"/>
        </w:rPr>
        <w:t>促</w:t>
      </w:r>
      <w:r>
        <w:rPr>
          <w:rFonts w:hint="eastAsia" w:ascii="宋体" w:hAnsi="宋体" w:eastAsia="宋体" w:cs="宋体"/>
          <w:spacing w:val="9"/>
          <w:sz w:val="23"/>
          <w:szCs w:val="23"/>
        </w:rPr>
        <w:t>进中小企业发展管理办法》。现印发给你们，请遵照执行。</w:t>
      </w:r>
    </w:p>
    <w:p w14:paraId="10D6CFDB">
      <w:pPr>
        <w:spacing w:before="260" w:line="227" w:lineRule="auto"/>
        <w:ind w:left="42"/>
        <w:rPr>
          <w:rFonts w:hint="eastAsia" w:ascii="宋体" w:hAnsi="宋体" w:eastAsia="宋体" w:cs="宋体"/>
          <w:sz w:val="23"/>
          <w:szCs w:val="23"/>
        </w:rPr>
      </w:pPr>
      <w:r>
        <w:rPr>
          <w:rFonts w:hint="eastAsia" w:ascii="宋体" w:hAnsi="宋体" w:eastAsia="宋体" w:cs="宋体"/>
          <w:spacing w:val="16"/>
          <w:sz w:val="23"/>
          <w:szCs w:val="23"/>
        </w:rPr>
        <w:t>附</w:t>
      </w:r>
      <w:r>
        <w:rPr>
          <w:rFonts w:hint="eastAsia" w:ascii="宋体" w:hAnsi="宋体" w:eastAsia="宋体" w:cs="宋体"/>
          <w:spacing w:val="9"/>
          <w:sz w:val="23"/>
          <w:szCs w:val="23"/>
        </w:rPr>
        <w:t>件</w:t>
      </w:r>
      <w:r>
        <w:rPr>
          <w:rFonts w:hint="eastAsia" w:ascii="宋体" w:hAnsi="宋体" w:eastAsia="宋体" w:cs="宋体"/>
          <w:spacing w:val="8"/>
          <w:sz w:val="23"/>
          <w:szCs w:val="23"/>
        </w:rPr>
        <w:t>：政府采购促进中小企业发展管理办法</w:t>
      </w:r>
    </w:p>
    <w:p w14:paraId="0478600D">
      <w:pPr>
        <w:spacing w:line="384" w:lineRule="auto"/>
        <w:rPr>
          <w:rFonts w:hint="eastAsia" w:ascii="宋体" w:hAnsi="宋体" w:eastAsia="宋体" w:cs="宋体"/>
          <w:sz w:val="21"/>
        </w:rPr>
      </w:pPr>
    </w:p>
    <w:p w14:paraId="0153B897">
      <w:pPr>
        <w:tabs>
          <w:tab w:val="left" w:pos="6652"/>
        </w:tabs>
        <w:spacing w:before="74" w:line="526" w:lineRule="auto"/>
        <w:ind w:right="99"/>
        <w:jc w:val="both"/>
        <w:rPr>
          <w:rFonts w:hint="eastAsia" w:ascii="宋体" w:hAnsi="宋体" w:eastAsia="宋体" w:cs="宋体"/>
          <w:sz w:val="23"/>
          <w:szCs w:val="23"/>
        </w:rPr>
      </w:pPr>
      <w:r>
        <w:rPr>
          <w:rFonts w:hint="eastAsia" w:ascii="宋体" w:hAnsi="宋体" w:eastAsia="宋体" w:cs="宋体"/>
          <w:spacing w:val="9"/>
          <w:sz w:val="23"/>
          <w:szCs w:val="23"/>
        </w:rPr>
        <w:t>财</w:t>
      </w:r>
      <w:r>
        <w:rPr>
          <w:rFonts w:hint="eastAsia" w:ascii="宋体" w:hAnsi="宋体" w:eastAsia="宋体" w:cs="宋体"/>
          <w:spacing w:val="5"/>
          <w:sz w:val="23"/>
          <w:szCs w:val="23"/>
        </w:rPr>
        <w:t xml:space="preserve">   政   部</w:t>
      </w:r>
      <w:r>
        <w:rPr>
          <w:rFonts w:hint="eastAsia" w:ascii="宋体" w:hAnsi="宋体" w:eastAsia="宋体" w:cs="宋体"/>
          <w:sz w:val="23"/>
          <w:szCs w:val="23"/>
        </w:rPr>
        <w:t xml:space="preserve"> </w:t>
      </w:r>
      <w:r>
        <w:rPr>
          <w:rFonts w:hint="eastAsia" w:ascii="宋体" w:hAnsi="宋体" w:eastAsia="宋体" w:cs="宋体"/>
          <w:sz w:val="23"/>
          <w:szCs w:val="23"/>
        </w:rPr>
        <w:tab/>
      </w:r>
    </w:p>
    <w:p w14:paraId="77D6F2B9">
      <w:pPr>
        <w:tabs>
          <w:tab w:val="left" w:pos="6652"/>
        </w:tabs>
        <w:spacing w:before="74" w:line="526" w:lineRule="auto"/>
        <w:ind w:right="99"/>
        <w:jc w:val="both"/>
        <w:rPr>
          <w:rFonts w:hint="eastAsia" w:ascii="宋体" w:hAnsi="宋体" w:eastAsia="宋体" w:cs="宋体"/>
          <w:sz w:val="23"/>
          <w:szCs w:val="23"/>
        </w:rPr>
      </w:pPr>
      <w:r>
        <w:rPr>
          <w:rFonts w:hint="eastAsia" w:ascii="宋体" w:hAnsi="宋体" w:eastAsia="宋体" w:cs="宋体"/>
          <w:spacing w:val="10"/>
          <w:sz w:val="23"/>
          <w:szCs w:val="23"/>
        </w:rPr>
        <w:t>工</w:t>
      </w:r>
      <w:r>
        <w:rPr>
          <w:rFonts w:hint="eastAsia" w:ascii="宋体" w:hAnsi="宋体" w:eastAsia="宋体" w:cs="宋体"/>
          <w:spacing w:val="8"/>
          <w:sz w:val="23"/>
          <w:szCs w:val="23"/>
        </w:rPr>
        <w:t>业和信息化部</w:t>
      </w:r>
      <w:r>
        <w:rPr>
          <w:rFonts w:hint="eastAsia" w:ascii="宋体" w:hAnsi="宋体" w:eastAsia="宋体" w:cs="宋体"/>
          <w:sz w:val="23"/>
          <w:szCs w:val="23"/>
        </w:rPr>
        <w:t xml:space="preserve"> </w:t>
      </w:r>
    </w:p>
    <w:p w14:paraId="25AA54B1">
      <w:pPr>
        <w:tabs>
          <w:tab w:val="left" w:pos="6652"/>
        </w:tabs>
        <w:spacing w:before="74" w:line="526" w:lineRule="auto"/>
        <w:ind w:right="99"/>
        <w:jc w:val="both"/>
        <w:rPr>
          <w:rFonts w:hint="eastAsia" w:ascii="宋体" w:hAnsi="宋体" w:eastAsia="宋体" w:cs="宋体"/>
          <w:sz w:val="23"/>
          <w:szCs w:val="23"/>
        </w:rPr>
      </w:pPr>
      <w:r>
        <w:rPr>
          <w:rFonts w:hint="eastAsia" w:ascii="宋体" w:hAnsi="宋体" w:eastAsia="宋体" w:cs="宋体"/>
          <w:spacing w:val="-23"/>
          <w:sz w:val="23"/>
          <w:szCs w:val="23"/>
        </w:rPr>
        <w:t>2</w:t>
      </w:r>
      <w:r>
        <w:rPr>
          <w:rFonts w:hint="eastAsia" w:ascii="宋体" w:hAnsi="宋体" w:eastAsia="宋体" w:cs="宋体"/>
          <w:spacing w:val="-13"/>
          <w:sz w:val="23"/>
          <w:szCs w:val="23"/>
        </w:rPr>
        <w:t>020 年 12 月 18 日</w:t>
      </w:r>
    </w:p>
    <w:p w14:paraId="31850949">
      <w:pPr>
        <w:spacing w:before="1" w:line="226" w:lineRule="auto"/>
        <w:ind w:left="42"/>
        <w:rPr>
          <w:rFonts w:hint="eastAsia" w:ascii="宋体" w:hAnsi="宋体" w:eastAsia="宋体" w:cs="宋体"/>
          <w:spacing w:val="-4"/>
          <w:sz w:val="23"/>
          <w:szCs w:val="23"/>
        </w:rPr>
      </w:pPr>
    </w:p>
    <w:p w14:paraId="43633B7A">
      <w:pPr>
        <w:spacing w:before="1" w:line="226" w:lineRule="auto"/>
        <w:ind w:left="42"/>
        <w:rPr>
          <w:rFonts w:hint="eastAsia" w:ascii="宋体" w:hAnsi="宋体" w:eastAsia="宋体" w:cs="宋体"/>
          <w:sz w:val="21"/>
        </w:rPr>
      </w:pPr>
      <w:r>
        <w:rPr>
          <w:rFonts w:hint="eastAsia" w:ascii="宋体" w:hAnsi="宋体" w:eastAsia="宋体" w:cs="宋体"/>
          <w:spacing w:val="-4"/>
          <w:sz w:val="23"/>
          <w:szCs w:val="23"/>
        </w:rPr>
        <w:t>附</w:t>
      </w:r>
      <w:r>
        <w:rPr>
          <w:rFonts w:hint="eastAsia" w:ascii="宋体" w:hAnsi="宋体" w:eastAsia="宋体" w:cs="宋体"/>
          <w:spacing w:val="-3"/>
          <w:sz w:val="23"/>
          <w:szCs w:val="23"/>
        </w:rPr>
        <w:t>件</w:t>
      </w:r>
      <w:r>
        <w:rPr>
          <w:rFonts w:hint="eastAsia" w:ascii="宋体" w:hAnsi="宋体" w:eastAsia="宋体" w:cs="宋体"/>
          <w:spacing w:val="-2"/>
          <w:sz w:val="23"/>
          <w:szCs w:val="23"/>
        </w:rPr>
        <w:t>：</w:t>
      </w:r>
    </w:p>
    <w:p w14:paraId="2CD5F55A">
      <w:pPr>
        <w:spacing w:before="102" w:line="224" w:lineRule="auto"/>
        <w:ind w:left="1990"/>
        <w:rPr>
          <w:rFonts w:hint="eastAsia" w:ascii="宋体" w:hAnsi="宋体" w:eastAsia="宋体" w:cs="宋体"/>
          <w:b/>
          <w:bCs/>
          <w:sz w:val="28"/>
          <w:szCs w:val="28"/>
        </w:rPr>
      </w:pPr>
      <w:r>
        <w:rPr>
          <w:rFonts w:hint="eastAsia" w:ascii="宋体" w:hAnsi="宋体" w:eastAsia="宋体" w:cs="宋体"/>
          <w:b/>
          <w:bCs/>
          <w:spacing w:val="11"/>
          <w:sz w:val="28"/>
          <w:szCs w:val="28"/>
          <w:lang w:eastAsia="zh-CN"/>
        </w:rPr>
        <w:t>《</w:t>
      </w:r>
      <w:r>
        <w:rPr>
          <w:rFonts w:hint="eastAsia" w:ascii="宋体" w:hAnsi="宋体" w:eastAsia="宋体" w:cs="宋体"/>
          <w:b/>
          <w:bCs/>
          <w:spacing w:val="11"/>
          <w:sz w:val="28"/>
          <w:szCs w:val="28"/>
        </w:rPr>
        <w:t>政府采购促进中小企业发展管理办法</w:t>
      </w:r>
      <w:r>
        <w:rPr>
          <w:rFonts w:hint="eastAsia" w:ascii="宋体" w:hAnsi="宋体" w:eastAsia="宋体" w:cs="宋体"/>
          <w:b/>
          <w:bCs/>
          <w:spacing w:val="11"/>
          <w:sz w:val="28"/>
          <w:szCs w:val="28"/>
          <w:lang w:eastAsia="zh-CN"/>
        </w:rPr>
        <w:t>》</w:t>
      </w:r>
    </w:p>
    <w:p w14:paraId="3EC64954">
      <w:pPr>
        <w:spacing w:line="344" w:lineRule="auto"/>
        <w:rPr>
          <w:rFonts w:hint="eastAsia" w:ascii="宋体" w:hAnsi="宋体" w:eastAsia="宋体" w:cs="宋体"/>
          <w:sz w:val="21"/>
        </w:rPr>
      </w:pPr>
    </w:p>
    <w:p w14:paraId="6781596A">
      <w:pPr>
        <w:spacing w:before="74" w:line="397" w:lineRule="auto"/>
        <w:ind w:left="144" w:right="54" w:firstLine="707"/>
        <w:rPr>
          <w:rFonts w:hint="eastAsia" w:ascii="宋体" w:hAnsi="宋体" w:eastAsia="宋体" w:cs="宋体"/>
          <w:spacing w:val="-1"/>
          <w:sz w:val="23"/>
          <w:szCs w:val="23"/>
        </w:rPr>
      </w:pPr>
      <w:r>
        <w:rPr>
          <w:rFonts w:hint="eastAsia" w:ascii="宋体" w:hAnsi="宋体" w:eastAsia="宋体" w:cs="宋体"/>
          <w:spacing w:val="-1"/>
          <w:sz w:val="23"/>
          <w:szCs w:val="23"/>
        </w:rPr>
        <w:t>第一条 为了发挥政府采购的政策功能，促进中小企业健康发展，根据《中 华人民共和国政府采购法</w:t>
      </w:r>
      <w:r>
        <w:rPr>
          <w:rFonts w:hint="eastAsia" w:ascii="宋体" w:hAnsi="宋体" w:eastAsia="宋体" w:cs="宋体"/>
          <w:spacing w:val="-1"/>
          <w:sz w:val="23"/>
          <w:szCs w:val="23"/>
        </w:rPr>
        <w:drawing>
          <wp:inline distT="0" distB="0" distL="114300" distR="114300">
            <wp:extent cx="69850" cy="151765"/>
            <wp:effectExtent l="0" t="0" r="6350" b="635"/>
            <wp:docPr id="20" name="图片 1"/>
            <wp:cNvGraphicFramePr/>
            <a:graphic xmlns:a="http://schemas.openxmlformats.org/drawingml/2006/main">
              <a:graphicData uri="http://schemas.openxmlformats.org/drawingml/2006/picture">
                <pic:pic xmlns:pic="http://schemas.openxmlformats.org/drawingml/2006/picture">
                  <pic:nvPicPr>
                    <pic:cNvPr id="20" name="图片 1"/>
                    <pic:cNvPicPr/>
                  </pic:nvPicPr>
                  <pic:blipFill>
                    <a:blip r:embed="rId21"/>
                    <a:stretch>
                      <a:fillRect/>
                    </a:stretch>
                  </pic:blipFill>
                  <pic:spPr>
                    <a:xfrm>
                      <a:off x="0" y="0"/>
                      <a:ext cx="69850" cy="151765"/>
                    </a:xfrm>
                    <a:prstGeom prst="rect">
                      <a:avLst/>
                    </a:prstGeom>
                    <a:noFill/>
                    <a:ln>
                      <a:noFill/>
                    </a:ln>
                  </pic:spPr>
                </pic:pic>
              </a:graphicData>
            </a:graphic>
          </wp:inline>
        </w:drawing>
      </w:r>
      <w:r>
        <w:rPr>
          <w:rFonts w:hint="eastAsia" w:ascii="宋体" w:hAnsi="宋体" w:eastAsia="宋体" w:cs="宋体"/>
          <w:spacing w:val="-1"/>
          <w:sz w:val="23"/>
          <w:szCs w:val="23"/>
        </w:rPr>
        <w:t>《中华人民共和国中小企业促进法》等有关法律法规， 制定本办法。</w:t>
      </w:r>
    </w:p>
    <w:p w14:paraId="16B4C87B">
      <w:pPr>
        <w:spacing w:before="74" w:line="397" w:lineRule="auto"/>
        <w:ind w:left="144" w:right="54" w:firstLine="707"/>
        <w:rPr>
          <w:rFonts w:hint="eastAsia" w:ascii="宋体" w:hAnsi="宋体" w:eastAsia="宋体" w:cs="宋体"/>
          <w:spacing w:val="-1"/>
          <w:sz w:val="23"/>
          <w:szCs w:val="23"/>
        </w:rPr>
      </w:pPr>
      <w:r>
        <w:rPr>
          <w:rFonts w:hint="eastAsia" w:ascii="宋体" w:hAnsi="宋体" w:eastAsia="宋体" w:cs="宋体"/>
          <w:spacing w:val="-1"/>
          <w:sz w:val="23"/>
          <w:szCs w:val="23"/>
        </w:rPr>
        <w:t>第二条 本办法所称中小企业，是指在中华人民共和国境内依法设立，依 据国务院批准的中小企业划分标准确定的中型企业、小型企业和微型企业，但 与大企业的负责人为同一人，或者与大企业存在直接控股、管理关系的除外。</w:t>
      </w:r>
    </w:p>
    <w:p w14:paraId="6348A041">
      <w:pPr>
        <w:spacing w:before="74" w:line="397" w:lineRule="auto"/>
        <w:ind w:left="144" w:right="54" w:firstLine="707"/>
        <w:rPr>
          <w:rFonts w:hint="eastAsia" w:ascii="宋体" w:hAnsi="宋体" w:eastAsia="宋体" w:cs="宋体"/>
          <w:spacing w:val="-1"/>
          <w:sz w:val="23"/>
          <w:szCs w:val="23"/>
        </w:rPr>
      </w:pPr>
      <w:r>
        <w:rPr>
          <w:rFonts w:hint="eastAsia" w:ascii="宋体" w:hAnsi="宋体" w:eastAsia="宋体" w:cs="宋体"/>
          <w:spacing w:val="-1"/>
          <w:sz w:val="23"/>
          <w:szCs w:val="23"/>
        </w:rPr>
        <w:t>符合中小企业划分标准的个体工商户，在政府采购活动中视同中小企业。</w:t>
      </w:r>
    </w:p>
    <w:p w14:paraId="2FDA06A9">
      <w:pPr>
        <w:spacing w:before="74" w:line="397" w:lineRule="auto"/>
        <w:ind w:left="144" w:right="54" w:firstLine="707"/>
        <w:rPr>
          <w:rFonts w:hint="eastAsia" w:ascii="宋体" w:hAnsi="宋体" w:eastAsia="宋体" w:cs="宋体"/>
          <w:sz w:val="23"/>
          <w:szCs w:val="23"/>
        </w:rPr>
      </w:pPr>
      <w:r>
        <w:rPr>
          <w:rFonts w:hint="eastAsia" w:ascii="宋体" w:hAnsi="宋体" w:eastAsia="宋体" w:cs="宋体"/>
          <w:spacing w:val="-1"/>
          <w:sz w:val="23"/>
          <w:szCs w:val="23"/>
        </w:rPr>
        <w:t>第三条 采购人在政府采购活动中应当通过加强采购 需求管理，落 实预留采购份额、价格评审优惠、优先采购等 措施，提高中小企业在政府采</w:t>
      </w:r>
      <w:r>
        <w:rPr>
          <w:rFonts w:hint="eastAsia" w:ascii="宋体" w:hAnsi="宋体" w:eastAsia="宋体" w:cs="宋体"/>
          <w:spacing w:val="24"/>
          <w:sz w:val="23"/>
          <w:szCs w:val="23"/>
        </w:rPr>
        <w:t>购</w:t>
      </w:r>
      <w:r>
        <w:rPr>
          <w:rFonts w:hint="eastAsia" w:ascii="宋体" w:hAnsi="宋体" w:eastAsia="宋体" w:cs="宋体"/>
          <w:spacing w:val="15"/>
          <w:sz w:val="23"/>
          <w:szCs w:val="23"/>
        </w:rPr>
        <w:t>中的份额，支持中小企业发展。</w:t>
      </w:r>
    </w:p>
    <w:p w14:paraId="63C7067F">
      <w:pPr>
        <w:spacing w:before="208" w:line="393" w:lineRule="auto"/>
        <w:ind w:left="144" w:right="59" w:firstLine="707"/>
        <w:rPr>
          <w:rFonts w:hint="eastAsia" w:ascii="宋体" w:hAnsi="宋体" w:eastAsia="宋体" w:cs="宋体"/>
          <w:sz w:val="23"/>
          <w:szCs w:val="23"/>
        </w:rPr>
      </w:pPr>
      <w:r>
        <w:rPr>
          <w:rFonts w:hint="eastAsia" w:ascii="宋体" w:hAnsi="宋体" w:eastAsia="宋体" w:cs="宋体"/>
          <w:spacing w:val="38"/>
          <w:sz w:val="23"/>
          <w:szCs w:val="23"/>
        </w:rPr>
        <w:t>第</w:t>
      </w:r>
      <w:r>
        <w:rPr>
          <w:rFonts w:hint="eastAsia" w:ascii="宋体" w:hAnsi="宋体" w:eastAsia="宋体" w:cs="宋体"/>
          <w:spacing w:val="20"/>
          <w:sz w:val="23"/>
          <w:szCs w:val="23"/>
        </w:rPr>
        <w:t>四条 在政府采购活动中，供应商提供的货物、工程或者服务符</w:t>
      </w:r>
      <w:r>
        <w:rPr>
          <w:rFonts w:hint="eastAsia" w:ascii="宋体" w:hAnsi="宋体" w:eastAsia="宋体" w:cs="宋体"/>
          <w:sz w:val="23"/>
          <w:szCs w:val="23"/>
        </w:rPr>
        <w:t xml:space="preserve"> </w:t>
      </w:r>
      <w:r>
        <w:rPr>
          <w:rFonts w:hint="eastAsia" w:ascii="宋体" w:hAnsi="宋体" w:eastAsia="宋体" w:cs="宋体"/>
          <w:spacing w:val="32"/>
          <w:sz w:val="23"/>
          <w:szCs w:val="23"/>
        </w:rPr>
        <w:t>合</w:t>
      </w:r>
      <w:r>
        <w:rPr>
          <w:rFonts w:hint="eastAsia" w:ascii="宋体" w:hAnsi="宋体" w:eastAsia="宋体" w:cs="宋体"/>
          <w:spacing w:val="25"/>
          <w:sz w:val="23"/>
          <w:szCs w:val="23"/>
        </w:rPr>
        <w:t>下列情形的 ，享受本办法规定的中小企业扶持政策：</w:t>
      </w:r>
    </w:p>
    <w:p w14:paraId="1B9818D3">
      <w:pPr>
        <w:spacing w:line="392" w:lineRule="auto"/>
        <w:ind w:left="143" w:right="40" w:firstLine="719"/>
        <w:rPr>
          <w:rFonts w:hint="eastAsia" w:ascii="宋体" w:hAnsi="宋体" w:eastAsia="宋体" w:cs="宋体"/>
          <w:sz w:val="23"/>
          <w:szCs w:val="23"/>
        </w:rPr>
      </w:pPr>
      <w:r>
        <w:rPr>
          <w:rFonts w:hint="eastAsia" w:ascii="宋体" w:hAnsi="宋体" w:eastAsia="宋体" w:cs="宋体"/>
          <w:spacing w:val="10"/>
          <w:sz w:val="23"/>
          <w:szCs w:val="23"/>
        </w:rPr>
        <w:t>( 一)</w:t>
      </w:r>
      <w:r>
        <w:rPr>
          <w:rFonts w:hint="eastAsia" w:ascii="宋体" w:hAnsi="宋体" w:eastAsia="宋体" w:cs="宋体"/>
          <w:spacing w:val="6"/>
          <w:sz w:val="23"/>
          <w:szCs w:val="23"/>
        </w:rPr>
        <w:t>在</w:t>
      </w:r>
      <w:r>
        <w:rPr>
          <w:rFonts w:hint="eastAsia" w:ascii="宋体" w:hAnsi="宋体" w:eastAsia="宋体" w:cs="宋体"/>
          <w:spacing w:val="5"/>
          <w:sz w:val="23"/>
          <w:szCs w:val="23"/>
        </w:rPr>
        <w:t>货物采购项目中，货物由中小企业制造，即货物由中小企业生产</w:t>
      </w:r>
      <w:r>
        <w:rPr>
          <w:rFonts w:hint="eastAsia" w:ascii="宋体" w:hAnsi="宋体" w:eastAsia="宋体" w:cs="宋体"/>
          <w:spacing w:val="19"/>
          <w:sz w:val="23"/>
          <w:szCs w:val="23"/>
        </w:rPr>
        <w:t>且</w:t>
      </w:r>
      <w:r>
        <w:rPr>
          <w:rFonts w:hint="eastAsia" w:ascii="宋体" w:hAnsi="宋体" w:eastAsia="宋体" w:cs="宋体"/>
          <w:spacing w:val="10"/>
          <w:sz w:val="23"/>
          <w:szCs w:val="23"/>
        </w:rPr>
        <w:t>使用该中小企业商号或者注册商标；</w:t>
      </w:r>
    </w:p>
    <w:p w14:paraId="06CA8954">
      <w:pPr>
        <w:spacing w:before="2" w:line="392" w:lineRule="auto"/>
        <w:ind w:left="147" w:right="40" w:firstLine="715"/>
        <w:rPr>
          <w:rFonts w:hint="eastAsia" w:ascii="宋体" w:hAnsi="宋体" w:eastAsia="宋体" w:cs="宋体"/>
          <w:sz w:val="23"/>
          <w:szCs w:val="23"/>
        </w:rPr>
      </w:pPr>
      <w:r>
        <w:rPr>
          <w:rFonts w:hint="eastAsia" w:ascii="宋体" w:hAnsi="宋体" w:eastAsia="宋体" w:cs="宋体"/>
          <w:spacing w:val="18"/>
          <w:sz w:val="23"/>
          <w:szCs w:val="23"/>
        </w:rPr>
        <w:t>(</w:t>
      </w:r>
      <w:r>
        <w:rPr>
          <w:rFonts w:hint="eastAsia" w:ascii="宋体" w:hAnsi="宋体" w:eastAsia="宋体" w:cs="宋体"/>
          <w:spacing w:val="13"/>
          <w:sz w:val="23"/>
          <w:szCs w:val="23"/>
        </w:rPr>
        <w:t>二</w:t>
      </w:r>
      <w:r>
        <w:rPr>
          <w:rFonts w:hint="eastAsia" w:ascii="宋体" w:hAnsi="宋体" w:eastAsia="宋体" w:cs="宋体"/>
          <w:spacing w:val="9"/>
          <w:sz w:val="23"/>
          <w:szCs w:val="23"/>
        </w:rPr>
        <w:t>)在工程采购项目中，工程由中小企业承建，即工程施工单位为中小</w:t>
      </w:r>
      <w:r>
        <w:rPr>
          <w:rFonts w:hint="eastAsia" w:ascii="宋体" w:hAnsi="宋体" w:eastAsia="宋体" w:cs="宋体"/>
          <w:spacing w:val="2"/>
          <w:sz w:val="23"/>
          <w:szCs w:val="23"/>
        </w:rPr>
        <w:t>企业；</w:t>
      </w:r>
    </w:p>
    <w:p w14:paraId="7CFE8196">
      <w:pPr>
        <w:spacing w:before="3" w:line="392" w:lineRule="auto"/>
        <w:ind w:left="145" w:right="35" w:firstLine="717"/>
        <w:rPr>
          <w:rFonts w:hint="eastAsia" w:ascii="宋体" w:hAnsi="宋体" w:eastAsia="宋体" w:cs="宋体"/>
          <w:sz w:val="23"/>
          <w:szCs w:val="23"/>
        </w:rPr>
      </w:pPr>
      <w:r>
        <w:rPr>
          <w:rFonts w:hint="eastAsia" w:ascii="宋体" w:hAnsi="宋体" w:eastAsia="宋体" w:cs="宋体"/>
          <w:spacing w:val="19"/>
          <w:sz w:val="23"/>
          <w:szCs w:val="23"/>
        </w:rPr>
        <w:t>(</w:t>
      </w:r>
      <w:r>
        <w:rPr>
          <w:rFonts w:hint="eastAsia" w:ascii="宋体" w:hAnsi="宋体" w:eastAsia="宋体" w:cs="宋体"/>
          <w:spacing w:val="15"/>
          <w:sz w:val="23"/>
          <w:szCs w:val="23"/>
        </w:rPr>
        <w:t>三) 在服务采购项目中，服务由中小企业承接，即提供服务的</w:t>
      </w:r>
      <w:r>
        <w:rPr>
          <w:rFonts w:hint="eastAsia" w:ascii="宋体" w:hAnsi="宋体" w:eastAsia="宋体" w:cs="宋体"/>
          <w:sz w:val="23"/>
          <w:szCs w:val="23"/>
        </w:rPr>
        <w:t xml:space="preserve"> </w:t>
      </w:r>
      <w:r>
        <w:rPr>
          <w:rFonts w:hint="eastAsia" w:ascii="宋体" w:hAnsi="宋体" w:eastAsia="宋体" w:cs="宋体"/>
          <w:spacing w:val="48"/>
          <w:sz w:val="23"/>
          <w:szCs w:val="23"/>
        </w:rPr>
        <w:t>人</w:t>
      </w:r>
      <w:r>
        <w:rPr>
          <w:rFonts w:hint="eastAsia" w:ascii="宋体" w:hAnsi="宋体" w:eastAsia="宋体" w:cs="宋体"/>
          <w:spacing w:val="25"/>
          <w:sz w:val="23"/>
          <w:szCs w:val="23"/>
        </w:rPr>
        <w:t>员</w:t>
      </w:r>
      <w:r>
        <w:rPr>
          <w:rFonts w:hint="eastAsia" w:ascii="宋体" w:hAnsi="宋体" w:eastAsia="宋体" w:cs="宋体"/>
          <w:spacing w:val="24"/>
          <w:sz w:val="23"/>
          <w:szCs w:val="23"/>
        </w:rPr>
        <w:t>为中小企业依照《中华人民共和国劳动合同法》订立劳动合同的从业</w:t>
      </w:r>
      <w:r>
        <w:rPr>
          <w:rFonts w:hint="eastAsia" w:ascii="宋体" w:hAnsi="宋体" w:eastAsia="宋体" w:cs="宋体"/>
          <w:spacing w:val="3"/>
          <w:sz w:val="23"/>
          <w:szCs w:val="23"/>
        </w:rPr>
        <w:t>人员</w:t>
      </w:r>
      <w:r>
        <w:rPr>
          <w:rFonts w:hint="eastAsia" w:ascii="宋体" w:hAnsi="宋体" w:eastAsia="宋体" w:cs="宋体"/>
          <w:spacing w:val="2"/>
          <w:sz w:val="23"/>
          <w:szCs w:val="23"/>
        </w:rPr>
        <w:t>。</w:t>
      </w:r>
    </w:p>
    <w:p w14:paraId="315974B0">
      <w:pPr>
        <w:spacing w:before="2" w:line="392" w:lineRule="auto"/>
        <w:ind w:left="150" w:right="35" w:firstLine="699"/>
        <w:rPr>
          <w:rFonts w:hint="eastAsia" w:ascii="宋体" w:hAnsi="宋体" w:eastAsia="宋体" w:cs="宋体"/>
          <w:sz w:val="23"/>
          <w:szCs w:val="23"/>
        </w:rPr>
      </w:pPr>
      <w:r>
        <w:rPr>
          <w:rFonts w:hint="eastAsia" w:ascii="宋体" w:hAnsi="宋体" w:eastAsia="宋体" w:cs="宋体"/>
          <w:spacing w:val="18"/>
          <w:sz w:val="23"/>
          <w:szCs w:val="23"/>
        </w:rPr>
        <w:t>在</w:t>
      </w:r>
      <w:r>
        <w:rPr>
          <w:rFonts w:hint="eastAsia" w:ascii="宋体" w:hAnsi="宋体" w:eastAsia="宋体" w:cs="宋体"/>
          <w:spacing w:val="10"/>
          <w:sz w:val="23"/>
          <w:szCs w:val="23"/>
        </w:rPr>
        <w:t>货物采购项目中，供应商提供的货物既有中小企业制造货物，也有大</w:t>
      </w:r>
      <w:r>
        <w:rPr>
          <w:rFonts w:hint="eastAsia" w:ascii="宋体" w:hAnsi="宋体" w:eastAsia="宋体" w:cs="宋体"/>
          <w:spacing w:val="9"/>
          <w:sz w:val="23"/>
          <w:szCs w:val="23"/>
        </w:rPr>
        <w:t>型企业制造货物的，不享受本办法规定的中小企业扶持政策。</w:t>
      </w:r>
    </w:p>
    <w:p w14:paraId="56601406">
      <w:pPr>
        <w:spacing w:before="3" w:line="392" w:lineRule="auto"/>
        <w:ind w:left="143" w:right="250" w:firstLine="735"/>
        <w:rPr>
          <w:rFonts w:hint="eastAsia" w:ascii="宋体" w:hAnsi="宋体" w:eastAsia="宋体" w:cs="宋体"/>
          <w:sz w:val="23"/>
          <w:szCs w:val="23"/>
        </w:rPr>
      </w:pPr>
      <w:r>
        <w:rPr>
          <w:rFonts w:hint="eastAsia" w:ascii="宋体" w:hAnsi="宋体" w:eastAsia="宋体" w:cs="宋体"/>
          <w:spacing w:val="14"/>
          <w:sz w:val="23"/>
          <w:szCs w:val="23"/>
        </w:rPr>
        <w:t>以</w:t>
      </w:r>
      <w:r>
        <w:rPr>
          <w:rFonts w:hint="eastAsia" w:ascii="宋体" w:hAnsi="宋体" w:eastAsia="宋体" w:cs="宋体"/>
          <w:spacing w:val="7"/>
          <w:sz w:val="23"/>
          <w:szCs w:val="23"/>
        </w:rPr>
        <w:t>联合体形式参加政府采购活动，联合体各方均为中小企业的，联合</w:t>
      </w:r>
      <w:r>
        <w:rPr>
          <w:rFonts w:hint="eastAsia" w:ascii="宋体" w:hAnsi="宋体" w:eastAsia="宋体" w:cs="宋体"/>
          <w:spacing w:val="6"/>
          <w:sz w:val="23"/>
          <w:szCs w:val="23"/>
        </w:rPr>
        <w:t>体视同中小企</w:t>
      </w:r>
      <w:r>
        <w:rPr>
          <w:rFonts w:hint="eastAsia" w:ascii="宋体" w:hAnsi="宋体" w:eastAsia="宋体" w:cs="宋体"/>
          <w:spacing w:val="3"/>
          <w:sz w:val="23"/>
          <w:szCs w:val="23"/>
        </w:rPr>
        <w:t>业。其中，联合体各方均为小微企业的，联合体视同小微企业。</w:t>
      </w:r>
    </w:p>
    <w:p w14:paraId="04DF304D">
      <w:pPr>
        <w:spacing w:before="1" w:line="226" w:lineRule="auto"/>
        <w:ind w:left="851"/>
        <w:rPr>
          <w:rFonts w:hint="eastAsia" w:ascii="宋体" w:hAnsi="宋体" w:eastAsia="宋体" w:cs="宋体"/>
          <w:sz w:val="23"/>
          <w:szCs w:val="23"/>
        </w:rPr>
      </w:pPr>
      <w:r>
        <w:rPr>
          <w:rFonts w:hint="eastAsia" w:ascii="宋体" w:hAnsi="宋体" w:eastAsia="宋体" w:cs="宋体"/>
          <w:spacing w:val="37"/>
          <w:sz w:val="23"/>
          <w:szCs w:val="23"/>
        </w:rPr>
        <w:t>第</w:t>
      </w:r>
      <w:r>
        <w:rPr>
          <w:rFonts w:hint="eastAsia" w:ascii="宋体" w:hAnsi="宋体" w:eastAsia="宋体" w:cs="宋体"/>
          <w:spacing w:val="29"/>
          <w:sz w:val="23"/>
          <w:szCs w:val="23"/>
        </w:rPr>
        <w:t>五条 采购人在政府采购活动中应当合理确定采购项目的采购</w:t>
      </w:r>
    </w:p>
    <w:p w14:paraId="58568EA6">
      <w:pPr>
        <w:spacing w:before="207" w:line="393" w:lineRule="auto"/>
        <w:ind w:left="143" w:right="337" w:firstLine="13"/>
        <w:rPr>
          <w:rFonts w:hint="eastAsia" w:ascii="宋体" w:hAnsi="宋体" w:eastAsia="宋体" w:cs="宋体"/>
          <w:sz w:val="23"/>
          <w:szCs w:val="23"/>
        </w:rPr>
      </w:pPr>
      <w:r>
        <w:rPr>
          <w:rFonts w:hint="eastAsia" w:ascii="宋体" w:hAnsi="宋体" w:eastAsia="宋体" w:cs="宋体"/>
          <w:spacing w:val="14"/>
          <w:sz w:val="23"/>
          <w:szCs w:val="23"/>
        </w:rPr>
        <w:t>需求</w:t>
      </w:r>
      <w:r>
        <w:rPr>
          <w:rFonts w:hint="eastAsia" w:ascii="宋体" w:hAnsi="宋体" w:eastAsia="宋体" w:cs="宋体"/>
          <w:spacing w:val="11"/>
          <w:sz w:val="23"/>
          <w:szCs w:val="23"/>
        </w:rPr>
        <w:t>，</w:t>
      </w:r>
      <w:r>
        <w:rPr>
          <w:rFonts w:hint="eastAsia" w:ascii="宋体" w:hAnsi="宋体" w:eastAsia="宋体" w:cs="宋体"/>
          <w:spacing w:val="7"/>
          <w:sz w:val="23"/>
          <w:szCs w:val="23"/>
        </w:rPr>
        <w:t>不得以企业注册资本、资产总额、营业收入、从业人员、利润、纳税</w:t>
      </w:r>
      <w:r>
        <w:rPr>
          <w:rFonts w:hint="eastAsia" w:ascii="宋体" w:hAnsi="宋体" w:eastAsia="宋体" w:cs="宋体"/>
          <w:spacing w:val="8"/>
          <w:sz w:val="23"/>
          <w:szCs w:val="23"/>
        </w:rPr>
        <w:t>额等规模条件和财务指标作为供应商的资格要求或者评审因素，不得在企</w:t>
      </w:r>
      <w:r>
        <w:rPr>
          <w:rFonts w:hint="eastAsia" w:ascii="宋体" w:hAnsi="宋体" w:eastAsia="宋体" w:cs="宋体"/>
          <w:spacing w:val="7"/>
          <w:sz w:val="23"/>
          <w:szCs w:val="23"/>
        </w:rPr>
        <w:t>业</w:t>
      </w:r>
      <w:r>
        <w:rPr>
          <w:rFonts w:hint="eastAsia" w:ascii="宋体" w:hAnsi="宋体" w:eastAsia="宋体" w:cs="宋体"/>
          <w:spacing w:val="19"/>
          <w:sz w:val="23"/>
          <w:szCs w:val="23"/>
        </w:rPr>
        <w:t>股</w:t>
      </w:r>
      <w:r>
        <w:rPr>
          <w:rFonts w:hint="eastAsia" w:ascii="宋体" w:hAnsi="宋体" w:eastAsia="宋体" w:cs="宋体"/>
          <w:spacing w:val="10"/>
          <w:sz w:val="23"/>
          <w:szCs w:val="23"/>
        </w:rPr>
        <w:t>权结构、经营 年限等方面对中小企业实行差别待遇或者歧视待遇。</w:t>
      </w:r>
    </w:p>
    <w:p w14:paraId="77BA018B">
      <w:pPr>
        <w:spacing w:before="1" w:line="225" w:lineRule="auto"/>
        <w:ind w:left="851"/>
        <w:rPr>
          <w:rFonts w:hint="eastAsia" w:ascii="宋体" w:hAnsi="宋体" w:eastAsia="宋体" w:cs="宋体"/>
          <w:sz w:val="23"/>
          <w:szCs w:val="23"/>
        </w:rPr>
      </w:pPr>
      <w:r>
        <w:rPr>
          <w:rFonts w:hint="eastAsia" w:ascii="宋体" w:hAnsi="宋体" w:eastAsia="宋体" w:cs="宋体"/>
          <w:spacing w:val="37"/>
          <w:sz w:val="23"/>
          <w:szCs w:val="23"/>
        </w:rPr>
        <w:t>第</w:t>
      </w:r>
      <w:r>
        <w:rPr>
          <w:rFonts w:hint="eastAsia" w:ascii="宋体" w:hAnsi="宋体" w:eastAsia="宋体" w:cs="宋体"/>
          <w:spacing w:val="29"/>
          <w:sz w:val="23"/>
          <w:szCs w:val="23"/>
        </w:rPr>
        <w:t>六条 主管预算单位应当组织评估本部门及所属单位政府采购</w:t>
      </w:r>
    </w:p>
    <w:p w14:paraId="3E33E66E">
      <w:pPr>
        <w:spacing w:before="205" w:line="398" w:lineRule="auto"/>
        <w:ind w:left="142" w:right="330" w:firstLine="4"/>
        <w:rPr>
          <w:rFonts w:hint="eastAsia" w:ascii="宋体" w:hAnsi="宋体" w:eastAsia="宋体" w:cs="宋体"/>
          <w:sz w:val="23"/>
          <w:szCs w:val="23"/>
        </w:rPr>
      </w:pPr>
      <w:r>
        <w:rPr>
          <w:rFonts w:hint="eastAsia" w:ascii="宋体" w:hAnsi="宋体" w:eastAsia="宋体" w:cs="宋体"/>
          <w:spacing w:val="8"/>
          <w:sz w:val="23"/>
          <w:szCs w:val="23"/>
        </w:rPr>
        <w:t>项目，统筹制定面向中小企业预留采购份额的具体方案，对适宜由中小企</w:t>
      </w:r>
      <w:r>
        <w:rPr>
          <w:rFonts w:hint="eastAsia" w:ascii="宋体" w:hAnsi="宋体" w:eastAsia="宋体" w:cs="宋体"/>
          <w:spacing w:val="3"/>
          <w:sz w:val="23"/>
          <w:szCs w:val="23"/>
        </w:rPr>
        <w:t>业</w:t>
      </w:r>
      <w:r>
        <w:rPr>
          <w:rFonts w:hint="eastAsia" w:ascii="宋体" w:hAnsi="宋体" w:eastAsia="宋体" w:cs="宋体"/>
          <w:spacing w:val="15"/>
          <w:sz w:val="23"/>
          <w:szCs w:val="23"/>
        </w:rPr>
        <w:t>提</w:t>
      </w:r>
      <w:r>
        <w:rPr>
          <w:rFonts w:hint="eastAsia" w:ascii="宋体" w:hAnsi="宋体" w:eastAsia="宋体" w:cs="宋体"/>
          <w:spacing w:val="8"/>
          <w:sz w:val="23"/>
          <w:szCs w:val="23"/>
        </w:rPr>
        <w:t>供的采购项目和采购包，预留采购份额专门面向中小企业采购，并在政府</w:t>
      </w:r>
      <w:r>
        <w:rPr>
          <w:rFonts w:hint="eastAsia" w:ascii="宋体" w:hAnsi="宋体" w:eastAsia="宋体" w:cs="宋体"/>
          <w:sz w:val="23"/>
          <w:szCs w:val="23"/>
        </w:rPr>
        <w:t xml:space="preserve"> </w:t>
      </w:r>
      <w:r>
        <w:rPr>
          <w:rFonts w:hint="eastAsia" w:ascii="宋体" w:hAnsi="宋体" w:eastAsia="宋体" w:cs="宋体"/>
          <w:spacing w:val="12"/>
          <w:sz w:val="23"/>
          <w:szCs w:val="23"/>
        </w:rPr>
        <w:t>采</w:t>
      </w:r>
      <w:r>
        <w:rPr>
          <w:rFonts w:hint="eastAsia" w:ascii="宋体" w:hAnsi="宋体" w:eastAsia="宋体" w:cs="宋体"/>
          <w:spacing w:val="9"/>
          <w:sz w:val="23"/>
          <w:szCs w:val="23"/>
        </w:rPr>
        <w:t>购预算中单独列示。</w:t>
      </w:r>
    </w:p>
    <w:p w14:paraId="540AB39E">
      <w:pPr>
        <w:spacing w:before="4" w:line="227" w:lineRule="auto"/>
        <w:ind w:left="853"/>
        <w:rPr>
          <w:rFonts w:hint="eastAsia" w:ascii="宋体" w:hAnsi="宋体" w:eastAsia="宋体" w:cs="宋体"/>
          <w:sz w:val="23"/>
          <w:szCs w:val="23"/>
        </w:rPr>
      </w:pPr>
      <w:r>
        <w:rPr>
          <w:rFonts w:hint="eastAsia" w:ascii="宋体" w:hAnsi="宋体" w:eastAsia="宋体" w:cs="宋体"/>
          <w:spacing w:val="8"/>
          <w:sz w:val="23"/>
          <w:szCs w:val="23"/>
        </w:rPr>
        <w:t>符合下列情</w:t>
      </w:r>
      <w:r>
        <w:rPr>
          <w:rFonts w:hint="eastAsia" w:ascii="宋体" w:hAnsi="宋体" w:eastAsia="宋体" w:cs="宋体"/>
          <w:spacing w:val="4"/>
          <w:sz w:val="23"/>
          <w:szCs w:val="23"/>
        </w:rPr>
        <w:t>形之一的，可不专门面向中小企业预留采购份额：</w:t>
      </w:r>
    </w:p>
    <w:p w14:paraId="7C1F44F6">
      <w:pPr>
        <w:spacing w:before="209" w:line="393" w:lineRule="auto"/>
        <w:ind w:left="143" w:right="337" w:firstLine="714"/>
        <w:rPr>
          <w:rFonts w:hint="eastAsia" w:ascii="宋体" w:hAnsi="宋体" w:eastAsia="宋体" w:cs="宋体"/>
          <w:sz w:val="23"/>
          <w:szCs w:val="23"/>
        </w:rPr>
      </w:pPr>
      <w:r>
        <w:rPr>
          <w:rFonts w:hint="eastAsia" w:ascii="宋体" w:hAnsi="宋体" w:eastAsia="宋体" w:cs="宋体"/>
          <w:spacing w:val="18"/>
          <w:sz w:val="23"/>
          <w:szCs w:val="23"/>
        </w:rPr>
        <w:t>(</w:t>
      </w:r>
      <w:r>
        <w:rPr>
          <w:rFonts w:hint="eastAsia" w:ascii="宋体" w:hAnsi="宋体" w:eastAsia="宋体" w:cs="宋体"/>
          <w:spacing w:val="15"/>
          <w:sz w:val="23"/>
          <w:szCs w:val="23"/>
        </w:rPr>
        <w:t xml:space="preserve"> 一 )法律法规和国家有关政策明确规定优先或者应当面向事业单</w:t>
      </w:r>
      <w:r>
        <w:rPr>
          <w:rFonts w:hint="eastAsia" w:ascii="宋体" w:hAnsi="宋体" w:eastAsia="宋体" w:cs="宋体"/>
          <w:sz w:val="23"/>
          <w:szCs w:val="23"/>
        </w:rPr>
        <w:t xml:space="preserve"> </w:t>
      </w:r>
      <w:r>
        <w:rPr>
          <w:rFonts w:hint="eastAsia" w:ascii="宋体" w:hAnsi="宋体" w:eastAsia="宋体" w:cs="宋体"/>
          <w:spacing w:val="14"/>
          <w:sz w:val="23"/>
          <w:szCs w:val="23"/>
        </w:rPr>
        <w:t>位</w:t>
      </w:r>
      <w:r>
        <w:rPr>
          <w:rFonts w:hint="eastAsia" w:ascii="宋体" w:hAnsi="宋体" w:eastAsia="宋体" w:cs="宋体"/>
          <w:spacing w:val="10"/>
          <w:sz w:val="23"/>
          <w:szCs w:val="23"/>
        </w:rPr>
        <w:t>、社会组织等非企业主体采购的；</w:t>
      </w:r>
    </w:p>
    <w:p w14:paraId="007E4CBA">
      <w:pPr>
        <w:spacing w:before="1" w:line="454" w:lineRule="auto"/>
        <w:ind w:left="144" w:right="337" w:firstLine="718"/>
        <w:rPr>
          <w:rFonts w:hint="eastAsia" w:ascii="宋体" w:hAnsi="宋体" w:eastAsia="宋体" w:cs="宋体"/>
          <w:sz w:val="23"/>
          <w:szCs w:val="23"/>
        </w:rPr>
      </w:pPr>
      <w:r>
        <w:rPr>
          <w:rFonts w:hint="eastAsia" w:ascii="宋体" w:hAnsi="宋体" w:eastAsia="宋体" w:cs="宋体"/>
          <w:spacing w:val="18"/>
          <w:sz w:val="23"/>
          <w:szCs w:val="23"/>
        </w:rPr>
        <w:t>(</w:t>
      </w:r>
      <w:r>
        <w:rPr>
          <w:rFonts w:hint="eastAsia" w:ascii="宋体" w:hAnsi="宋体" w:eastAsia="宋体" w:cs="宋体"/>
          <w:spacing w:val="11"/>
          <w:sz w:val="23"/>
          <w:szCs w:val="23"/>
        </w:rPr>
        <w:t>二) 因确需使用不可替代的专利、专有技术，基础设施限制，或者</w:t>
      </w:r>
      <w:r>
        <w:rPr>
          <w:rFonts w:hint="eastAsia" w:ascii="宋体" w:hAnsi="宋体" w:eastAsia="宋体" w:cs="宋体"/>
          <w:sz w:val="23"/>
          <w:szCs w:val="23"/>
        </w:rPr>
        <w:t xml:space="preserve"> </w:t>
      </w:r>
      <w:r>
        <w:rPr>
          <w:rFonts w:hint="eastAsia" w:ascii="宋体" w:hAnsi="宋体" w:eastAsia="宋体" w:cs="宋体"/>
          <w:spacing w:val="20"/>
          <w:sz w:val="23"/>
          <w:szCs w:val="23"/>
        </w:rPr>
        <w:t>提供</w:t>
      </w:r>
      <w:r>
        <w:rPr>
          <w:rFonts w:hint="eastAsia" w:ascii="宋体" w:hAnsi="宋体" w:eastAsia="宋体" w:cs="宋体"/>
          <w:spacing w:val="10"/>
          <w:sz w:val="23"/>
          <w:szCs w:val="23"/>
        </w:rPr>
        <w:t>特定公共服务等原因，只能从中小企业之外的供应商处采购的</w:t>
      </w:r>
      <w:r>
        <w:rPr>
          <w:rFonts w:hint="eastAsia" w:ascii="宋体" w:hAnsi="宋体" w:eastAsia="宋体" w:cs="宋体"/>
          <w:spacing w:val="10"/>
          <w:position w:val="-1"/>
          <w:sz w:val="23"/>
          <w:szCs w:val="23"/>
        </w:rPr>
        <w:t>；</w:t>
      </w:r>
    </w:p>
    <w:p w14:paraId="6323515C">
      <w:pPr>
        <w:spacing w:before="1" w:line="226" w:lineRule="auto"/>
        <w:ind w:left="862"/>
        <w:rPr>
          <w:rFonts w:hint="eastAsia" w:ascii="宋体" w:hAnsi="宋体" w:eastAsia="宋体" w:cs="宋体"/>
          <w:sz w:val="23"/>
          <w:szCs w:val="23"/>
        </w:rPr>
      </w:pPr>
      <w:r>
        <w:rPr>
          <w:rFonts w:hint="eastAsia" w:ascii="宋体" w:hAnsi="宋体" w:eastAsia="宋体" w:cs="宋体"/>
          <w:spacing w:val="24"/>
          <w:sz w:val="23"/>
          <w:szCs w:val="23"/>
        </w:rPr>
        <w:t>(</w:t>
      </w:r>
      <w:r>
        <w:rPr>
          <w:rFonts w:hint="eastAsia" w:ascii="宋体" w:hAnsi="宋体" w:eastAsia="宋体" w:cs="宋体"/>
          <w:spacing w:val="12"/>
          <w:sz w:val="23"/>
          <w:szCs w:val="23"/>
        </w:rPr>
        <w:t>三) 按照本办法规定预留采购份额无法确保充分供应、充分竞争，</w:t>
      </w:r>
    </w:p>
    <w:p w14:paraId="1379F523">
      <w:pPr>
        <w:spacing w:line="271" w:lineRule="auto"/>
        <w:rPr>
          <w:rFonts w:hint="eastAsia" w:ascii="宋体" w:hAnsi="宋体" w:eastAsia="宋体" w:cs="宋体"/>
          <w:sz w:val="21"/>
        </w:rPr>
      </w:pPr>
    </w:p>
    <w:p w14:paraId="62F3DDDD">
      <w:pPr>
        <w:spacing w:before="75" w:line="227" w:lineRule="auto"/>
        <w:ind w:left="146"/>
        <w:rPr>
          <w:rFonts w:hint="eastAsia" w:ascii="宋体" w:hAnsi="宋体" w:eastAsia="宋体" w:cs="宋体"/>
          <w:sz w:val="23"/>
          <w:szCs w:val="23"/>
        </w:rPr>
      </w:pPr>
      <w:r>
        <w:rPr>
          <w:rFonts w:hint="eastAsia" w:ascii="宋体" w:hAnsi="宋体" w:eastAsia="宋体" w:cs="宋体"/>
          <w:spacing w:val="9"/>
          <w:sz w:val="23"/>
          <w:szCs w:val="23"/>
        </w:rPr>
        <w:t>或者存在可能影响政府采购目标实现的情形</w:t>
      </w:r>
      <w:r>
        <w:rPr>
          <w:rFonts w:hint="eastAsia" w:ascii="宋体" w:hAnsi="宋体" w:eastAsia="宋体" w:cs="宋体"/>
          <w:spacing w:val="6"/>
          <w:sz w:val="23"/>
          <w:szCs w:val="23"/>
        </w:rPr>
        <w:t>；</w:t>
      </w:r>
    </w:p>
    <w:p w14:paraId="395DB449">
      <w:pPr>
        <w:spacing w:before="206" w:line="227" w:lineRule="auto"/>
        <w:ind w:left="862"/>
        <w:rPr>
          <w:rFonts w:hint="eastAsia" w:ascii="宋体" w:hAnsi="宋体" w:eastAsia="宋体" w:cs="宋体"/>
          <w:sz w:val="23"/>
          <w:szCs w:val="23"/>
        </w:rPr>
      </w:pPr>
      <w:r>
        <w:rPr>
          <w:rFonts w:hint="eastAsia" w:ascii="宋体" w:hAnsi="宋体" w:eastAsia="宋体" w:cs="宋体"/>
          <w:spacing w:val="17"/>
          <w:sz w:val="23"/>
          <w:szCs w:val="23"/>
        </w:rPr>
        <w:t>(四) 框架协议采购项目</w:t>
      </w:r>
      <w:r>
        <w:rPr>
          <w:rFonts w:hint="eastAsia" w:ascii="宋体" w:hAnsi="宋体" w:eastAsia="宋体" w:cs="宋体"/>
          <w:spacing w:val="16"/>
          <w:sz w:val="23"/>
          <w:szCs w:val="23"/>
        </w:rPr>
        <w:t>；</w:t>
      </w:r>
    </w:p>
    <w:p w14:paraId="636B7168">
      <w:pPr>
        <w:spacing w:before="228" w:line="509" w:lineRule="exact"/>
        <w:ind w:left="862"/>
        <w:rPr>
          <w:rFonts w:hint="eastAsia" w:ascii="宋体" w:hAnsi="宋体" w:eastAsia="宋体" w:cs="宋体"/>
          <w:sz w:val="23"/>
          <w:szCs w:val="23"/>
        </w:rPr>
      </w:pPr>
      <w:r>
        <w:rPr>
          <w:rFonts w:hint="eastAsia" w:ascii="宋体" w:hAnsi="宋体" w:eastAsia="宋体" w:cs="宋体"/>
          <w:spacing w:val="28"/>
          <w:position w:val="20"/>
          <w:sz w:val="23"/>
          <w:szCs w:val="23"/>
        </w:rPr>
        <w:t>(</w:t>
      </w:r>
      <w:r>
        <w:rPr>
          <w:rFonts w:hint="eastAsia" w:ascii="宋体" w:hAnsi="宋体" w:eastAsia="宋体" w:cs="宋体"/>
          <w:spacing w:val="18"/>
          <w:position w:val="20"/>
          <w:sz w:val="23"/>
          <w:szCs w:val="23"/>
        </w:rPr>
        <w:t>五</w:t>
      </w:r>
      <w:r>
        <w:rPr>
          <w:rFonts w:hint="eastAsia" w:ascii="宋体" w:hAnsi="宋体" w:eastAsia="宋体" w:cs="宋体"/>
          <w:spacing w:val="14"/>
          <w:position w:val="20"/>
          <w:sz w:val="23"/>
          <w:szCs w:val="23"/>
        </w:rPr>
        <w:t>) 省级以上人民政府财政部门规定的其他情形。</w:t>
      </w:r>
    </w:p>
    <w:p w14:paraId="32B69C72">
      <w:pPr>
        <w:spacing w:line="227" w:lineRule="auto"/>
        <w:ind w:left="865"/>
        <w:rPr>
          <w:rFonts w:hint="eastAsia" w:ascii="宋体" w:hAnsi="宋体" w:eastAsia="宋体" w:cs="宋体"/>
          <w:sz w:val="23"/>
          <w:szCs w:val="23"/>
        </w:rPr>
      </w:pPr>
      <w:r>
        <w:rPr>
          <w:rFonts w:hint="eastAsia" w:ascii="宋体" w:hAnsi="宋体" w:eastAsia="宋体" w:cs="宋体"/>
          <w:spacing w:val="17"/>
          <w:sz w:val="23"/>
          <w:szCs w:val="23"/>
        </w:rPr>
        <w:t>除</w:t>
      </w:r>
      <w:r>
        <w:rPr>
          <w:rFonts w:hint="eastAsia" w:ascii="宋体" w:hAnsi="宋体" w:eastAsia="宋体" w:cs="宋体"/>
          <w:spacing w:val="10"/>
          <w:sz w:val="23"/>
          <w:szCs w:val="23"/>
        </w:rPr>
        <w:t>上述情形外，其他均为适宜由中小企业提供的情形。</w:t>
      </w:r>
    </w:p>
    <w:p w14:paraId="43D954DB">
      <w:pPr>
        <w:spacing w:before="205" w:line="454" w:lineRule="auto"/>
        <w:ind w:left="149" w:right="332" w:firstLine="702"/>
        <w:rPr>
          <w:rFonts w:hint="eastAsia" w:ascii="宋体" w:hAnsi="宋体" w:eastAsia="宋体" w:cs="宋体"/>
          <w:sz w:val="23"/>
          <w:szCs w:val="23"/>
        </w:rPr>
      </w:pPr>
      <w:r>
        <w:rPr>
          <w:rFonts w:hint="eastAsia" w:ascii="宋体" w:hAnsi="宋体" w:eastAsia="宋体" w:cs="宋体"/>
          <w:spacing w:val="1"/>
          <w:sz w:val="23"/>
          <w:szCs w:val="23"/>
        </w:rPr>
        <w:t>第七条 采购限额标准以上，200 万元</w:t>
      </w:r>
      <w:r>
        <w:rPr>
          <w:rFonts w:hint="eastAsia" w:ascii="宋体" w:hAnsi="宋体" w:eastAsia="宋体" w:cs="宋体"/>
          <w:sz w:val="23"/>
          <w:szCs w:val="23"/>
        </w:rPr>
        <w:t xml:space="preserve">以下的货物和服务采购项目、400 </w:t>
      </w:r>
      <w:r>
        <w:rPr>
          <w:rFonts w:hint="eastAsia" w:ascii="宋体" w:hAnsi="宋体" w:eastAsia="宋体" w:cs="宋体"/>
          <w:spacing w:val="22"/>
          <w:sz w:val="23"/>
          <w:szCs w:val="23"/>
        </w:rPr>
        <w:t>万</w:t>
      </w:r>
      <w:r>
        <w:rPr>
          <w:rFonts w:hint="eastAsia" w:ascii="宋体" w:hAnsi="宋体" w:eastAsia="宋体" w:cs="宋体"/>
          <w:spacing w:val="15"/>
          <w:sz w:val="23"/>
          <w:szCs w:val="23"/>
        </w:rPr>
        <w:t>元以下的工程采购项目，适宜由中小企业提供的</w:t>
      </w:r>
      <w:r>
        <w:rPr>
          <w:rFonts w:hint="eastAsia" w:ascii="宋体" w:hAnsi="宋体" w:eastAsia="宋体" w:cs="宋体"/>
          <w:spacing w:val="15"/>
          <w:position w:val="-1"/>
          <w:sz w:val="23"/>
          <w:szCs w:val="23"/>
        </w:rPr>
        <w:t>，采购人应当专门面向</w:t>
      </w:r>
    </w:p>
    <w:p w14:paraId="4CDD0B5B">
      <w:pPr>
        <w:spacing w:before="1" w:line="226" w:lineRule="auto"/>
        <w:ind w:left="166"/>
        <w:rPr>
          <w:rFonts w:hint="eastAsia" w:ascii="宋体" w:hAnsi="宋体" w:eastAsia="宋体" w:cs="宋体"/>
          <w:sz w:val="23"/>
          <w:szCs w:val="23"/>
        </w:rPr>
      </w:pPr>
      <w:r>
        <w:rPr>
          <w:rFonts w:hint="eastAsia" w:ascii="宋体" w:hAnsi="宋体" w:eastAsia="宋体" w:cs="宋体"/>
          <w:spacing w:val="8"/>
          <w:sz w:val="23"/>
          <w:szCs w:val="23"/>
        </w:rPr>
        <w:t>中</w:t>
      </w:r>
      <w:r>
        <w:rPr>
          <w:rFonts w:hint="eastAsia" w:ascii="宋体" w:hAnsi="宋体" w:eastAsia="宋体" w:cs="宋体"/>
          <w:spacing w:val="4"/>
          <w:sz w:val="23"/>
          <w:szCs w:val="23"/>
        </w:rPr>
        <w:t>小企业采购。</w:t>
      </w:r>
    </w:p>
    <w:p w14:paraId="2CF25E10">
      <w:pPr>
        <w:spacing w:before="207" w:line="393" w:lineRule="auto"/>
        <w:ind w:left="142" w:right="330" w:firstLine="708"/>
        <w:rPr>
          <w:rFonts w:hint="eastAsia" w:ascii="宋体" w:hAnsi="宋体" w:eastAsia="宋体" w:cs="宋体"/>
          <w:sz w:val="23"/>
          <w:szCs w:val="23"/>
        </w:rPr>
      </w:pPr>
      <w:r>
        <w:rPr>
          <w:rFonts w:hint="eastAsia" w:ascii="宋体" w:hAnsi="宋体" w:eastAsia="宋体" w:cs="宋体"/>
          <w:spacing w:val="4"/>
          <w:sz w:val="23"/>
          <w:szCs w:val="23"/>
        </w:rPr>
        <w:t>第八条 超过 200 万元的货物和服务采购项目、超过 400 万元的</w:t>
      </w:r>
      <w:r>
        <w:rPr>
          <w:rFonts w:hint="eastAsia" w:ascii="宋体" w:hAnsi="宋体" w:eastAsia="宋体" w:cs="宋体"/>
          <w:spacing w:val="1"/>
          <w:sz w:val="23"/>
          <w:szCs w:val="23"/>
        </w:rPr>
        <w:t>工</w:t>
      </w:r>
      <w:r>
        <w:rPr>
          <w:rFonts w:hint="eastAsia" w:ascii="宋体" w:hAnsi="宋体" w:eastAsia="宋体" w:cs="宋体"/>
          <w:sz w:val="23"/>
          <w:szCs w:val="23"/>
        </w:rPr>
        <w:t xml:space="preserve">程 </w:t>
      </w:r>
      <w:r>
        <w:rPr>
          <w:rFonts w:hint="eastAsia" w:ascii="宋体" w:hAnsi="宋体" w:eastAsia="宋体" w:cs="宋体"/>
          <w:spacing w:val="14"/>
          <w:sz w:val="23"/>
          <w:szCs w:val="23"/>
        </w:rPr>
        <w:t>采购项</w:t>
      </w:r>
      <w:r>
        <w:rPr>
          <w:rFonts w:hint="eastAsia" w:ascii="宋体" w:hAnsi="宋体" w:eastAsia="宋体" w:cs="宋体"/>
          <w:spacing w:val="12"/>
          <w:sz w:val="23"/>
          <w:szCs w:val="23"/>
        </w:rPr>
        <w:t>目</w:t>
      </w:r>
      <w:r>
        <w:rPr>
          <w:rFonts w:hint="eastAsia" w:ascii="宋体" w:hAnsi="宋体" w:eastAsia="宋体" w:cs="宋体"/>
          <w:spacing w:val="7"/>
          <w:sz w:val="23"/>
          <w:szCs w:val="23"/>
        </w:rPr>
        <w:t>中适宜由中小企业提供的，预留该部分采购项目预算总额的 30%以</w:t>
      </w:r>
      <w:r>
        <w:rPr>
          <w:rFonts w:hint="eastAsia" w:ascii="宋体" w:hAnsi="宋体" w:eastAsia="宋体" w:cs="宋体"/>
          <w:sz w:val="23"/>
          <w:szCs w:val="23"/>
        </w:rPr>
        <w:t xml:space="preserve"> </w:t>
      </w:r>
      <w:r>
        <w:rPr>
          <w:rFonts w:hint="eastAsia" w:ascii="宋体" w:hAnsi="宋体" w:eastAsia="宋体" w:cs="宋体"/>
          <w:spacing w:val="14"/>
          <w:sz w:val="23"/>
          <w:szCs w:val="23"/>
        </w:rPr>
        <w:t>上专</w:t>
      </w:r>
      <w:r>
        <w:rPr>
          <w:rFonts w:hint="eastAsia" w:ascii="宋体" w:hAnsi="宋体" w:eastAsia="宋体" w:cs="宋体"/>
          <w:spacing w:val="12"/>
          <w:sz w:val="23"/>
          <w:szCs w:val="23"/>
        </w:rPr>
        <w:t>门</w:t>
      </w:r>
      <w:r>
        <w:rPr>
          <w:rFonts w:hint="eastAsia" w:ascii="宋体" w:hAnsi="宋体" w:eastAsia="宋体" w:cs="宋体"/>
          <w:spacing w:val="7"/>
          <w:sz w:val="23"/>
          <w:szCs w:val="23"/>
        </w:rPr>
        <w:t>面向中小企业采购，  其中预留给小微企业的比例不低于 60%。预留</w:t>
      </w:r>
      <w:r>
        <w:rPr>
          <w:rFonts w:hint="eastAsia" w:ascii="宋体" w:hAnsi="宋体" w:eastAsia="宋体" w:cs="宋体"/>
          <w:sz w:val="23"/>
          <w:szCs w:val="23"/>
        </w:rPr>
        <w:t xml:space="preserve"> </w:t>
      </w:r>
      <w:r>
        <w:rPr>
          <w:rFonts w:hint="eastAsia" w:ascii="宋体" w:hAnsi="宋体" w:eastAsia="宋体" w:cs="宋体"/>
          <w:spacing w:val="8"/>
          <w:sz w:val="23"/>
          <w:szCs w:val="23"/>
        </w:rPr>
        <w:t>份额通过下列 措施进行：</w:t>
      </w:r>
    </w:p>
    <w:p w14:paraId="3A0DE14D">
      <w:pPr>
        <w:spacing w:line="230" w:lineRule="auto"/>
        <w:ind w:left="862"/>
        <w:rPr>
          <w:rFonts w:hint="eastAsia" w:ascii="宋体" w:hAnsi="宋体" w:eastAsia="宋体" w:cs="宋体"/>
          <w:sz w:val="23"/>
          <w:szCs w:val="23"/>
        </w:rPr>
      </w:pPr>
      <w:r>
        <w:rPr>
          <w:rFonts w:hint="eastAsia" w:ascii="宋体" w:hAnsi="宋体" w:eastAsia="宋体" w:cs="宋体"/>
          <w:spacing w:val="16"/>
          <w:sz w:val="23"/>
          <w:szCs w:val="23"/>
        </w:rPr>
        <w:t xml:space="preserve">( </w:t>
      </w:r>
      <w:r>
        <w:rPr>
          <w:rFonts w:hint="eastAsia" w:ascii="宋体" w:hAnsi="宋体" w:eastAsia="宋体" w:cs="宋体"/>
          <w:spacing w:val="13"/>
          <w:sz w:val="23"/>
          <w:szCs w:val="23"/>
        </w:rPr>
        <w:t>一</w:t>
      </w:r>
      <w:r>
        <w:rPr>
          <w:rFonts w:hint="eastAsia" w:ascii="宋体" w:hAnsi="宋体" w:eastAsia="宋体" w:cs="宋体"/>
          <w:spacing w:val="8"/>
          <w:sz w:val="23"/>
          <w:szCs w:val="23"/>
        </w:rPr>
        <w:t>)将采购项目整体或者设置采购包专门面向中小企业采购；</w:t>
      </w:r>
    </w:p>
    <w:p w14:paraId="0F5DBDA7">
      <w:pPr>
        <w:spacing w:before="206" w:line="392" w:lineRule="auto"/>
        <w:ind w:left="143" w:right="332" w:firstLine="719"/>
        <w:rPr>
          <w:rFonts w:hint="eastAsia" w:ascii="宋体" w:hAnsi="宋体" w:eastAsia="宋体" w:cs="宋体"/>
          <w:sz w:val="23"/>
          <w:szCs w:val="23"/>
        </w:rPr>
      </w:pPr>
      <w:r>
        <w:rPr>
          <w:rFonts w:hint="eastAsia" w:ascii="宋体" w:hAnsi="宋体" w:eastAsia="宋体" w:cs="宋体"/>
          <w:spacing w:val="30"/>
          <w:sz w:val="23"/>
          <w:szCs w:val="23"/>
        </w:rPr>
        <w:t>(</w:t>
      </w:r>
      <w:r>
        <w:rPr>
          <w:rFonts w:hint="eastAsia" w:ascii="宋体" w:hAnsi="宋体" w:eastAsia="宋体" w:cs="宋体"/>
          <w:spacing w:val="18"/>
          <w:sz w:val="23"/>
          <w:szCs w:val="23"/>
        </w:rPr>
        <w:t>二</w:t>
      </w:r>
      <w:r>
        <w:rPr>
          <w:rFonts w:hint="eastAsia" w:ascii="宋体" w:hAnsi="宋体" w:eastAsia="宋体" w:cs="宋体"/>
          <w:spacing w:val="15"/>
          <w:sz w:val="23"/>
          <w:szCs w:val="23"/>
        </w:rPr>
        <w:t>)要求供应商以联合体形式参加采购活动，且联合体中中小企业</w:t>
      </w:r>
      <w:r>
        <w:rPr>
          <w:rFonts w:hint="eastAsia" w:ascii="宋体" w:hAnsi="宋体" w:eastAsia="宋体" w:cs="宋体"/>
          <w:sz w:val="23"/>
          <w:szCs w:val="23"/>
        </w:rPr>
        <w:t xml:space="preserve"> </w:t>
      </w:r>
      <w:r>
        <w:rPr>
          <w:rFonts w:hint="eastAsia" w:ascii="宋体" w:hAnsi="宋体" w:eastAsia="宋体" w:cs="宋体"/>
          <w:spacing w:val="18"/>
          <w:sz w:val="23"/>
          <w:szCs w:val="23"/>
        </w:rPr>
        <w:t>承</w:t>
      </w:r>
      <w:r>
        <w:rPr>
          <w:rFonts w:hint="eastAsia" w:ascii="宋体" w:hAnsi="宋体" w:eastAsia="宋体" w:cs="宋体"/>
          <w:spacing w:val="9"/>
          <w:sz w:val="23"/>
          <w:szCs w:val="23"/>
        </w:rPr>
        <w:t>担的部分达到一定比例；</w:t>
      </w:r>
    </w:p>
    <w:p w14:paraId="2D9B029E">
      <w:pPr>
        <w:spacing w:before="2" w:line="394" w:lineRule="auto"/>
        <w:ind w:left="145" w:right="332" w:firstLine="717"/>
        <w:rPr>
          <w:rFonts w:hint="eastAsia" w:ascii="宋体" w:hAnsi="宋体" w:eastAsia="宋体" w:cs="宋体"/>
          <w:sz w:val="23"/>
          <w:szCs w:val="23"/>
        </w:rPr>
      </w:pPr>
      <w:r>
        <w:rPr>
          <w:rFonts w:hint="eastAsia" w:ascii="宋体" w:hAnsi="宋体" w:eastAsia="宋体" w:cs="宋体"/>
          <w:spacing w:val="30"/>
          <w:sz w:val="23"/>
          <w:szCs w:val="23"/>
        </w:rPr>
        <w:t>(</w:t>
      </w:r>
      <w:r>
        <w:rPr>
          <w:rFonts w:hint="eastAsia" w:ascii="宋体" w:hAnsi="宋体" w:eastAsia="宋体" w:cs="宋体"/>
          <w:spacing w:val="18"/>
          <w:sz w:val="23"/>
          <w:szCs w:val="23"/>
        </w:rPr>
        <w:t>三</w:t>
      </w:r>
      <w:r>
        <w:rPr>
          <w:rFonts w:hint="eastAsia" w:ascii="宋体" w:hAnsi="宋体" w:eastAsia="宋体" w:cs="宋体"/>
          <w:spacing w:val="15"/>
          <w:sz w:val="23"/>
          <w:szCs w:val="23"/>
        </w:rPr>
        <w:t>)要求获得采购合同的供应商将采购项目中的一定比例分包给一</w:t>
      </w:r>
      <w:r>
        <w:rPr>
          <w:rFonts w:hint="eastAsia" w:ascii="宋体" w:hAnsi="宋体" w:eastAsia="宋体" w:cs="宋体"/>
          <w:sz w:val="23"/>
          <w:szCs w:val="23"/>
        </w:rPr>
        <w:t xml:space="preserve"> </w:t>
      </w:r>
      <w:r>
        <w:rPr>
          <w:rFonts w:hint="eastAsia" w:ascii="宋体" w:hAnsi="宋体" w:eastAsia="宋体" w:cs="宋体"/>
          <w:spacing w:val="14"/>
          <w:sz w:val="23"/>
          <w:szCs w:val="23"/>
        </w:rPr>
        <w:t>家</w:t>
      </w:r>
      <w:r>
        <w:rPr>
          <w:rFonts w:hint="eastAsia" w:ascii="宋体" w:hAnsi="宋体" w:eastAsia="宋体" w:cs="宋体"/>
          <w:spacing w:val="9"/>
          <w:sz w:val="23"/>
          <w:szCs w:val="23"/>
        </w:rPr>
        <w:t>或者多家中小企业。</w:t>
      </w:r>
    </w:p>
    <w:p w14:paraId="723CB43A">
      <w:pPr>
        <w:spacing w:before="2" w:line="392" w:lineRule="auto"/>
        <w:ind w:left="146" w:right="291" w:firstLine="707"/>
        <w:rPr>
          <w:rFonts w:hint="eastAsia" w:ascii="宋体" w:hAnsi="宋体" w:eastAsia="宋体" w:cs="宋体"/>
          <w:sz w:val="23"/>
          <w:szCs w:val="23"/>
        </w:rPr>
      </w:pPr>
      <w:r>
        <w:rPr>
          <w:rFonts w:hint="eastAsia" w:ascii="宋体" w:hAnsi="宋体" w:eastAsia="宋体" w:cs="宋体"/>
          <w:spacing w:val="46"/>
          <w:sz w:val="23"/>
          <w:szCs w:val="23"/>
        </w:rPr>
        <w:t>组</w:t>
      </w:r>
      <w:r>
        <w:rPr>
          <w:rFonts w:hint="eastAsia" w:ascii="宋体" w:hAnsi="宋体" w:eastAsia="宋体" w:cs="宋体"/>
          <w:spacing w:val="26"/>
          <w:sz w:val="23"/>
          <w:szCs w:val="23"/>
        </w:rPr>
        <w:t>成联合体或者接受分包合同的中小企业与联合体内其他企业、</w:t>
      </w:r>
      <w:r>
        <w:rPr>
          <w:rFonts w:hint="eastAsia" w:ascii="宋体" w:hAnsi="宋体" w:eastAsia="宋体" w:cs="宋体"/>
          <w:sz w:val="23"/>
          <w:szCs w:val="23"/>
        </w:rPr>
        <w:t xml:space="preserve"> </w:t>
      </w:r>
      <w:r>
        <w:rPr>
          <w:rFonts w:hint="eastAsia" w:ascii="宋体" w:hAnsi="宋体" w:eastAsia="宋体" w:cs="宋体"/>
          <w:spacing w:val="20"/>
          <w:sz w:val="23"/>
          <w:szCs w:val="23"/>
        </w:rPr>
        <w:t>分</w:t>
      </w:r>
      <w:r>
        <w:rPr>
          <w:rFonts w:hint="eastAsia" w:ascii="宋体" w:hAnsi="宋体" w:eastAsia="宋体" w:cs="宋体"/>
          <w:spacing w:val="13"/>
          <w:sz w:val="23"/>
          <w:szCs w:val="23"/>
        </w:rPr>
        <w:t>包</w:t>
      </w:r>
      <w:r>
        <w:rPr>
          <w:rFonts w:hint="eastAsia" w:ascii="宋体" w:hAnsi="宋体" w:eastAsia="宋体" w:cs="宋体"/>
          <w:spacing w:val="10"/>
          <w:sz w:val="23"/>
          <w:szCs w:val="23"/>
        </w:rPr>
        <w:t>企业之间不得存在直接控股、管理关系。</w:t>
      </w:r>
    </w:p>
    <w:p w14:paraId="60AA1A3A">
      <w:pPr>
        <w:spacing w:before="7" w:line="392" w:lineRule="auto"/>
        <w:ind w:left="141" w:right="330" w:firstLine="709"/>
        <w:rPr>
          <w:rFonts w:hint="eastAsia" w:ascii="宋体" w:hAnsi="宋体" w:eastAsia="宋体" w:cs="宋体"/>
          <w:sz w:val="23"/>
          <w:szCs w:val="23"/>
        </w:rPr>
      </w:pPr>
      <w:r>
        <w:rPr>
          <w:rFonts w:hint="eastAsia" w:ascii="宋体" w:hAnsi="宋体" w:eastAsia="宋体" w:cs="宋体"/>
          <w:spacing w:val="37"/>
          <w:sz w:val="23"/>
          <w:szCs w:val="23"/>
        </w:rPr>
        <w:t>第</w:t>
      </w:r>
      <w:r>
        <w:rPr>
          <w:rFonts w:hint="eastAsia" w:ascii="宋体" w:hAnsi="宋体" w:eastAsia="宋体" w:cs="宋体"/>
          <w:spacing w:val="29"/>
          <w:sz w:val="23"/>
          <w:szCs w:val="23"/>
        </w:rPr>
        <w:t>九条 对于经主管预算单位统筹后未预留份额专门面向中小企</w:t>
      </w:r>
      <w:r>
        <w:rPr>
          <w:rFonts w:hint="eastAsia" w:ascii="宋体" w:hAnsi="宋体" w:eastAsia="宋体" w:cs="宋体"/>
          <w:sz w:val="23"/>
          <w:szCs w:val="23"/>
        </w:rPr>
        <w:t xml:space="preserve"> </w:t>
      </w:r>
      <w:r>
        <w:rPr>
          <w:rFonts w:hint="eastAsia" w:ascii="宋体" w:hAnsi="宋体" w:eastAsia="宋体" w:cs="宋体"/>
          <w:spacing w:val="16"/>
          <w:sz w:val="23"/>
          <w:szCs w:val="23"/>
        </w:rPr>
        <w:t>业</w:t>
      </w:r>
      <w:r>
        <w:rPr>
          <w:rFonts w:hint="eastAsia" w:ascii="宋体" w:hAnsi="宋体" w:eastAsia="宋体" w:cs="宋体"/>
          <w:spacing w:val="8"/>
          <w:sz w:val="23"/>
          <w:szCs w:val="23"/>
        </w:rPr>
        <w:t>采购的采购项目，以及预留份额项目中的非预留部分采购包，采购人、采</w:t>
      </w:r>
      <w:r>
        <w:rPr>
          <w:rFonts w:hint="eastAsia" w:ascii="宋体" w:hAnsi="宋体" w:eastAsia="宋体" w:cs="宋体"/>
          <w:sz w:val="23"/>
          <w:szCs w:val="23"/>
        </w:rPr>
        <w:t xml:space="preserve"> </w:t>
      </w:r>
      <w:r>
        <w:rPr>
          <w:rFonts w:hint="eastAsia" w:ascii="宋体" w:hAnsi="宋体" w:eastAsia="宋体" w:cs="宋体"/>
          <w:spacing w:val="10"/>
          <w:sz w:val="23"/>
          <w:szCs w:val="23"/>
        </w:rPr>
        <w:t>购代理机构应当对符合本办法规定的小微企业报价给予 10%— 20%(工程</w:t>
      </w:r>
      <w:r>
        <w:rPr>
          <w:rFonts w:hint="eastAsia" w:ascii="宋体" w:hAnsi="宋体" w:eastAsia="宋体" w:cs="宋体"/>
          <w:spacing w:val="7"/>
          <w:sz w:val="23"/>
          <w:szCs w:val="23"/>
        </w:rPr>
        <w:t>项</w:t>
      </w:r>
      <w:r>
        <w:rPr>
          <w:rFonts w:hint="eastAsia" w:ascii="宋体" w:hAnsi="宋体" w:eastAsia="宋体" w:cs="宋体"/>
          <w:sz w:val="23"/>
          <w:szCs w:val="23"/>
        </w:rPr>
        <w:t xml:space="preserve"> </w:t>
      </w:r>
      <w:r>
        <w:rPr>
          <w:rFonts w:hint="eastAsia" w:ascii="宋体" w:hAnsi="宋体" w:eastAsia="宋体" w:cs="宋体"/>
          <w:spacing w:val="14"/>
          <w:sz w:val="23"/>
          <w:szCs w:val="23"/>
        </w:rPr>
        <w:t>目</w:t>
      </w:r>
      <w:r>
        <w:rPr>
          <w:rFonts w:hint="eastAsia" w:ascii="宋体" w:hAnsi="宋体" w:eastAsia="宋体" w:cs="宋体"/>
          <w:spacing w:val="13"/>
          <w:sz w:val="23"/>
          <w:szCs w:val="23"/>
        </w:rPr>
        <w:t>为</w:t>
      </w:r>
      <w:r>
        <w:rPr>
          <w:rFonts w:hint="eastAsia" w:ascii="宋体" w:hAnsi="宋体" w:eastAsia="宋体" w:cs="宋体"/>
          <w:spacing w:val="7"/>
          <w:sz w:val="23"/>
          <w:szCs w:val="23"/>
        </w:rPr>
        <w:t xml:space="preserve"> 3%— 5%) 的扣除，用扣除后的价格参加评审。适用招标投标法的政府</w:t>
      </w:r>
      <w:r>
        <w:rPr>
          <w:rFonts w:hint="eastAsia" w:ascii="宋体" w:hAnsi="宋体" w:eastAsia="宋体" w:cs="宋体"/>
          <w:sz w:val="23"/>
          <w:szCs w:val="23"/>
        </w:rPr>
        <w:t xml:space="preserve"> </w:t>
      </w:r>
      <w:r>
        <w:rPr>
          <w:rFonts w:hint="eastAsia" w:ascii="宋体" w:hAnsi="宋体" w:eastAsia="宋体" w:cs="宋体"/>
          <w:spacing w:val="16"/>
          <w:sz w:val="23"/>
          <w:szCs w:val="23"/>
        </w:rPr>
        <w:t>采</w:t>
      </w:r>
      <w:r>
        <w:rPr>
          <w:rFonts w:hint="eastAsia" w:ascii="宋体" w:hAnsi="宋体" w:eastAsia="宋体" w:cs="宋体"/>
          <w:spacing w:val="8"/>
          <w:sz w:val="23"/>
          <w:szCs w:val="23"/>
        </w:rPr>
        <w:t>购工程建设项目，采用综合评估法但未采用低价优先法计算价格分的，评</w:t>
      </w:r>
      <w:r>
        <w:rPr>
          <w:rFonts w:hint="eastAsia" w:ascii="宋体" w:hAnsi="宋体" w:eastAsia="宋体" w:cs="宋体"/>
          <w:sz w:val="23"/>
          <w:szCs w:val="23"/>
        </w:rPr>
        <w:t xml:space="preserve"> </w:t>
      </w:r>
      <w:r>
        <w:rPr>
          <w:rFonts w:hint="eastAsia" w:ascii="宋体" w:hAnsi="宋体" w:eastAsia="宋体" w:cs="宋体"/>
          <w:spacing w:val="11"/>
          <w:sz w:val="23"/>
          <w:szCs w:val="23"/>
        </w:rPr>
        <w:t>标时应当在采用原报价进行评分的基础上增加其价格得分的 3%—5%作为</w:t>
      </w:r>
      <w:r>
        <w:rPr>
          <w:rFonts w:hint="eastAsia" w:ascii="宋体" w:hAnsi="宋体" w:eastAsia="宋体" w:cs="宋体"/>
          <w:spacing w:val="10"/>
          <w:sz w:val="23"/>
          <w:szCs w:val="23"/>
        </w:rPr>
        <w:t>其</w:t>
      </w:r>
      <w:r>
        <w:rPr>
          <w:rFonts w:hint="eastAsia" w:ascii="宋体" w:hAnsi="宋体" w:eastAsia="宋体" w:cs="宋体"/>
          <w:sz w:val="23"/>
          <w:szCs w:val="23"/>
        </w:rPr>
        <w:t xml:space="preserve"> </w:t>
      </w:r>
      <w:r>
        <w:rPr>
          <w:rFonts w:hint="eastAsia" w:ascii="宋体" w:hAnsi="宋体" w:eastAsia="宋体" w:cs="宋体"/>
          <w:spacing w:val="4"/>
          <w:sz w:val="23"/>
          <w:szCs w:val="23"/>
        </w:rPr>
        <w:t>价格分</w:t>
      </w:r>
      <w:r>
        <w:rPr>
          <w:rFonts w:hint="eastAsia" w:ascii="宋体" w:hAnsi="宋体" w:eastAsia="宋体" w:cs="宋体"/>
          <w:spacing w:val="3"/>
          <w:sz w:val="23"/>
          <w:szCs w:val="23"/>
        </w:rPr>
        <w:t>。</w:t>
      </w:r>
    </w:p>
    <w:p w14:paraId="0D88FCF2">
      <w:pPr>
        <w:spacing w:line="397" w:lineRule="auto"/>
        <w:ind w:left="145" w:right="30" w:firstLine="705"/>
        <w:rPr>
          <w:rFonts w:hint="eastAsia" w:ascii="宋体" w:hAnsi="宋体" w:eastAsia="宋体" w:cs="宋体"/>
          <w:sz w:val="23"/>
          <w:szCs w:val="23"/>
        </w:rPr>
      </w:pPr>
      <w:r>
        <w:rPr>
          <w:rFonts w:hint="eastAsia" w:ascii="宋体" w:hAnsi="宋体" w:eastAsia="宋体" w:cs="宋体"/>
          <w:spacing w:val="14"/>
          <w:sz w:val="23"/>
          <w:szCs w:val="23"/>
        </w:rPr>
        <w:t>接</w:t>
      </w:r>
      <w:r>
        <w:rPr>
          <w:rFonts w:hint="eastAsia" w:ascii="宋体" w:hAnsi="宋体" w:eastAsia="宋体" w:cs="宋体"/>
          <w:spacing w:val="13"/>
          <w:sz w:val="23"/>
          <w:szCs w:val="23"/>
        </w:rPr>
        <w:t>受大 中型企业与 小微 企业组成联合体或者 允许大 中型企业向一</w:t>
      </w:r>
      <w:r>
        <w:rPr>
          <w:rFonts w:hint="eastAsia" w:ascii="宋体" w:hAnsi="宋体" w:eastAsia="宋体" w:cs="宋体"/>
          <w:sz w:val="23"/>
          <w:szCs w:val="23"/>
        </w:rPr>
        <w:t xml:space="preserve"> </w:t>
      </w:r>
      <w:r>
        <w:rPr>
          <w:rFonts w:hint="eastAsia" w:ascii="宋体" w:hAnsi="宋体" w:eastAsia="宋体" w:cs="宋体"/>
          <w:spacing w:val="24"/>
          <w:sz w:val="23"/>
          <w:szCs w:val="23"/>
        </w:rPr>
        <w:t>家</w:t>
      </w:r>
      <w:r>
        <w:rPr>
          <w:rFonts w:hint="eastAsia" w:ascii="宋体" w:hAnsi="宋体" w:eastAsia="宋体" w:cs="宋体"/>
          <w:spacing w:val="14"/>
          <w:sz w:val="23"/>
          <w:szCs w:val="23"/>
        </w:rPr>
        <w:t>或</w:t>
      </w:r>
      <w:r>
        <w:rPr>
          <w:rFonts w:hint="eastAsia" w:ascii="宋体" w:hAnsi="宋体" w:eastAsia="宋体" w:cs="宋体"/>
          <w:spacing w:val="12"/>
          <w:sz w:val="23"/>
          <w:szCs w:val="23"/>
        </w:rPr>
        <w:t>者多家小微企业分包的采购项目，对于联合协议或者分包意 向协议约定</w:t>
      </w:r>
      <w:r>
        <w:rPr>
          <w:rFonts w:hint="eastAsia" w:ascii="宋体" w:hAnsi="宋体" w:eastAsia="宋体" w:cs="宋体"/>
          <w:sz w:val="23"/>
          <w:szCs w:val="23"/>
        </w:rPr>
        <w:t xml:space="preserve"> </w:t>
      </w:r>
      <w:r>
        <w:rPr>
          <w:rFonts w:hint="eastAsia" w:ascii="宋体" w:hAnsi="宋体" w:eastAsia="宋体" w:cs="宋体"/>
          <w:spacing w:val="14"/>
          <w:sz w:val="23"/>
          <w:szCs w:val="23"/>
        </w:rPr>
        <w:t>小</w:t>
      </w:r>
      <w:r>
        <w:rPr>
          <w:rFonts w:hint="eastAsia" w:ascii="宋体" w:hAnsi="宋体" w:eastAsia="宋体" w:cs="宋体"/>
          <w:spacing w:val="9"/>
          <w:sz w:val="23"/>
          <w:szCs w:val="23"/>
        </w:rPr>
        <w:t>微企业的合 同份额 占到合同总金额 30%以上的，采购人、采购代理机构应</w:t>
      </w:r>
      <w:r>
        <w:rPr>
          <w:rFonts w:hint="eastAsia" w:ascii="宋体" w:hAnsi="宋体" w:eastAsia="宋体" w:cs="宋体"/>
          <w:spacing w:val="12"/>
          <w:sz w:val="23"/>
          <w:szCs w:val="23"/>
        </w:rPr>
        <w:t>当对</w:t>
      </w:r>
      <w:r>
        <w:rPr>
          <w:rFonts w:hint="eastAsia" w:ascii="宋体" w:hAnsi="宋体" w:eastAsia="宋体" w:cs="宋体"/>
          <w:spacing w:val="8"/>
          <w:sz w:val="23"/>
          <w:szCs w:val="23"/>
        </w:rPr>
        <w:t>联</w:t>
      </w:r>
      <w:r>
        <w:rPr>
          <w:rFonts w:hint="eastAsia" w:ascii="宋体" w:hAnsi="宋体" w:eastAsia="宋体" w:cs="宋体"/>
          <w:spacing w:val="6"/>
          <w:sz w:val="23"/>
          <w:szCs w:val="23"/>
        </w:rPr>
        <w:t>合体或者大中型企业的报价给予 4%-6% (工程项目为 3%—5%) 的扣除，</w:t>
      </w:r>
      <w:r>
        <w:rPr>
          <w:rFonts w:hint="eastAsia" w:ascii="宋体" w:hAnsi="宋体" w:eastAsia="宋体" w:cs="宋体"/>
          <w:sz w:val="23"/>
          <w:szCs w:val="23"/>
        </w:rPr>
        <w:t xml:space="preserve"> </w:t>
      </w:r>
      <w:r>
        <w:rPr>
          <w:rFonts w:hint="eastAsia" w:ascii="宋体" w:hAnsi="宋体" w:eastAsia="宋体" w:cs="宋体"/>
          <w:spacing w:val="20"/>
          <w:sz w:val="23"/>
          <w:szCs w:val="23"/>
        </w:rPr>
        <w:t>用</w:t>
      </w:r>
      <w:r>
        <w:rPr>
          <w:rFonts w:hint="eastAsia" w:ascii="宋体" w:hAnsi="宋体" w:eastAsia="宋体" w:cs="宋体"/>
          <w:spacing w:val="13"/>
          <w:sz w:val="23"/>
          <w:szCs w:val="23"/>
        </w:rPr>
        <w:t>扣除后的价格参加评审。适用招标投标法的政府采购 工程建设项目，采用</w:t>
      </w:r>
      <w:r>
        <w:rPr>
          <w:rFonts w:hint="eastAsia" w:ascii="宋体" w:hAnsi="宋体" w:eastAsia="宋体" w:cs="宋体"/>
          <w:sz w:val="23"/>
          <w:szCs w:val="23"/>
        </w:rPr>
        <w:t xml:space="preserve"> </w:t>
      </w:r>
      <w:r>
        <w:rPr>
          <w:rFonts w:hint="eastAsia" w:ascii="宋体" w:hAnsi="宋体" w:eastAsia="宋体" w:cs="宋体"/>
          <w:spacing w:val="11"/>
          <w:sz w:val="23"/>
          <w:szCs w:val="23"/>
        </w:rPr>
        <w:t>综</w:t>
      </w:r>
      <w:r>
        <w:rPr>
          <w:rFonts w:hint="eastAsia" w:ascii="宋体" w:hAnsi="宋体" w:eastAsia="宋体" w:cs="宋体"/>
          <w:spacing w:val="10"/>
          <w:sz w:val="23"/>
          <w:szCs w:val="23"/>
        </w:rPr>
        <w:t>合评估法但未采用低价优先法计算价格分的，评标时应当在采用原报价进行</w:t>
      </w:r>
      <w:r>
        <w:rPr>
          <w:rFonts w:hint="eastAsia" w:ascii="宋体" w:hAnsi="宋体" w:eastAsia="宋体" w:cs="宋体"/>
          <w:sz w:val="23"/>
          <w:szCs w:val="23"/>
        </w:rPr>
        <w:t xml:space="preserve"> </w:t>
      </w:r>
      <w:r>
        <w:rPr>
          <w:rFonts w:hint="eastAsia" w:ascii="宋体" w:hAnsi="宋体" w:eastAsia="宋体" w:cs="宋体"/>
          <w:spacing w:val="3"/>
          <w:sz w:val="23"/>
          <w:szCs w:val="23"/>
        </w:rPr>
        <w:t>评分的基础上增加其 价格得分的 1%—2%作为其价格分。组成联合体或者接受</w:t>
      </w:r>
      <w:r>
        <w:rPr>
          <w:rFonts w:hint="eastAsia" w:ascii="宋体" w:hAnsi="宋体" w:eastAsia="宋体" w:cs="宋体"/>
          <w:sz w:val="23"/>
          <w:szCs w:val="23"/>
        </w:rPr>
        <w:t xml:space="preserve">分 </w:t>
      </w:r>
      <w:r>
        <w:rPr>
          <w:rFonts w:hint="eastAsia" w:ascii="宋体" w:hAnsi="宋体" w:eastAsia="宋体" w:cs="宋体"/>
          <w:spacing w:val="8"/>
          <w:sz w:val="23"/>
          <w:szCs w:val="23"/>
        </w:rPr>
        <w:t>包的小微企业</w:t>
      </w:r>
      <w:r>
        <w:rPr>
          <w:rFonts w:hint="eastAsia" w:ascii="宋体" w:hAnsi="宋体" w:eastAsia="宋体" w:cs="宋体"/>
          <w:spacing w:val="7"/>
          <w:sz w:val="23"/>
          <w:szCs w:val="23"/>
        </w:rPr>
        <w:t>与</w:t>
      </w:r>
      <w:r>
        <w:rPr>
          <w:rFonts w:hint="eastAsia" w:ascii="宋体" w:hAnsi="宋体" w:eastAsia="宋体" w:cs="宋体"/>
          <w:spacing w:val="4"/>
          <w:sz w:val="23"/>
          <w:szCs w:val="23"/>
        </w:rPr>
        <w:t>联合体内其他企业、分包企业之间存在直接控股、管理关系的，</w:t>
      </w:r>
      <w:r>
        <w:rPr>
          <w:rFonts w:hint="eastAsia" w:ascii="宋体" w:hAnsi="宋体" w:eastAsia="宋体" w:cs="宋体"/>
          <w:sz w:val="23"/>
          <w:szCs w:val="23"/>
        </w:rPr>
        <w:t xml:space="preserve"> </w:t>
      </w:r>
      <w:r>
        <w:rPr>
          <w:rFonts w:hint="eastAsia" w:ascii="宋体" w:hAnsi="宋体" w:eastAsia="宋体" w:cs="宋体"/>
          <w:spacing w:val="10"/>
          <w:sz w:val="23"/>
          <w:szCs w:val="23"/>
        </w:rPr>
        <w:t>不享受价格扣除优惠政策</w:t>
      </w:r>
      <w:r>
        <w:rPr>
          <w:rFonts w:hint="eastAsia" w:ascii="宋体" w:hAnsi="宋体" w:eastAsia="宋体" w:cs="宋体"/>
          <w:spacing w:val="8"/>
          <w:sz w:val="23"/>
          <w:szCs w:val="23"/>
        </w:rPr>
        <w:t>。</w:t>
      </w:r>
    </w:p>
    <w:p w14:paraId="7C6184D6">
      <w:pPr>
        <w:spacing w:before="2" w:line="392" w:lineRule="auto"/>
        <w:ind w:left="143" w:right="59" w:firstLine="708"/>
        <w:rPr>
          <w:rFonts w:hint="eastAsia" w:ascii="宋体" w:hAnsi="宋体" w:eastAsia="宋体" w:cs="宋体"/>
          <w:sz w:val="23"/>
          <w:szCs w:val="23"/>
        </w:rPr>
      </w:pPr>
      <w:r>
        <w:rPr>
          <w:rFonts w:hint="eastAsia" w:ascii="宋体" w:hAnsi="宋体" w:eastAsia="宋体" w:cs="宋体"/>
          <w:spacing w:val="17"/>
          <w:sz w:val="23"/>
          <w:szCs w:val="23"/>
        </w:rPr>
        <w:t>价</w:t>
      </w:r>
      <w:r>
        <w:rPr>
          <w:rFonts w:hint="eastAsia" w:ascii="宋体" w:hAnsi="宋体" w:eastAsia="宋体" w:cs="宋体"/>
          <w:spacing w:val="9"/>
          <w:sz w:val="23"/>
          <w:szCs w:val="23"/>
        </w:rPr>
        <w:t>格扣除比例或者价格分加分比例对小型企业和微型企业同等对</w:t>
      </w:r>
      <w:r>
        <w:rPr>
          <w:rFonts w:hint="eastAsia" w:ascii="宋体" w:hAnsi="宋体" w:eastAsia="宋体" w:cs="宋体"/>
          <w:spacing w:val="10"/>
          <w:sz w:val="23"/>
          <w:szCs w:val="23"/>
        </w:rPr>
        <w:t>待，不作区分。具体采购项目的价格扣除比例或者价格分加分比例，由采购</w:t>
      </w:r>
      <w:r>
        <w:rPr>
          <w:rFonts w:hint="eastAsia" w:ascii="宋体" w:hAnsi="宋体" w:eastAsia="宋体" w:cs="宋体"/>
          <w:spacing w:val="7"/>
          <w:sz w:val="23"/>
          <w:szCs w:val="23"/>
        </w:rPr>
        <w:t>人</w:t>
      </w:r>
      <w:r>
        <w:rPr>
          <w:rFonts w:hint="eastAsia" w:ascii="宋体" w:hAnsi="宋体" w:eastAsia="宋体" w:cs="宋体"/>
          <w:spacing w:val="19"/>
          <w:sz w:val="23"/>
          <w:szCs w:val="23"/>
        </w:rPr>
        <w:t>根</w:t>
      </w:r>
      <w:r>
        <w:rPr>
          <w:rFonts w:hint="eastAsia" w:ascii="宋体" w:hAnsi="宋体" w:eastAsia="宋体" w:cs="宋体"/>
          <w:spacing w:val="13"/>
          <w:sz w:val="23"/>
          <w:szCs w:val="23"/>
        </w:rPr>
        <w:t>据采购标的相关行业平均利 润率、市场竞争状况等，在本办法规定的幅度</w:t>
      </w:r>
      <w:r>
        <w:rPr>
          <w:rFonts w:hint="eastAsia" w:ascii="宋体" w:hAnsi="宋体" w:eastAsia="宋体" w:cs="宋体"/>
          <w:sz w:val="23"/>
          <w:szCs w:val="23"/>
        </w:rPr>
        <w:t xml:space="preserve"> </w:t>
      </w:r>
      <w:r>
        <w:rPr>
          <w:rFonts w:hint="eastAsia" w:ascii="宋体" w:hAnsi="宋体" w:eastAsia="宋体" w:cs="宋体"/>
          <w:spacing w:val="5"/>
          <w:sz w:val="23"/>
          <w:szCs w:val="23"/>
        </w:rPr>
        <w:t>内确定。</w:t>
      </w:r>
    </w:p>
    <w:p w14:paraId="6100E03B">
      <w:pPr>
        <w:spacing w:line="394" w:lineRule="auto"/>
        <w:ind w:left="143" w:right="44" w:firstLine="707"/>
        <w:rPr>
          <w:rFonts w:hint="eastAsia" w:ascii="宋体" w:hAnsi="宋体" w:eastAsia="宋体" w:cs="宋体"/>
          <w:sz w:val="23"/>
          <w:szCs w:val="23"/>
        </w:rPr>
      </w:pPr>
      <w:r>
        <w:rPr>
          <w:rFonts w:hint="eastAsia" w:ascii="宋体" w:hAnsi="宋体" w:eastAsia="宋体" w:cs="宋体"/>
          <w:spacing w:val="41"/>
          <w:sz w:val="23"/>
          <w:szCs w:val="23"/>
        </w:rPr>
        <w:t>第</w:t>
      </w:r>
      <w:r>
        <w:rPr>
          <w:rFonts w:hint="eastAsia" w:ascii="宋体" w:hAnsi="宋体" w:eastAsia="宋体" w:cs="宋体"/>
          <w:spacing w:val="31"/>
          <w:sz w:val="23"/>
          <w:szCs w:val="23"/>
        </w:rPr>
        <w:t>十条 采购人应当严格按照本办法规定和主管预算单位制定的预</w:t>
      </w:r>
      <w:r>
        <w:rPr>
          <w:rFonts w:hint="eastAsia" w:ascii="宋体" w:hAnsi="宋体" w:eastAsia="宋体" w:cs="宋体"/>
          <w:sz w:val="23"/>
          <w:szCs w:val="23"/>
        </w:rPr>
        <w:t xml:space="preserve"> </w:t>
      </w:r>
      <w:r>
        <w:rPr>
          <w:rFonts w:hint="eastAsia" w:ascii="宋体" w:hAnsi="宋体" w:eastAsia="宋体" w:cs="宋体"/>
          <w:spacing w:val="15"/>
          <w:sz w:val="23"/>
          <w:szCs w:val="23"/>
        </w:rPr>
        <w:t>留</w:t>
      </w:r>
      <w:r>
        <w:rPr>
          <w:rFonts w:hint="eastAsia" w:ascii="宋体" w:hAnsi="宋体" w:eastAsia="宋体" w:cs="宋体"/>
          <w:spacing w:val="10"/>
          <w:sz w:val="23"/>
          <w:szCs w:val="23"/>
        </w:rPr>
        <w:t>采购份额具体方案开展采购活动。预留份额的采购项目或者采购包，通过发</w:t>
      </w:r>
      <w:r>
        <w:rPr>
          <w:rFonts w:hint="eastAsia" w:ascii="宋体" w:hAnsi="宋体" w:eastAsia="宋体" w:cs="宋体"/>
          <w:sz w:val="23"/>
          <w:szCs w:val="23"/>
        </w:rPr>
        <w:t xml:space="preserve"> </w:t>
      </w:r>
      <w:r>
        <w:rPr>
          <w:rFonts w:hint="eastAsia" w:ascii="宋体" w:hAnsi="宋体" w:eastAsia="宋体" w:cs="宋体"/>
          <w:spacing w:val="18"/>
          <w:sz w:val="23"/>
          <w:szCs w:val="23"/>
        </w:rPr>
        <w:t>布</w:t>
      </w:r>
      <w:r>
        <w:rPr>
          <w:rFonts w:hint="eastAsia" w:ascii="宋体" w:hAnsi="宋体" w:eastAsia="宋体" w:cs="宋体"/>
          <w:spacing w:val="13"/>
          <w:sz w:val="23"/>
          <w:szCs w:val="23"/>
        </w:rPr>
        <w:t>公告方式邀请供应商后，符合资格条件的中小企业数量不足3家的，应当</w:t>
      </w:r>
      <w:r>
        <w:rPr>
          <w:rFonts w:hint="eastAsia" w:ascii="宋体" w:hAnsi="宋体" w:eastAsia="宋体" w:cs="宋体"/>
          <w:spacing w:val="20"/>
          <w:sz w:val="23"/>
          <w:szCs w:val="23"/>
        </w:rPr>
        <w:t>中</w:t>
      </w:r>
      <w:r>
        <w:rPr>
          <w:rFonts w:hint="eastAsia" w:ascii="宋体" w:hAnsi="宋体" w:eastAsia="宋体" w:cs="宋体"/>
          <w:spacing w:val="12"/>
          <w:sz w:val="23"/>
          <w:szCs w:val="23"/>
        </w:rPr>
        <w:t>止</w:t>
      </w:r>
      <w:r>
        <w:rPr>
          <w:rFonts w:hint="eastAsia" w:ascii="宋体" w:hAnsi="宋体" w:eastAsia="宋体" w:cs="宋体"/>
          <w:spacing w:val="10"/>
          <w:sz w:val="23"/>
          <w:szCs w:val="23"/>
        </w:rPr>
        <w:t>采购活动，视同未预留份额的采购项目或者采购包，按照本办法第九条有</w:t>
      </w:r>
      <w:r>
        <w:rPr>
          <w:rFonts w:hint="eastAsia" w:ascii="宋体" w:hAnsi="宋体" w:eastAsia="宋体" w:cs="宋体"/>
          <w:spacing w:val="18"/>
          <w:sz w:val="23"/>
          <w:szCs w:val="23"/>
        </w:rPr>
        <w:t>关</w:t>
      </w:r>
      <w:r>
        <w:rPr>
          <w:rFonts w:hint="eastAsia" w:ascii="宋体" w:hAnsi="宋体" w:eastAsia="宋体" w:cs="宋体"/>
          <w:spacing w:val="9"/>
          <w:sz w:val="23"/>
          <w:szCs w:val="23"/>
        </w:rPr>
        <w:t>规定重新组织采购活动。</w:t>
      </w:r>
    </w:p>
    <w:p w14:paraId="048F18F3">
      <w:pPr>
        <w:spacing w:before="1" w:line="392" w:lineRule="auto"/>
        <w:ind w:left="145" w:right="300" w:firstLine="706"/>
        <w:rPr>
          <w:rFonts w:hint="eastAsia" w:ascii="宋体" w:hAnsi="宋体" w:eastAsia="宋体" w:cs="宋体"/>
          <w:sz w:val="23"/>
          <w:szCs w:val="23"/>
        </w:rPr>
      </w:pPr>
      <w:r>
        <w:rPr>
          <w:rFonts w:hint="eastAsia" w:ascii="宋体" w:hAnsi="宋体" w:eastAsia="宋体" w:cs="宋体"/>
          <w:spacing w:val="7"/>
          <w:sz w:val="23"/>
          <w:szCs w:val="23"/>
        </w:rPr>
        <w:t>第</w:t>
      </w:r>
      <w:r>
        <w:rPr>
          <w:rFonts w:hint="eastAsia" w:ascii="宋体" w:hAnsi="宋体" w:eastAsia="宋体" w:cs="宋体"/>
          <w:spacing w:val="4"/>
          <w:sz w:val="23"/>
          <w:szCs w:val="23"/>
        </w:rPr>
        <w:t>十一条 中小企业参加政府采购活动，应当出具本办法规定的《中小</w:t>
      </w:r>
      <w:r>
        <w:rPr>
          <w:rFonts w:hint="eastAsia" w:ascii="宋体" w:hAnsi="宋体" w:eastAsia="宋体" w:cs="宋体"/>
          <w:sz w:val="23"/>
          <w:szCs w:val="23"/>
        </w:rPr>
        <w:t xml:space="preserve"> </w:t>
      </w:r>
      <w:r>
        <w:rPr>
          <w:rFonts w:hint="eastAsia" w:ascii="宋体" w:hAnsi="宋体" w:eastAsia="宋体" w:cs="宋体"/>
          <w:spacing w:val="8"/>
          <w:sz w:val="23"/>
          <w:szCs w:val="23"/>
        </w:rPr>
        <w:t>企业</w:t>
      </w:r>
      <w:r>
        <w:rPr>
          <w:rFonts w:hint="eastAsia" w:ascii="宋体" w:hAnsi="宋体" w:eastAsia="宋体" w:cs="宋体"/>
          <w:spacing w:val="5"/>
          <w:sz w:val="23"/>
          <w:szCs w:val="23"/>
        </w:rPr>
        <w:t>声</w:t>
      </w:r>
      <w:r>
        <w:rPr>
          <w:rFonts w:hint="eastAsia" w:ascii="宋体" w:hAnsi="宋体" w:eastAsia="宋体" w:cs="宋体"/>
          <w:spacing w:val="4"/>
          <w:sz w:val="23"/>
          <w:szCs w:val="23"/>
        </w:rPr>
        <w:t>明函》(附 1，) 否则不得享受相关中小企业扶持政策。任何单位和个</w:t>
      </w:r>
      <w:r>
        <w:rPr>
          <w:rFonts w:hint="eastAsia" w:ascii="宋体" w:hAnsi="宋体" w:eastAsia="宋体" w:cs="宋体"/>
          <w:spacing w:val="10"/>
          <w:sz w:val="23"/>
          <w:szCs w:val="23"/>
        </w:rPr>
        <w:t>人不得要求供应商提供《中小企业声明函》之外的中小企业身份证明文件</w:t>
      </w:r>
      <w:r>
        <w:rPr>
          <w:rFonts w:hint="eastAsia" w:ascii="宋体" w:hAnsi="宋体" w:eastAsia="宋体" w:cs="宋体"/>
          <w:spacing w:val="4"/>
          <w:sz w:val="23"/>
          <w:szCs w:val="23"/>
        </w:rPr>
        <w:t>。</w:t>
      </w:r>
    </w:p>
    <w:p w14:paraId="05C49EAC">
      <w:pPr>
        <w:spacing w:before="2" w:line="392" w:lineRule="auto"/>
        <w:ind w:left="146" w:right="361" w:firstLine="705"/>
        <w:rPr>
          <w:rFonts w:hint="eastAsia" w:ascii="宋体" w:hAnsi="宋体" w:eastAsia="宋体" w:cs="宋体"/>
          <w:sz w:val="23"/>
          <w:szCs w:val="23"/>
        </w:rPr>
      </w:pPr>
      <w:r>
        <w:rPr>
          <w:rFonts w:hint="eastAsia" w:ascii="宋体" w:hAnsi="宋体" w:eastAsia="宋体" w:cs="宋体"/>
          <w:spacing w:val="14"/>
          <w:sz w:val="23"/>
          <w:szCs w:val="23"/>
        </w:rPr>
        <w:t>第</w:t>
      </w:r>
      <w:r>
        <w:rPr>
          <w:rFonts w:hint="eastAsia" w:ascii="宋体" w:hAnsi="宋体" w:eastAsia="宋体" w:cs="宋体"/>
          <w:spacing w:val="12"/>
          <w:sz w:val="23"/>
          <w:szCs w:val="23"/>
        </w:rPr>
        <w:t>十二条 采购项目涉及中小企业采购的，采购文件应当明确以下内</w:t>
      </w:r>
      <w:r>
        <w:rPr>
          <w:rFonts w:hint="eastAsia" w:ascii="宋体" w:hAnsi="宋体" w:eastAsia="宋体" w:cs="宋体"/>
          <w:spacing w:val="-2"/>
          <w:sz w:val="23"/>
          <w:szCs w:val="23"/>
        </w:rPr>
        <w:t>容</w:t>
      </w:r>
      <w:r>
        <w:rPr>
          <w:rFonts w:hint="eastAsia" w:ascii="宋体" w:hAnsi="宋体" w:eastAsia="宋体" w:cs="宋体"/>
          <w:spacing w:val="-1"/>
          <w:sz w:val="23"/>
          <w:szCs w:val="23"/>
        </w:rPr>
        <w:t>：</w:t>
      </w:r>
    </w:p>
    <w:p w14:paraId="055B5470">
      <w:pPr>
        <w:spacing w:before="2" w:line="395" w:lineRule="auto"/>
        <w:ind w:left="170" w:right="359" w:firstLine="692"/>
        <w:rPr>
          <w:rFonts w:hint="eastAsia" w:ascii="宋体" w:hAnsi="宋体" w:eastAsia="宋体" w:cs="宋体"/>
          <w:sz w:val="23"/>
          <w:szCs w:val="23"/>
        </w:rPr>
      </w:pPr>
      <w:r>
        <w:rPr>
          <w:rFonts w:hint="eastAsia" w:ascii="宋体" w:hAnsi="宋体" w:eastAsia="宋体" w:cs="宋体"/>
          <w:spacing w:val="22"/>
          <w:sz w:val="23"/>
          <w:szCs w:val="23"/>
        </w:rPr>
        <w:t>(</w:t>
      </w:r>
      <w:r>
        <w:rPr>
          <w:rFonts w:hint="eastAsia" w:ascii="宋体" w:hAnsi="宋体" w:eastAsia="宋体" w:cs="宋体"/>
          <w:spacing w:val="11"/>
          <w:sz w:val="23"/>
          <w:szCs w:val="23"/>
        </w:rPr>
        <w:t>一)预留份额的采购项目或者采购包，明确该项目或相关采购包专</w:t>
      </w:r>
      <w:r>
        <w:rPr>
          <w:rFonts w:hint="eastAsia" w:ascii="宋体" w:hAnsi="宋体" w:eastAsia="宋体" w:cs="宋体"/>
          <w:spacing w:val="10"/>
          <w:sz w:val="23"/>
          <w:szCs w:val="23"/>
        </w:rPr>
        <w:t>门</w:t>
      </w:r>
      <w:r>
        <w:rPr>
          <w:rFonts w:hint="eastAsia" w:ascii="宋体" w:hAnsi="宋体" w:eastAsia="宋体" w:cs="宋体"/>
          <w:spacing w:val="9"/>
          <w:sz w:val="23"/>
          <w:szCs w:val="23"/>
        </w:rPr>
        <w:t>面向中小企业采购，以及相关标的及预算金额；</w:t>
      </w:r>
    </w:p>
    <w:p w14:paraId="03F60AA4">
      <w:pPr>
        <w:spacing w:line="392" w:lineRule="auto"/>
        <w:ind w:left="143" w:right="356" w:firstLine="719"/>
        <w:rPr>
          <w:rFonts w:hint="eastAsia" w:ascii="宋体" w:hAnsi="宋体" w:eastAsia="宋体" w:cs="宋体"/>
          <w:sz w:val="23"/>
          <w:szCs w:val="23"/>
        </w:rPr>
      </w:pPr>
      <w:r>
        <w:rPr>
          <w:rFonts w:hint="eastAsia" w:ascii="宋体" w:hAnsi="宋体" w:eastAsia="宋体" w:cs="宋体"/>
          <w:spacing w:val="22"/>
          <w:sz w:val="23"/>
          <w:szCs w:val="23"/>
        </w:rPr>
        <w:t>(</w:t>
      </w:r>
      <w:r>
        <w:rPr>
          <w:rFonts w:hint="eastAsia" w:ascii="宋体" w:hAnsi="宋体" w:eastAsia="宋体" w:cs="宋体"/>
          <w:spacing w:val="14"/>
          <w:sz w:val="23"/>
          <w:szCs w:val="23"/>
        </w:rPr>
        <w:t>二</w:t>
      </w:r>
      <w:r>
        <w:rPr>
          <w:rFonts w:hint="eastAsia" w:ascii="宋体" w:hAnsi="宋体" w:eastAsia="宋体" w:cs="宋体"/>
          <w:spacing w:val="11"/>
          <w:sz w:val="23"/>
          <w:szCs w:val="23"/>
        </w:rPr>
        <w:t>) 要求以联合体形式参加或者合同分包的，明确联合协议或者分</w:t>
      </w:r>
      <w:r>
        <w:rPr>
          <w:rFonts w:hint="eastAsia" w:ascii="宋体" w:hAnsi="宋体" w:eastAsia="宋体" w:cs="宋体"/>
          <w:spacing w:val="8"/>
          <w:sz w:val="23"/>
          <w:szCs w:val="23"/>
        </w:rPr>
        <w:t>包意向协议中中小企业合同金额应当达到的比例，并作为供应商资格条件</w:t>
      </w:r>
      <w:r>
        <w:rPr>
          <w:rFonts w:hint="eastAsia" w:ascii="宋体" w:hAnsi="宋体" w:eastAsia="宋体" w:cs="宋体"/>
          <w:spacing w:val="3"/>
          <w:sz w:val="23"/>
          <w:szCs w:val="23"/>
        </w:rPr>
        <w:t>；</w:t>
      </w:r>
    </w:p>
    <w:p w14:paraId="66D18342">
      <w:pPr>
        <w:spacing w:before="3" w:line="394" w:lineRule="auto"/>
        <w:ind w:left="145" w:right="361" w:firstLine="717"/>
        <w:rPr>
          <w:rFonts w:hint="eastAsia" w:ascii="宋体" w:hAnsi="宋体" w:eastAsia="宋体" w:cs="宋体"/>
          <w:sz w:val="23"/>
          <w:szCs w:val="23"/>
        </w:rPr>
      </w:pPr>
      <w:r>
        <w:rPr>
          <w:rFonts w:hint="eastAsia" w:ascii="宋体" w:hAnsi="宋体" w:eastAsia="宋体" w:cs="宋体"/>
          <w:spacing w:val="30"/>
          <w:sz w:val="23"/>
          <w:szCs w:val="23"/>
        </w:rPr>
        <w:t>(</w:t>
      </w:r>
      <w:r>
        <w:rPr>
          <w:rFonts w:hint="eastAsia" w:ascii="宋体" w:hAnsi="宋体" w:eastAsia="宋体" w:cs="宋体"/>
          <w:spacing w:val="15"/>
          <w:sz w:val="23"/>
          <w:szCs w:val="23"/>
        </w:rPr>
        <w:t>三)非预留份额的采购项目或者采购包，明确有关价格扣除比例或</w:t>
      </w:r>
      <w:r>
        <w:rPr>
          <w:rFonts w:hint="eastAsia" w:ascii="宋体" w:hAnsi="宋体" w:eastAsia="宋体" w:cs="宋体"/>
          <w:spacing w:val="9"/>
          <w:sz w:val="23"/>
          <w:szCs w:val="23"/>
        </w:rPr>
        <w:t>者价格分加分比例</w:t>
      </w:r>
      <w:r>
        <w:rPr>
          <w:rFonts w:hint="eastAsia" w:ascii="宋体" w:hAnsi="宋体" w:eastAsia="宋体" w:cs="宋体"/>
          <w:spacing w:val="8"/>
          <w:sz w:val="23"/>
          <w:szCs w:val="23"/>
        </w:rPr>
        <w:t>；</w:t>
      </w:r>
    </w:p>
    <w:p w14:paraId="500F55BD">
      <w:pPr>
        <w:spacing w:before="1" w:line="398" w:lineRule="auto"/>
        <w:ind w:left="147" w:right="321" w:firstLine="715"/>
        <w:rPr>
          <w:rFonts w:hint="eastAsia" w:ascii="宋体" w:hAnsi="宋体" w:eastAsia="宋体" w:cs="宋体"/>
          <w:sz w:val="23"/>
          <w:szCs w:val="23"/>
        </w:rPr>
      </w:pPr>
      <w:r>
        <w:rPr>
          <w:rFonts w:hint="eastAsia" w:ascii="宋体" w:hAnsi="宋体" w:eastAsia="宋体" w:cs="宋体"/>
          <w:spacing w:val="28"/>
          <w:sz w:val="23"/>
          <w:szCs w:val="23"/>
        </w:rPr>
        <w:t>(</w:t>
      </w:r>
      <w:r>
        <w:rPr>
          <w:rFonts w:hint="eastAsia" w:ascii="宋体" w:hAnsi="宋体" w:eastAsia="宋体" w:cs="宋体"/>
          <w:spacing w:val="15"/>
          <w:sz w:val="23"/>
          <w:szCs w:val="23"/>
        </w:rPr>
        <w:t>四)规定依据本办法规定享受扶持政策获得政府采购合同的，小微</w:t>
      </w:r>
      <w:r>
        <w:rPr>
          <w:rFonts w:hint="eastAsia" w:ascii="宋体" w:hAnsi="宋体" w:eastAsia="宋体" w:cs="宋体"/>
          <w:spacing w:val="13"/>
          <w:sz w:val="23"/>
          <w:szCs w:val="23"/>
        </w:rPr>
        <w:t>企</w:t>
      </w:r>
      <w:r>
        <w:rPr>
          <w:rFonts w:hint="eastAsia" w:ascii="宋体" w:hAnsi="宋体" w:eastAsia="宋体" w:cs="宋体"/>
          <w:spacing w:val="9"/>
          <w:sz w:val="23"/>
          <w:szCs w:val="23"/>
        </w:rPr>
        <w:t>业不得将合同分包给大中型企业，中型企业不得将合同分包给大型企业；</w:t>
      </w:r>
    </w:p>
    <w:p w14:paraId="5D2CAFC1">
      <w:pPr>
        <w:spacing w:before="74" w:line="394" w:lineRule="auto"/>
        <w:ind w:left="145" w:right="323" w:firstLine="717"/>
        <w:rPr>
          <w:rFonts w:hint="eastAsia" w:ascii="宋体" w:hAnsi="宋体" w:eastAsia="宋体" w:cs="宋体"/>
          <w:sz w:val="23"/>
          <w:szCs w:val="23"/>
        </w:rPr>
      </w:pPr>
      <w:r>
        <w:rPr>
          <w:rFonts w:hint="eastAsia" w:ascii="宋体" w:hAnsi="宋体" w:eastAsia="宋体" w:cs="宋体"/>
          <w:spacing w:val="16"/>
          <w:sz w:val="23"/>
          <w:szCs w:val="23"/>
        </w:rPr>
        <w:t>(</w:t>
      </w:r>
      <w:r>
        <w:rPr>
          <w:rFonts w:hint="eastAsia" w:ascii="宋体" w:hAnsi="宋体" w:eastAsia="宋体" w:cs="宋体"/>
          <w:spacing w:val="10"/>
          <w:sz w:val="23"/>
          <w:szCs w:val="23"/>
        </w:rPr>
        <w:t>五)采购人认为具备相关条件的，明确对中小企业在资金支付期限、</w:t>
      </w:r>
      <w:r>
        <w:rPr>
          <w:rFonts w:hint="eastAsia" w:ascii="宋体" w:hAnsi="宋体" w:eastAsia="宋体" w:cs="宋体"/>
          <w:spacing w:val="12"/>
          <w:sz w:val="23"/>
          <w:szCs w:val="23"/>
        </w:rPr>
        <w:t>预</w:t>
      </w:r>
      <w:r>
        <w:rPr>
          <w:rFonts w:hint="eastAsia" w:ascii="宋体" w:hAnsi="宋体" w:eastAsia="宋体" w:cs="宋体"/>
          <w:spacing w:val="10"/>
          <w:sz w:val="23"/>
          <w:szCs w:val="23"/>
        </w:rPr>
        <w:t>付款比例等方面的优惠措施；</w:t>
      </w:r>
    </w:p>
    <w:p w14:paraId="48A9B353">
      <w:pPr>
        <w:spacing w:line="226" w:lineRule="auto"/>
        <w:ind w:left="862"/>
        <w:rPr>
          <w:rFonts w:hint="eastAsia" w:ascii="宋体" w:hAnsi="宋体" w:eastAsia="宋体" w:cs="宋体"/>
          <w:sz w:val="23"/>
          <w:szCs w:val="23"/>
        </w:rPr>
      </w:pPr>
      <w:r>
        <w:rPr>
          <w:rFonts w:hint="eastAsia" w:ascii="宋体" w:hAnsi="宋体" w:eastAsia="宋体" w:cs="宋体"/>
          <w:spacing w:val="21"/>
          <w:sz w:val="23"/>
          <w:szCs w:val="23"/>
        </w:rPr>
        <w:t>(</w:t>
      </w:r>
      <w:r>
        <w:rPr>
          <w:rFonts w:hint="eastAsia" w:ascii="宋体" w:hAnsi="宋体" w:eastAsia="宋体" w:cs="宋体"/>
          <w:spacing w:val="13"/>
          <w:sz w:val="23"/>
          <w:szCs w:val="23"/>
        </w:rPr>
        <w:t>六)明确采购标的对应的中小企业划分标准所属行业；</w:t>
      </w:r>
    </w:p>
    <w:p w14:paraId="63A6CCFC">
      <w:pPr>
        <w:spacing w:before="216" w:line="227" w:lineRule="auto"/>
        <w:ind w:left="862"/>
        <w:rPr>
          <w:rFonts w:hint="eastAsia" w:ascii="宋体" w:hAnsi="宋体" w:eastAsia="宋体" w:cs="宋体"/>
          <w:sz w:val="23"/>
          <w:szCs w:val="23"/>
        </w:rPr>
      </w:pPr>
      <w:r>
        <w:rPr>
          <w:rFonts w:hint="eastAsia" w:ascii="宋体" w:hAnsi="宋体" w:eastAsia="宋体" w:cs="宋体"/>
          <w:spacing w:val="17"/>
          <w:sz w:val="23"/>
          <w:szCs w:val="23"/>
        </w:rPr>
        <w:t>(</w:t>
      </w:r>
      <w:r>
        <w:rPr>
          <w:rFonts w:hint="eastAsia" w:ascii="宋体" w:hAnsi="宋体" w:eastAsia="宋体" w:cs="宋体"/>
          <w:spacing w:val="13"/>
          <w:sz w:val="23"/>
          <w:szCs w:val="23"/>
        </w:rPr>
        <w:t>七)法律法规和省级以上人民政府财政部门规定的其他事项。</w:t>
      </w:r>
    </w:p>
    <w:p w14:paraId="20FF4535">
      <w:pPr>
        <w:spacing w:before="216" w:line="394" w:lineRule="auto"/>
        <w:ind w:left="142" w:right="337" w:firstLine="708"/>
        <w:rPr>
          <w:rFonts w:hint="eastAsia" w:ascii="宋体" w:hAnsi="宋体" w:eastAsia="宋体" w:cs="宋体"/>
          <w:sz w:val="23"/>
          <w:szCs w:val="23"/>
        </w:rPr>
      </w:pPr>
      <w:r>
        <w:rPr>
          <w:rFonts w:hint="eastAsia" w:ascii="宋体" w:hAnsi="宋体" w:eastAsia="宋体" w:cs="宋体"/>
          <w:spacing w:val="12"/>
          <w:sz w:val="23"/>
          <w:szCs w:val="23"/>
        </w:rPr>
        <w:t>第十</w:t>
      </w:r>
      <w:r>
        <w:rPr>
          <w:rFonts w:hint="eastAsia" w:ascii="宋体" w:hAnsi="宋体" w:eastAsia="宋体" w:cs="宋体"/>
          <w:spacing w:val="6"/>
          <w:sz w:val="23"/>
          <w:szCs w:val="23"/>
        </w:rPr>
        <w:t>三条 中标、成交供应商享受本办法规定的中小企业扶持政策的，</w:t>
      </w:r>
      <w:r>
        <w:rPr>
          <w:rFonts w:hint="eastAsia" w:ascii="宋体" w:hAnsi="宋体" w:eastAsia="宋体" w:cs="宋体"/>
          <w:spacing w:val="15"/>
          <w:sz w:val="23"/>
          <w:szCs w:val="23"/>
        </w:rPr>
        <w:t>采</w:t>
      </w:r>
      <w:r>
        <w:rPr>
          <w:rFonts w:hint="eastAsia" w:ascii="宋体" w:hAnsi="宋体" w:eastAsia="宋体" w:cs="宋体"/>
          <w:spacing w:val="8"/>
          <w:sz w:val="23"/>
          <w:szCs w:val="23"/>
        </w:rPr>
        <w:t>购人、采购代理机构应当随中标、成交结果公开中标、成交供应商的《中小企业</w:t>
      </w:r>
      <w:r>
        <w:rPr>
          <w:rFonts w:hint="eastAsia" w:ascii="宋体" w:hAnsi="宋体" w:eastAsia="宋体" w:cs="宋体"/>
          <w:spacing w:val="7"/>
          <w:sz w:val="23"/>
          <w:szCs w:val="23"/>
        </w:rPr>
        <w:t>声</w:t>
      </w:r>
      <w:r>
        <w:rPr>
          <w:rFonts w:hint="eastAsia" w:ascii="宋体" w:hAnsi="宋体" w:eastAsia="宋体" w:cs="宋体"/>
          <w:spacing w:val="4"/>
          <w:sz w:val="23"/>
          <w:szCs w:val="23"/>
        </w:rPr>
        <w:t>明函》。适用招标投标法的政府采购工程建设项目，应当在公示</w:t>
      </w:r>
      <w:r>
        <w:rPr>
          <w:rFonts w:hint="eastAsia" w:ascii="宋体" w:hAnsi="宋体" w:eastAsia="宋体" w:cs="宋体"/>
          <w:sz w:val="23"/>
          <w:szCs w:val="23"/>
        </w:rPr>
        <w:t xml:space="preserve"> </w:t>
      </w:r>
      <w:r>
        <w:rPr>
          <w:rFonts w:hint="eastAsia" w:ascii="宋体" w:hAnsi="宋体" w:eastAsia="宋体" w:cs="宋体"/>
          <w:spacing w:val="9"/>
          <w:sz w:val="23"/>
          <w:szCs w:val="23"/>
        </w:rPr>
        <w:t>中标候选人时公开中标候选人的《中小企业声明函》</w:t>
      </w:r>
      <w:r>
        <w:rPr>
          <w:rFonts w:hint="eastAsia" w:ascii="宋体" w:hAnsi="宋体" w:eastAsia="宋体" w:cs="宋体"/>
          <w:spacing w:val="4"/>
          <w:sz w:val="23"/>
          <w:szCs w:val="23"/>
        </w:rPr>
        <w:t>。</w:t>
      </w:r>
    </w:p>
    <w:p w14:paraId="558DAD82">
      <w:pPr>
        <w:spacing w:before="3" w:line="393" w:lineRule="auto"/>
        <w:ind w:left="143" w:right="246" w:firstLine="707"/>
        <w:rPr>
          <w:rFonts w:hint="eastAsia" w:ascii="宋体" w:hAnsi="宋体" w:eastAsia="宋体" w:cs="宋体"/>
          <w:sz w:val="23"/>
          <w:szCs w:val="23"/>
        </w:rPr>
      </w:pPr>
      <w:r>
        <w:rPr>
          <w:rFonts w:hint="eastAsia" w:ascii="宋体" w:hAnsi="宋体" w:eastAsia="宋体" w:cs="宋体"/>
          <w:spacing w:val="14"/>
          <w:sz w:val="23"/>
          <w:szCs w:val="23"/>
        </w:rPr>
        <w:t>第十四条 对于通过预留采购项目、预留专门采购包、要求以联合</w:t>
      </w:r>
      <w:r>
        <w:rPr>
          <w:rFonts w:hint="eastAsia" w:ascii="宋体" w:hAnsi="宋体" w:eastAsia="宋体" w:cs="宋体"/>
          <w:spacing w:val="9"/>
          <w:sz w:val="23"/>
          <w:szCs w:val="23"/>
        </w:rPr>
        <w:t>体</w:t>
      </w:r>
      <w:r>
        <w:rPr>
          <w:rFonts w:hint="eastAsia" w:ascii="宋体" w:hAnsi="宋体" w:eastAsia="宋体" w:cs="宋体"/>
          <w:sz w:val="23"/>
          <w:szCs w:val="23"/>
        </w:rPr>
        <w:t xml:space="preserve"> </w:t>
      </w:r>
      <w:r>
        <w:rPr>
          <w:rFonts w:hint="eastAsia" w:ascii="宋体" w:hAnsi="宋体" w:eastAsia="宋体" w:cs="宋体"/>
          <w:spacing w:val="36"/>
          <w:sz w:val="23"/>
          <w:szCs w:val="23"/>
        </w:rPr>
        <w:t>形</w:t>
      </w:r>
      <w:r>
        <w:rPr>
          <w:rFonts w:hint="eastAsia" w:ascii="宋体" w:hAnsi="宋体" w:eastAsia="宋体" w:cs="宋体"/>
          <w:spacing w:val="21"/>
          <w:sz w:val="23"/>
          <w:szCs w:val="23"/>
        </w:rPr>
        <w:t>式参加或者合同分包等措施签订 的采购合同，应当明确标注本合同为</w:t>
      </w:r>
      <w:r>
        <w:rPr>
          <w:rFonts w:hint="eastAsia" w:ascii="宋体" w:hAnsi="宋体" w:eastAsia="宋体" w:cs="宋体"/>
          <w:sz w:val="23"/>
          <w:szCs w:val="23"/>
        </w:rPr>
        <w:t xml:space="preserve"> </w:t>
      </w:r>
      <w:r>
        <w:rPr>
          <w:rFonts w:hint="eastAsia" w:ascii="宋体" w:hAnsi="宋体" w:eastAsia="宋体" w:cs="宋体"/>
          <w:spacing w:val="10"/>
          <w:sz w:val="23"/>
          <w:szCs w:val="23"/>
        </w:rPr>
        <w:t>中小企业</w:t>
      </w:r>
      <w:r>
        <w:rPr>
          <w:rFonts w:hint="eastAsia" w:ascii="宋体" w:hAnsi="宋体" w:eastAsia="宋体" w:cs="宋体"/>
          <w:spacing w:val="7"/>
          <w:sz w:val="23"/>
          <w:szCs w:val="23"/>
        </w:rPr>
        <w:t>预</w:t>
      </w:r>
      <w:r>
        <w:rPr>
          <w:rFonts w:hint="eastAsia" w:ascii="宋体" w:hAnsi="宋体" w:eastAsia="宋体" w:cs="宋体"/>
          <w:spacing w:val="5"/>
          <w:sz w:val="23"/>
          <w:szCs w:val="23"/>
        </w:rPr>
        <w:t>留合同。其中，要求以联合体形式参加采购活动或者合同分包的，</w:t>
      </w:r>
      <w:r>
        <w:rPr>
          <w:rFonts w:hint="eastAsia" w:ascii="宋体" w:hAnsi="宋体" w:eastAsia="宋体" w:cs="宋体"/>
          <w:spacing w:val="11"/>
          <w:sz w:val="23"/>
          <w:szCs w:val="23"/>
        </w:rPr>
        <w:t>应当将联合协 议或者分包意向协议作为采购合同的组成部分</w:t>
      </w:r>
      <w:r>
        <w:rPr>
          <w:rFonts w:hint="eastAsia" w:ascii="宋体" w:hAnsi="宋体" w:eastAsia="宋体" w:cs="宋体"/>
          <w:spacing w:val="6"/>
          <w:sz w:val="23"/>
          <w:szCs w:val="23"/>
        </w:rPr>
        <w:t>。</w:t>
      </w:r>
    </w:p>
    <w:p w14:paraId="54E14732">
      <w:pPr>
        <w:spacing w:before="3" w:line="392" w:lineRule="auto"/>
        <w:ind w:left="144" w:right="387" w:firstLine="707"/>
        <w:rPr>
          <w:rFonts w:hint="eastAsia" w:ascii="宋体" w:hAnsi="宋体" w:eastAsia="宋体" w:cs="宋体"/>
          <w:sz w:val="23"/>
          <w:szCs w:val="23"/>
        </w:rPr>
      </w:pPr>
      <w:r>
        <w:rPr>
          <w:rFonts w:hint="eastAsia" w:ascii="宋体" w:hAnsi="宋体" w:eastAsia="宋体" w:cs="宋体"/>
          <w:spacing w:val="5"/>
          <w:sz w:val="23"/>
          <w:szCs w:val="23"/>
        </w:rPr>
        <w:t>第十五条 鼓励各地区、各部门在采购活动中允许中小企业引入信</w:t>
      </w:r>
      <w:r>
        <w:rPr>
          <w:rFonts w:hint="eastAsia" w:ascii="宋体" w:hAnsi="宋体" w:eastAsia="宋体" w:cs="宋体"/>
          <w:spacing w:val="4"/>
          <w:sz w:val="23"/>
          <w:szCs w:val="23"/>
        </w:rPr>
        <w:t>用</w:t>
      </w:r>
      <w:r>
        <w:rPr>
          <w:rFonts w:hint="eastAsia" w:ascii="宋体" w:hAnsi="宋体" w:eastAsia="宋体" w:cs="宋体"/>
          <w:sz w:val="23"/>
          <w:szCs w:val="23"/>
        </w:rPr>
        <w:t>担</w:t>
      </w:r>
      <w:r>
        <w:rPr>
          <w:rFonts w:hint="eastAsia" w:ascii="宋体" w:hAnsi="宋体" w:eastAsia="宋体" w:cs="宋体"/>
          <w:spacing w:val="14"/>
          <w:sz w:val="23"/>
          <w:szCs w:val="23"/>
        </w:rPr>
        <w:t>保手段</w:t>
      </w:r>
      <w:r>
        <w:rPr>
          <w:rFonts w:hint="eastAsia" w:ascii="宋体" w:hAnsi="宋体" w:eastAsia="宋体" w:cs="宋体"/>
          <w:spacing w:val="12"/>
          <w:sz w:val="23"/>
          <w:szCs w:val="23"/>
        </w:rPr>
        <w:t>，</w:t>
      </w:r>
      <w:r>
        <w:rPr>
          <w:rFonts w:hint="eastAsia" w:ascii="宋体" w:hAnsi="宋体" w:eastAsia="宋体" w:cs="宋体"/>
          <w:spacing w:val="7"/>
          <w:sz w:val="23"/>
          <w:szCs w:val="23"/>
        </w:rPr>
        <w:t>为中小企业在投标 (响应) 保证、  履约保证等方面提供专业化服</w:t>
      </w:r>
      <w:r>
        <w:rPr>
          <w:rFonts w:hint="eastAsia" w:ascii="宋体" w:hAnsi="宋体" w:eastAsia="宋体" w:cs="宋体"/>
          <w:sz w:val="23"/>
          <w:szCs w:val="23"/>
        </w:rPr>
        <w:t xml:space="preserve"> </w:t>
      </w:r>
      <w:r>
        <w:rPr>
          <w:rFonts w:hint="eastAsia" w:ascii="宋体" w:hAnsi="宋体" w:eastAsia="宋体" w:cs="宋体"/>
          <w:spacing w:val="18"/>
          <w:sz w:val="23"/>
          <w:szCs w:val="23"/>
        </w:rPr>
        <w:t>务</w:t>
      </w:r>
      <w:r>
        <w:rPr>
          <w:rFonts w:hint="eastAsia" w:ascii="宋体" w:hAnsi="宋体" w:eastAsia="宋体" w:cs="宋体"/>
          <w:spacing w:val="17"/>
          <w:sz w:val="23"/>
          <w:szCs w:val="23"/>
        </w:rPr>
        <w:t>。</w:t>
      </w:r>
      <w:r>
        <w:rPr>
          <w:rFonts w:hint="eastAsia" w:ascii="宋体" w:hAnsi="宋体" w:eastAsia="宋体" w:cs="宋体"/>
          <w:spacing w:val="9"/>
          <w:sz w:val="23"/>
          <w:szCs w:val="23"/>
        </w:rPr>
        <w:t>鼓励中小企业依法合规通过政府采购合同融资。</w:t>
      </w:r>
    </w:p>
    <w:p w14:paraId="2EFC7422">
      <w:pPr>
        <w:spacing w:before="2" w:line="392" w:lineRule="auto"/>
        <w:ind w:left="144" w:right="404" w:firstLine="707"/>
        <w:rPr>
          <w:rFonts w:hint="eastAsia" w:ascii="宋体" w:hAnsi="宋体" w:eastAsia="宋体" w:cs="宋体"/>
          <w:sz w:val="23"/>
          <w:szCs w:val="23"/>
        </w:rPr>
      </w:pPr>
      <w:r>
        <w:rPr>
          <w:rFonts w:hint="eastAsia" w:ascii="宋体" w:hAnsi="宋体" w:eastAsia="宋体" w:cs="宋体"/>
          <w:spacing w:val="14"/>
          <w:sz w:val="23"/>
          <w:szCs w:val="23"/>
        </w:rPr>
        <w:t>第</w:t>
      </w:r>
      <w:r>
        <w:rPr>
          <w:rFonts w:hint="eastAsia" w:ascii="宋体" w:hAnsi="宋体" w:eastAsia="宋体" w:cs="宋体"/>
          <w:spacing w:val="12"/>
          <w:sz w:val="23"/>
          <w:szCs w:val="23"/>
        </w:rPr>
        <w:t>十六条 政府采购监督检查、投诉处理及政府采购行政处罚中对中</w:t>
      </w:r>
      <w:r>
        <w:rPr>
          <w:rFonts w:hint="eastAsia" w:ascii="宋体" w:hAnsi="宋体" w:eastAsia="宋体" w:cs="宋体"/>
          <w:spacing w:val="22"/>
          <w:sz w:val="23"/>
          <w:szCs w:val="23"/>
        </w:rPr>
        <w:t>小</w:t>
      </w:r>
      <w:r>
        <w:rPr>
          <w:rFonts w:hint="eastAsia" w:ascii="宋体" w:hAnsi="宋体" w:eastAsia="宋体" w:cs="宋体"/>
          <w:spacing w:val="18"/>
          <w:sz w:val="23"/>
          <w:szCs w:val="23"/>
        </w:rPr>
        <w:t>企业的认定，由货物制造商或者工程、服务 供应商注册登记所在地的</w:t>
      </w:r>
      <w:r>
        <w:rPr>
          <w:rFonts w:hint="eastAsia" w:ascii="宋体" w:hAnsi="宋体" w:eastAsia="宋体" w:cs="宋体"/>
          <w:spacing w:val="30"/>
          <w:sz w:val="23"/>
          <w:szCs w:val="23"/>
        </w:rPr>
        <w:t>县</w:t>
      </w:r>
      <w:r>
        <w:rPr>
          <w:rFonts w:hint="eastAsia" w:ascii="宋体" w:hAnsi="宋体" w:eastAsia="宋体" w:cs="宋体"/>
          <w:spacing w:val="28"/>
          <w:sz w:val="23"/>
          <w:szCs w:val="23"/>
        </w:rPr>
        <w:t>级以上人民政府中小企业主管部门负责。</w:t>
      </w:r>
    </w:p>
    <w:p w14:paraId="36294DB2">
      <w:pPr>
        <w:spacing w:before="3" w:line="392" w:lineRule="auto"/>
        <w:ind w:left="144" w:right="406" w:firstLine="729"/>
        <w:rPr>
          <w:rFonts w:hint="eastAsia" w:ascii="宋体" w:hAnsi="宋体" w:eastAsia="宋体" w:cs="宋体"/>
          <w:sz w:val="23"/>
          <w:szCs w:val="23"/>
        </w:rPr>
      </w:pPr>
      <w:r>
        <w:rPr>
          <w:rFonts w:hint="eastAsia" w:ascii="宋体" w:hAnsi="宋体" w:eastAsia="宋体" w:cs="宋体"/>
          <w:spacing w:val="49"/>
          <w:sz w:val="23"/>
          <w:szCs w:val="23"/>
        </w:rPr>
        <w:t>中</w:t>
      </w:r>
      <w:r>
        <w:rPr>
          <w:rFonts w:hint="eastAsia" w:ascii="宋体" w:hAnsi="宋体" w:eastAsia="宋体" w:cs="宋体"/>
          <w:spacing w:val="33"/>
          <w:sz w:val="23"/>
          <w:szCs w:val="23"/>
        </w:rPr>
        <w:t>小企业主管部门应当在收到财政部门或者有关招标投标行政</w:t>
      </w:r>
      <w:r>
        <w:rPr>
          <w:rFonts w:hint="eastAsia" w:ascii="宋体" w:hAnsi="宋体" w:eastAsia="宋体" w:cs="宋体"/>
          <w:spacing w:val="7"/>
          <w:sz w:val="23"/>
          <w:szCs w:val="23"/>
        </w:rPr>
        <w:t>监督部门关于协助开展中小企业认定 函后10个工作 日 内做 出书面</w:t>
      </w:r>
      <w:r>
        <w:rPr>
          <w:rFonts w:hint="eastAsia" w:ascii="宋体" w:hAnsi="宋体" w:eastAsia="宋体" w:cs="宋体"/>
          <w:spacing w:val="3"/>
          <w:sz w:val="23"/>
          <w:szCs w:val="23"/>
        </w:rPr>
        <w:t>答</w:t>
      </w:r>
      <w:r>
        <w:rPr>
          <w:rFonts w:hint="eastAsia" w:ascii="宋体" w:hAnsi="宋体" w:eastAsia="宋体" w:cs="宋体"/>
          <w:spacing w:val="-1"/>
          <w:sz w:val="23"/>
          <w:szCs w:val="23"/>
        </w:rPr>
        <w:t>复</w:t>
      </w:r>
      <w:r>
        <w:rPr>
          <w:rFonts w:hint="eastAsia" w:ascii="宋体" w:hAnsi="宋体" w:eastAsia="宋体" w:cs="宋体"/>
          <w:sz w:val="23"/>
          <w:szCs w:val="23"/>
        </w:rPr>
        <w:t>。</w:t>
      </w:r>
    </w:p>
    <w:p w14:paraId="4B5364B3">
      <w:pPr>
        <w:spacing w:before="4" w:line="392" w:lineRule="auto"/>
        <w:ind w:left="142" w:right="80" w:firstLine="641"/>
        <w:rPr>
          <w:rFonts w:hint="eastAsia" w:ascii="宋体" w:hAnsi="宋体" w:eastAsia="宋体" w:cs="宋体"/>
          <w:sz w:val="23"/>
          <w:szCs w:val="23"/>
        </w:rPr>
      </w:pPr>
      <w:r>
        <w:rPr>
          <w:rFonts w:hint="eastAsia" w:ascii="宋体" w:hAnsi="宋体" w:eastAsia="宋体" w:cs="宋体"/>
          <w:spacing w:val="9"/>
          <w:sz w:val="23"/>
          <w:szCs w:val="23"/>
        </w:rPr>
        <w:t>第十七条 各地区、各部门应当对涉及中小企业采购的预算项目实施全</w:t>
      </w:r>
      <w:r>
        <w:rPr>
          <w:rFonts w:hint="eastAsia" w:ascii="宋体" w:hAnsi="宋体" w:eastAsia="宋体" w:cs="宋体"/>
          <w:spacing w:val="7"/>
          <w:sz w:val="23"/>
          <w:szCs w:val="23"/>
        </w:rPr>
        <w:t>过</w:t>
      </w:r>
      <w:r>
        <w:rPr>
          <w:rFonts w:hint="eastAsia" w:ascii="宋体" w:hAnsi="宋体" w:eastAsia="宋体" w:cs="宋体"/>
          <w:sz w:val="23"/>
          <w:szCs w:val="23"/>
        </w:rPr>
        <w:t xml:space="preserve"> </w:t>
      </w:r>
      <w:r>
        <w:rPr>
          <w:rFonts w:hint="eastAsia" w:ascii="宋体" w:hAnsi="宋体" w:eastAsia="宋体" w:cs="宋体"/>
          <w:spacing w:val="20"/>
          <w:sz w:val="23"/>
          <w:szCs w:val="23"/>
        </w:rPr>
        <w:t>程绩</w:t>
      </w:r>
      <w:r>
        <w:rPr>
          <w:rFonts w:hint="eastAsia" w:ascii="宋体" w:hAnsi="宋体" w:eastAsia="宋体" w:cs="宋体"/>
          <w:spacing w:val="10"/>
          <w:sz w:val="23"/>
          <w:szCs w:val="23"/>
        </w:rPr>
        <w:t>效管理，合理设置绩效目标和指标，落实扶持中小企业有关政策要求，定</w:t>
      </w:r>
      <w:r>
        <w:rPr>
          <w:rFonts w:hint="eastAsia" w:ascii="宋体" w:hAnsi="宋体" w:eastAsia="宋体" w:cs="宋体"/>
          <w:sz w:val="23"/>
          <w:szCs w:val="23"/>
        </w:rPr>
        <w:t xml:space="preserve"> </w:t>
      </w:r>
      <w:r>
        <w:rPr>
          <w:rFonts w:hint="eastAsia" w:ascii="宋体" w:hAnsi="宋体" w:eastAsia="宋体" w:cs="宋体"/>
          <w:spacing w:val="10"/>
          <w:sz w:val="23"/>
          <w:szCs w:val="23"/>
        </w:rPr>
        <w:t>期开</w:t>
      </w:r>
      <w:r>
        <w:rPr>
          <w:rFonts w:hint="eastAsia" w:ascii="宋体" w:hAnsi="宋体" w:eastAsia="宋体" w:cs="宋体"/>
          <w:spacing w:val="7"/>
          <w:sz w:val="23"/>
          <w:szCs w:val="23"/>
        </w:rPr>
        <w:t>展</w:t>
      </w:r>
      <w:r>
        <w:rPr>
          <w:rFonts w:hint="eastAsia" w:ascii="宋体" w:hAnsi="宋体" w:eastAsia="宋体" w:cs="宋体"/>
          <w:spacing w:val="5"/>
          <w:sz w:val="23"/>
          <w:szCs w:val="23"/>
        </w:rPr>
        <w:t>绩效监控和评价，  强化绩效评价结果应用。</w:t>
      </w:r>
    </w:p>
    <w:p w14:paraId="631CB3B4">
      <w:pPr>
        <w:spacing w:before="1" w:line="392" w:lineRule="auto"/>
        <w:ind w:left="147" w:firstLine="636"/>
        <w:rPr>
          <w:rFonts w:hint="eastAsia" w:ascii="宋体" w:hAnsi="宋体" w:eastAsia="宋体" w:cs="宋体"/>
          <w:sz w:val="23"/>
          <w:szCs w:val="23"/>
        </w:rPr>
      </w:pPr>
      <w:r>
        <w:rPr>
          <w:rFonts w:hint="eastAsia" w:ascii="宋体" w:hAnsi="宋体" w:eastAsia="宋体" w:cs="宋体"/>
          <w:spacing w:val="16"/>
          <w:sz w:val="23"/>
          <w:szCs w:val="23"/>
        </w:rPr>
        <w:t>第</w:t>
      </w:r>
      <w:r>
        <w:rPr>
          <w:rFonts w:hint="eastAsia" w:ascii="宋体" w:hAnsi="宋体" w:eastAsia="宋体" w:cs="宋体"/>
          <w:spacing w:val="11"/>
          <w:sz w:val="23"/>
          <w:szCs w:val="23"/>
        </w:rPr>
        <w:t>十</w:t>
      </w:r>
      <w:r>
        <w:rPr>
          <w:rFonts w:hint="eastAsia" w:ascii="宋体" w:hAnsi="宋体" w:eastAsia="宋体" w:cs="宋体"/>
          <w:spacing w:val="8"/>
          <w:sz w:val="23"/>
          <w:szCs w:val="23"/>
        </w:rPr>
        <w:t>八条 主管预算单位应当自 2022 年起向同级财政部门报告本部门上</w:t>
      </w:r>
      <w:r>
        <w:rPr>
          <w:rFonts w:hint="eastAsia" w:ascii="宋体" w:hAnsi="宋体" w:eastAsia="宋体" w:cs="宋体"/>
          <w:sz w:val="23"/>
          <w:szCs w:val="23"/>
        </w:rPr>
        <w:t xml:space="preserve"> </w:t>
      </w:r>
      <w:r>
        <w:rPr>
          <w:rFonts w:hint="eastAsia" w:ascii="宋体" w:hAnsi="宋体" w:eastAsia="宋体" w:cs="宋体"/>
          <w:spacing w:val="20"/>
          <w:sz w:val="23"/>
          <w:szCs w:val="23"/>
        </w:rPr>
        <w:t>一</w:t>
      </w:r>
      <w:r>
        <w:rPr>
          <w:rFonts w:hint="eastAsia" w:ascii="宋体" w:hAnsi="宋体" w:eastAsia="宋体" w:cs="宋体"/>
          <w:spacing w:val="15"/>
          <w:sz w:val="23"/>
          <w:szCs w:val="23"/>
        </w:rPr>
        <w:t>年</w:t>
      </w:r>
      <w:r>
        <w:rPr>
          <w:rFonts w:hint="eastAsia" w:ascii="宋体" w:hAnsi="宋体" w:eastAsia="宋体" w:cs="宋体"/>
          <w:spacing w:val="10"/>
          <w:sz w:val="23"/>
          <w:szCs w:val="23"/>
        </w:rPr>
        <w:t>度面向中小企业预留份额和采购的具体情况，并在中国政府采购网公开预</w:t>
      </w:r>
      <w:r>
        <w:rPr>
          <w:rFonts w:hint="eastAsia" w:ascii="宋体" w:hAnsi="宋体" w:eastAsia="宋体" w:cs="宋体"/>
          <w:sz w:val="23"/>
          <w:szCs w:val="23"/>
        </w:rPr>
        <w:t xml:space="preserve"> </w:t>
      </w:r>
      <w:r>
        <w:rPr>
          <w:rFonts w:hint="eastAsia" w:ascii="宋体" w:hAnsi="宋体" w:eastAsia="宋体" w:cs="宋体"/>
          <w:spacing w:val="10"/>
          <w:sz w:val="23"/>
          <w:szCs w:val="23"/>
        </w:rPr>
        <w:t>留项目执</w:t>
      </w:r>
      <w:r>
        <w:rPr>
          <w:rFonts w:hint="eastAsia" w:ascii="宋体" w:hAnsi="宋体" w:eastAsia="宋体" w:cs="宋体"/>
          <w:spacing w:val="5"/>
          <w:sz w:val="23"/>
          <w:szCs w:val="23"/>
        </w:rPr>
        <w:t>行情况(附 2)。未达到本办法规定的预留份额比例的，应当作出说明。</w:t>
      </w:r>
    </w:p>
    <w:p w14:paraId="7E363DD4">
      <w:pPr>
        <w:spacing w:before="1" w:line="392" w:lineRule="auto"/>
        <w:ind w:left="147" w:firstLine="636"/>
        <w:rPr>
          <w:rFonts w:hint="eastAsia" w:ascii="宋体" w:hAnsi="宋体" w:eastAsia="宋体" w:cs="宋体"/>
          <w:spacing w:val="8"/>
          <w:sz w:val="23"/>
          <w:szCs w:val="23"/>
        </w:rPr>
      </w:pPr>
      <w:r>
        <w:rPr>
          <w:rFonts w:hint="eastAsia" w:ascii="宋体" w:hAnsi="宋体" w:eastAsia="宋体" w:cs="宋体"/>
          <w:spacing w:val="8"/>
          <w:sz w:val="23"/>
          <w:szCs w:val="23"/>
        </w:rPr>
        <w:t>第十九条 采购人未按本办法规定为中小企业预留采购份额，采购人、采购代理机构未按照本办法规定要求实施价格扣除或者价格分加分的，属于未按 照规定执行政府采购政策，依照《中华人民共和国政府采购法》等国家有关规 定追究法律责任。</w:t>
      </w:r>
    </w:p>
    <w:p w14:paraId="0FE73932">
      <w:pPr>
        <w:spacing w:before="1" w:line="392" w:lineRule="auto"/>
        <w:ind w:left="147" w:firstLine="636"/>
        <w:rPr>
          <w:rFonts w:hint="eastAsia" w:ascii="宋体" w:hAnsi="宋体" w:eastAsia="宋体" w:cs="宋体"/>
          <w:spacing w:val="8"/>
          <w:sz w:val="23"/>
          <w:szCs w:val="23"/>
        </w:rPr>
      </w:pPr>
      <w:r>
        <w:rPr>
          <w:rFonts w:hint="eastAsia" w:ascii="宋体" w:hAnsi="宋体" w:eastAsia="宋体" w:cs="宋体"/>
          <w:spacing w:val="8"/>
          <w:sz w:val="23"/>
          <w:szCs w:val="23"/>
        </w:rPr>
        <w:t>第二十条 供应商按照本办法规定提供声明函内容不实的，属于 提供虚假材料谋取中标、成交，依照《中华人民 共和国政府采购法》等国 家有关规定追究相应责任。</w:t>
      </w:r>
    </w:p>
    <w:p w14:paraId="3B4E12B1">
      <w:pPr>
        <w:spacing w:before="1" w:line="392" w:lineRule="auto"/>
        <w:ind w:left="147" w:firstLine="636"/>
        <w:rPr>
          <w:rFonts w:hint="eastAsia" w:ascii="宋体" w:hAnsi="宋体" w:eastAsia="宋体" w:cs="宋体"/>
          <w:spacing w:val="8"/>
          <w:sz w:val="23"/>
          <w:szCs w:val="23"/>
        </w:rPr>
      </w:pPr>
      <w:r>
        <w:rPr>
          <w:rFonts w:hint="eastAsia" w:ascii="宋体" w:hAnsi="宋体" w:eastAsia="宋体" w:cs="宋体"/>
          <w:spacing w:val="8"/>
          <w:sz w:val="23"/>
          <w:szCs w:val="23"/>
        </w:rPr>
        <w:t>适用招标投标法的政府采购工程建设项目，投标人按照本办法规定提供 声明函内容不实的，属于弄虚作假骗取中标，  依照《中华人民共和国招标投标 法》等国家有关规定追究相应责任。</w:t>
      </w:r>
    </w:p>
    <w:p w14:paraId="05F28BCD">
      <w:pPr>
        <w:spacing w:before="1" w:line="392" w:lineRule="auto"/>
        <w:ind w:left="147" w:firstLine="636"/>
        <w:rPr>
          <w:rFonts w:hint="eastAsia" w:ascii="宋体" w:hAnsi="宋体" w:eastAsia="宋体" w:cs="宋体"/>
          <w:spacing w:val="8"/>
          <w:sz w:val="23"/>
          <w:szCs w:val="23"/>
        </w:rPr>
      </w:pPr>
      <w:r>
        <w:rPr>
          <w:rFonts w:hint="eastAsia" w:ascii="宋体" w:hAnsi="宋体" w:eastAsia="宋体" w:cs="宋体"/>
          <w:spacing w:val="8"/>
          <w:sz w:val="23"/>
          <w:szCs w:val="23"/>
        </w:rPr>
        <w:t>第二十一条 财政部门、中小企业主管部门及其工作人员在履行职责</w:t>
      </w:r>
    </w:p>
    <w:p w14:paraId="1242B89D">
      <w:pPr>
        <w:spacing w:before="1" w:line="392" w:lineRule="auto"/>
        <w:ind w:left="147" w:firstLine="636"/>
        <w:rPr>
          <w:rFonts w:hint="eastAsia" w:ascii="宋体" w:hAnsi="宋体" w:eastAsia="宋体" w:cs="宋体"/>
          <w:spacing w:val="8"/>
          <w:sz w:val="23"/>
          <w:szCs w:val="23"/>
        </w:rPr>
      </w:pPr>
      <w:r>
        <w:rPr>
          <w:rFonts w:hint="eastAsia" w:ascii="宋体" w:hAnsi="宋体" w:eastAsia="宋体" w:cs="宋体"/>
          <w:spacing w:val="8"/>
          <w:sz w:val="23"/>
          <w:szCs w:val="23"/>
        </w:rPr>
        <w:t>中违反本办法规定及存在其他滥用职权、玩忽 职守、徇私舞弊等违法违纪</w:t>
      </w:r>
    </w:p>
    <w:p w14:paraId="427D4E84">
      <w:pPr>
        <w:spacing w:before="1" w:line="392" w:lineRule="auto"/>
        <w:ind w:left="147" w:firstLine="636"/>
        <w:rPr>
          <w:rFonts w:hint="eastAsia" w:ascii="宋体" w:hAnsi="宋体" w:eastAsia="宋体" w:cs="宋体"/>
          <w:spacing w:val="8"/>
          <w:sz w:val="23"/>
          <w:szCs w:val="23"/>
        </w:rPr>
      </w:pPr>
      <w:r>
        <w:rPr>
          <w:rFonts w:hint="eastAsia" w:ascii="宋体" w:hAnsi="宋体" w:eastAsia="宋体" w:cs="宋体"/>
          <w:spacing w:val="8"/>
          <w:sz w:val="23"/>
          <w:szCs w:val="23"/>
        </w:rPr>
        <w:t>行为的，依照《</w:t>
      </w:r>
      <w:r>
        <w:rPr>
          <w:rFonts w:hint="eastAsia" w:ascii="宋体" w:hAnsi="宋体" w:eastAsia="宋体" w:cs="宋体"/>
          <w:spacing w:val="8"/>
          <w:sz w:val="23"/>
          <w:szCs w:val="23"/>
        </w:rPr>
        <w:fldChar w:fldCharType="begin"/>
      </w:r>
      <w:r>
        <w:rPr>
          <w:rFonts w:hint="eastAsia" w:ascii="宋体" w:hAnsi="宋体" w:eastAsia="宋体" w:cs="宋体"/>
          <w:spacing w:val="8"/>
          <w:sz w:val="23"/>
          <w:szCs w:val="23"/>
        </w:rPr>
        <w:instrText xml:space="preserve"> HYPERLINK "http://10.162.100.18:168/golaw?dbnm=gjfg&amp;amp;flid=1116012014128049" </w:instrText>
      </w:r>
      <w:r>
        <w:rPr>
          <w:rFonts w:hint="eastAsia" w:ascii="宋体" w:hAnsi="宋体" w:eastAsia="宋体" w:cs="宋体"/>
          <w:spacing w:val="8"/>
          <w:sz w:val="23"/>
          <w:szCs w:val="23"/>
        </w:rPr>
        <w:fldChar w:fldCharType="separate"/>
      </w:r>
      <w:r>
        <w:rPr>
          <w:rFonts w:hint="eastAsia" w:ascii="宋体" w:hAnsi="宋体" w:eastAsia="宋体" w:cs="宋体"/>
          <w:spacing w:val="8"/>
          <w:sz w:val="23"/>
          <w:szCs w:val="23"/>
        </w:rPr>
        <w:t>中华人民共和国</w:t>
      </w:r>
      <w:r>
        <w:rPr>
          <w:rFonts w:hint="eastAsia" w:ascii="宋体" w:hAnsi="宋体" w:eastAsia="宋体" w:cs="宋体"/>
          <w:spacing w:val="8"/>
          <w:sz w:val="23"/>
          <w:szCs w:val="23"/>
        </w:rPr>
        <w:fldChar w:fldCharType="end"/>
      </w:r>
      <w:r>
        <w:rPr>
          <w:rFonts w:hint="eastAsia" w:ascii="宋体" w:hAnsi="宋体" w:eastAsia="宋体" w:cs="宋体"/>
          <w:spacing w:val="8"/>
          <w:sz w:val="23"/>
          <w:szCs w:val="23"/>
        </w:rPr>
        <w:t xml:space="preserve"> 政府采购法</w:t>
      </w:r>
      <w:r>
        <w:rPr>
          <w:rFonts w:hint="eastAsia" w:ascii="宋体" w:hAnsi="宋体" w:eastAsia="宋体" w:cs="宋体"/>
          <w:spacing w:val="8"/>
          <w:sz w:val="23"/>
          <w:szCs w:val="23"/>
        </w:rPr>
        <w:fldChar w:fldCharType="begin"/>
      </w:r>
      <w:r>
        <w:rPr>
          <w:rFonts w:hint="eastAsia" w:ascii="宋体" w:hAnsi="宋体" w:eastAsia="宋体" w:cs="宋体"/>
          <w:spacing w:val="8"/>
          <w:sz w:val="23"/>
          <w:szCs w:val="23"/>
        </w:rPr>
        <w:instrText xml:space="preserve"> HYPERLINK "http://10.162.100.18:168/golaw?dbnm=gjfg&amp;amp;flid=111601200501" </w:instrText>
      </w:r>
      <w:r>
        <w:rPr>
          <w:rFonts w:hint="eastAsia" w:ascii="宋体" w:hAnsi="宋体" w:eastAsia="宋体" w:cs="宋体"/>
          <w:spacing w:val="8"/>
          <w:sz w:val="23"/>
          <w:szCs w:val="23"/>
        </w:rPr>
        <w:fldChar w:fldCharType="separate"/>
      </w:r>
      <w:r>
        <w:rPr>
          <w:rFonts w:hint="eastAsia" w:ascii="宋体" w:hAnsi="宋体" w:eastAsia="宋体" w:cs="宋体"/>
          <w:spacing w:val="8"/>
          <w:sz w:val="23"/>
          <w:szCs w:val="23"/>
        </w:rPr>
        <w:t>》、《中华人民共和国公务员法</w:t>
      </w:r>
      <w:r>
        <w:rPr>
          <w:rFonts w:hint="eastAsia" w:ascii="宋体" w:hAnsi="宋体" w:eastAsia="宋体" w:cs="宋体"/>
          <w:spacing w:val="8"/>
          <w:sz w:val="23"/>
          <w:szCs w:val="23"/>
        </w:rPr>
        <w:fldChar w:fldCharType="end"/>
      </w:r>
      <w:r>
        <w:rPr>
          <w:rFonts w:hint="eastAsia" w:ascii="宋体" w:hAnsi="宋体" w:eastAsia="宋体" w:cs="宋体"/>
          <w:spacing w:val="8"/>
          <w:sz w:val="23"/>
          <w:szCs w:val="23"/>
        </w:rPr>
        <w:drawing>
          <wp:inline distT="0" distB="0" distL="114300" distR="114300">
            <wp:extent cx="74295" cy="151765"/>
            <wp:effectExtent l="0" t="0" r="1905" b="635"/>
            <wp:docPr id="14" name="图片 2"/>
            <wp:cNvGraphicFramePr/>
            <a:graphic xmlns:a="http://schemas.openxmlformats.org/drawingml/2006/main">
              <a:graphicData uri="http://schemas.openxmlformats.org/drawingml/2006/picture">
                <pic:pic xmlns:pic="http://schemas.openxmlformats.org/drawingml/2006/picture">
                  <pic:nvPicPr>
                    <pic:cNvPr id="14" name="图片 2"/>
                    <pic:cNvPicPr/>
                  </pic:nvPicPr>
                  <pic:blipFill>
                    <a:blip r:embed="rId22"/>
                    <a:stretch>
                      <a:fillRect/>
                    </a:stretch>
                  </pic:blipFill>
                  <pic:spPr>
                    <a:xfrm>
                      <a:off x="0" y="0"/>
                      <a:ext cx="74295" cy="151765"/>
                    </a:xfrm>
                    <a:prstGeom prst="rect">
                      <a:avLst/>
                    </a:prstGeom>
                    <a:noFill/>
                    <a:ln>
                      <a:noFill/>
                    </a:ln>
                  </pic:spPr>
                </pic:pic>
              </a:graphicData>
            </a:graphic>
          </wp:inline>
        </w:drawing>
      </w:r>
      <w:r>
        <w:rPr>
          <w:rFonts w:hint="eastAsia" w:ascii="宋体" w:hAnsi="宋体" w:eastAsia="宋体" w:cs="宋体"/>
          <w:spacing w:val="8"/>
          <w:sz w:val="23"/>
          <w:szCs w:val="23"/>
        </w:rPr>
        <w:t>《</w:t>
      </w:r>
      <w:r>
        <w:rPr>
          <w:rFonts w:hint="eastAsia" w:ascii="宋体" w:hAnsi="宋体" w:eastAsia="宋体" w:cs="宋体"/>
          <w:spacing w:val="8"/>
          <w:sz w:val="23"/>
          <w:szCs w:val="23"/>
        </w:rPr>
        <w:fldChar w:fldCharType="begin"/>
      </w:r>
      <w:r>
        <w:rPr>
          <w:rFonts w:hint="eastAsia" w:ascii="宋体" w:hAnsi="宋体" w:eastAsia="宋体" w:cs="宋体"/>
          <w:spacing w:val="8"/>
          <w:sz w:val="23"/>
          <w:szCs w:val="23"/>
        </w:rPr>
        <w:instrText xml:space="preserve"> HYPERLINK "http://10.162.100.18:168/golaw?dbnm=gjfg&amp;amp;flid=1117032010100014" </w:instrText>
      </w:r>
      <w:r>
        <w:rPr>
          <w:rFonts w:hint="eastAsia" w:ascii="宋体" w:hAnsi="宋体" w:eastAsia="宋体" w:cs="宋体"/>
          <w:spacing w:val="8"/>
          <w:sz w:val="23"/>
          <w:szCs w:val="23"/>
        </w:rPr>
        <w:fldChar w:fldCharType="separate"/>
      </w:r>
      <w:r>
        <w:rPr>
          <w:rFonts w:hint="eastAsia" w:ascii="宋体" w:hAnsi="宋体" w:eastAsia="宋体" w:cs="宋体"/>
          <w:spacing w:val="8"/>
          <w:sz w:val="23"/>
          <w:szCs w:val="23"/>
        </w:rPr>
        <w:t>中</w:t>
      </w:r>
      <w:r>
        <w:rPr>
          <w:rFonts w:hint="eastAsia" w:ascii="宋体" w:hAnsi="宋体" w:eastAsia="宋体" w:cs="宋体"/>
          <w:spacing w:val="8"/>
          <w:sz w:val="23"/>
          <w:szCs w:val="23"/>
        </w:rPr>
        <w:fldChar w:fldCharType="end"/>
      </w:r>
      <w:r>
        <w:rPr>
          <w:rFonts w:hint="eastAsia" w:ascii="宋体" w:hAnsi="宋体" w:eastAsia="宋体" w:cs="宋体"/>
          <w:spacing w:val="8"/>
          <w:sz w:val="23"/>
          <w:szCs w:val="23"/>
        </w:rPr>
        <w:t xml:space="preserve"> 华人民共和 国监察法</w:t>
      </w:r>
      <w:r>
        <w:rPr>
          <w:rFonts w:hint="eastAsia" w:ascii="宋体" w:hAnsi="宋体" w:eastAsia="宋体" w:cs="宋体"/>
          <w:spacing w:val="8"/>
          <w:sz w:val="23"/>
          <w:szCs w:val="23"/>
        </w:rPr>
        <w:fldChar w:fldCharType="begin"/>
      </w:r>
      <w:r>
        <w:rPr>
          <w:rFonts w:hint="eastAsia" w:ascii="宋体" w:hAnsi="宋体" w:eastAsia="宋体" w:cs="宋体"/>
          <w:spacing w:val="8"/>
          <w:sz w:val="23"/>
          <w:szCs w:val="23"/>
        </w:rPr>
        <w:instrText xml:space="preserve"> HYPERLINK "http://10.162.100.18:168/golaw?dbnm=gjfg&amp;amp;flid=1129012015130679" </w:instrText>
      </w:r>
      <w:r>
        <w:rPr>
          <w:rFonts w:hint="eastAsia" w:ascii="宋体" w:hAnsi="宋体" w:eastAsia="宋体" w:cs="宋体"/>
          <w:spacing w:val="8"/>
          <w:sz w:val="23"/>
          <w:szCs w:val="23"/>
        </w:rPr>
        <w:fldChar w:fldCharType="separate"/>
      </w:r>
      <w:r>
        <w:rPr>
          <w:rFonts w:hint="eastAsia" w:ascii="宋体" w:hAnsi="宋体" w:eastAsia="宋体" w:cs="宋体"/>
          <w:spacing w:val="8"/>
          <w:sz w:val="23"/>
          <w:szCs w:val="23"/>
        </w:rPr>
        <w:t>》、《中华人民共和国政府采购法实施</w:t>
      </w:r>
      <w:r>
        <w:rPr>
          <w:rFonts w:hint="eastAsia" w:ascii="宋体" w:hAnsi="宋体" w:eastAsia="宋体" w:cs="宋体"/>
          <w:spacing w:val="8"/>
          <w:sz w:val="23"/>
          <w:szCs w:val="23"/>
        </w:rPr>
        <w:fldChar w:fldCharType="end"/>
      </w:r>
      <w:r>
        <w:rPr>
          <w:rFonts w:hint="eastAsia" w:ascii="宋体" w:hAnsi="宋体" w:eastAsia="宋体" w:cs="宋体"/>
          <w:spacing w:val="8"/>
          <w:sz w:val="23"/>
          <w:szCs w:val="23"/>
        </w:rPr>
        <w:t>条例》等国家有关规定追究相应责任；涉嫌犯罪的，依法移送有关国家机关处理。</w:t>
      </w:r>
    </w:p>
    <w:p w14:paraId="28123FB4">
      <w:pPr>
        <w:spacing w:before="228" w:line="400" w:lineRule="auto"/>
        <w:ind w:left="149" w:right="335" w:firstLine="702"/>
        <w:rPr>
          <w:rFonts w:hint="eastAsia" w:ascii="宋体" w:hAnsi="宋体" w:eastAsia="宋体" w:cs="宋体"/>
          <w:sz w:val="23"/>
          <w:szCs w:val="23"/>
        </w:rPr>
      </w:pPr>
      <w:r>
        <w:rPr>
          <w:rFonts w:hint="eastAsia" w:ascii="宋体" w:hAnsi="宋体" w:eastAsia="宋体" w:cs="宋体"/>
          <w:spacing w:val="14"/>
          <w:sz w:val="23"/>
          <w:szCs w:val="23"/>
        </w:rPr>
        <w:t>第</w:t>
      </w:r>
      <w:r>
        <w:rPr>
          <w:rFonts w:hint="eastAsia" w:ascii="宋体" w:hAnsi="宋体" w:eastAsia="宋体" w:cs="宋体"/>
          <w:spacing w:val="12"/>
          <w:sz w:val="23"/>
          <w:szCs w:val="23"/>
        </w:rPr>
        <w:t>二十二条 对外援助项目、国家相关资格或者资质管理制度另有规</w:t>
      </w:r>
      <w:r>
        <w:rPr>
          <w:rFonts w:hint="eastAsia" w:ascii="宋体" w:hAnsi="宋体" w:eastAsia="宋体" w:cs="宋体"/>
          <w:sz w:val="23"/>
          <w:szCs w:val="23"/>
        </w:rPr>
        <w:t xml:space="preserve"> </w:t>
      </w:r>
      <w:r>
        <w:rPr>
          <w:rFonts w:hint="eastAsia" w:ascii="宋体" w:hAnsi="宋体" w:eastAsia="宋体" w:cs="宋体"/>
          <w:spacing w:val="12"/>
          <w:sz w:val="23"/>
          <w:szCs w:val="23"/>
        </w:rPr>
        <w:t>定</w:t>
      </w:r>
      <w:r>
        <w:rPr>
          <w:rFonts w:hint="eastAsia" w:ascii="宋体" w:hAnsi="宋体" w:eastAsia="宋体" w:cs="宋体"/>
          <w:spacing w:val="9"/>
          <w:sz w:val="23"/>
          <w:szCs w:val="23"/>
        </w:rPr>
        <w:t>的项目，不适用本办法。</w:t>
      </w:r>
    </w:p>
    <w:p w14:paraId="7A77C411">
      <w:pPr>
        <w:spacing w:before="2" w:line="398" w:lineRule="auto"/>
        <w:ind w:left="145" w:right="335" w:firstLine="706"/>
        <w:rPr>
          <w:rFonts w:hint="eastAsia" w:ascii="宋体" w:hAnsi="宋体" w:eastAsia="宋体" w:cs="宋体"/>
          <w:sz w:val="23"/>
          <w:szCs w:val="23"/>
        </w:rPr>
      </w:pPr>
      <w:r>
        <w:rPr>
          <w:rFonts w:hint="eastAsia" w:ascii="宋体" w:hAnsi="宋体" w:eastAsia="宋体" w:cs="宋体"/>
          <w:spacing w:val="38"/>
          <w:sz w:val="23"/>
          <w:szCs w:val="23"/>
        </w:rPr>
        <w:t>第</w:t>
      </w:r>
      <w:r>
        <w:rPr>
          <w:rFonts w:hint="eastAsia" w:ascii="宋体" w:hAnsi="宋体" w:eastAsia="宋体" w:cs="宋体"/>
          <w:spacing w:val="28"/>
          <w:sz w:val="23"/>
          <w:szCs w:val="23"/>
        </w:rPr>
        <w:t>二十三条   关于视同中小企业的其他主体的政府采购扶持政</w:t>
      </w:r>
      <w:r>
        <w:rPr>
          <w:rFonts w:hint="eastAsia" w:ascii="宋体" w:hAnsi="宋体" w:eastAsia="宋体" w:cs="宋体"/>
          <w:sz w:val="23"/>
          <w:szCs w:val="23"/>
        </w:rPr>
        <w:t xml:space="preserve"> </w:t>
      </w:r>
      <w:r>
        <w:rPr>
          <w:rFonts w:hint="eastAsia" w:ascii="宋体" w:hAnsi="宋体" w:eastAsia="宋体" w:cs="宋体"/>
          <w:spacing w:val="17"/>
          <w:sz w:val="23"/>
          <w:szCs w:val="23"/>
        </w:rPr>
        <w:t>策</w:t>
      </w:r>
      <w:r>
        <w:rPr>
          <w:rFonts w:hint="eastAsia" w:ascii="宋体" w:hAnsi="宋体" w:eastAsia="宋体" w:cs="宋体"/>
          <w:spacing w:val="10"/>
          <w:sz w:val="23"/>
          <w:szCs w:val="23"/>
        </w:rPr>
        <w:t>，由财政部会同有关部门另行规定。</w:t>
      </w:r>
    </w:p>
    <w:p w14:paraId="74B7199A">
      <w:pPr>
        <w:spacing w:line="392" w:lineRule="auto"/>
        <w:ind w:left="163" w:right="40" w:firstLine="688"/>
        <w:rPr>
          <w:rFonts w:hint="eastAsia" w:ascii="宋体" w:hAnsi="宋体" w:eastAsia="宋体" w:cs="宋体"/>
          <w:sz w:val="23"/>
          <w:szCs w:val="23"/>
        </w:rPr>
      </w:pPr>
      <w:r>
        <w:rPr>
          <w:rFonts w:hint="eastAsia" w:ascii="宋体" w:hAnsi="宋体" w:eastAsia="宋体" w:cs="宋体"/>
          <w:spacing w:val="47"/>
          <w:sz w:val="23"/>
          <w:szCs w:val="23"/>
        </w:rPr>
        <w:t>第</w:t>
      </w:r>
      <w:r>
        <w:rPr>
          <w:rFonts w:hint="eastAsia" w:ascii="宋体" w:hAnsi="宋体" w:eastAsia="宋体" w:cs="宋体"/>
          <w:spacing w:val="25"/>
          <w:sz w:val="23"/>
          <w:szCs w:val="23"/>
        </w:rPr>
        <w:t>二十四条 省级财政部门可 以会同中小企业主管部门根据本办法</w:t>
      </w:r>
      <w:r>
        <w:rPr>
          <w:rFonts w:hint="eastAsia" w:ascii="宋体" w:hAnsi="宋体" w:eastAsia="宋体" w:cs="宋体"/>
          <w:sz w:val="23"/>
          <w:szCs w:val="23"/>
        </w:rPr>
        <w:t xml:space="preserve"> </w:t>
      </w:r>
      <w:r>
        <w:rPr>
          <w:rFonts w:hint="eastAsia" w:ascii="宋体" w:hAnsi="宋体" w:eastAsia="宋体" w:cs="宋体"/>
          <w:spacing w:val="9"/>
          <w:sz w:val="23"/>
          <w:szCs w:val="23"/>
        </w:rPr>
        <w:t>的</w:t>
      </w:r>
      <w:r>
        <w:rPr>
          <w:rFonts w:hint="eastAsia" w:ascii="宋体" w:hAnsi="宋体" w:eastAsia="宋体" w:cs="宋体"/>
          <w:spacing w:val="8"/>
          <w:sz w:val="23"/>
          <w:szCs w:val="23"/>
        </w:rPr>
        <w:t>规定制定具体实施办法。</w:t>
      </w:r>
    </w:p>
    <w:p w14:paraId="5864023A">
      <w:pPr>
        <w:spacing w:before="1" w:line="398" w:lineRule="auto"/>
        <w:ind w:left="144" w:right="49" w:firstLine="707"/>
        <w:rPr>
          <w:rFonts w:hint="eastAsia" w:ascii="宋体" w:hAnsi="宋体" w:eastAsia="宋体" w:cs="宋体"/>
          <w:sz w:val="23"/>
          <w:szCs w:val="23"/>
        </w:rPr>
      </w:pPr>
      <w:r>
        <w:rPr>
          <w:rFonts w:hint="eastAsia" w:ascii="宋体" w:hAnsi="宋体" w:eastAsia="宋体" w:cs="宋体"/>
          <w:spacing w:val="-2"/>
          <w:sz w:val="23"/>
          <w:szCs w:val="23"/>
        </w:rPr>
        <w:t>第二</w:t>
      </w:r>
      <w:r>
        <w:rPr>
          <w:rFonts w:hint="eastAsia" w:ascii="宋体" w:hAnsi="宋体" w:eastAsia="宋体" w:cs="宋体"/>
          <w:spacing w:val="-1"/>
          <w:sz w:val="23"/>
          <w:szCs w:val="23"/>
        </w:rPr>
        <w:t>十五条  本办法自 2021 年 1 月 1 日起施行。《财政部 工业和信息</w:t>
      </w:r>
      <w:r>
        <w:rPr>
          <w:rFonts w:hint="eastAsia" w:ascii="宋体" w:hAnsi="宋体" w:eastAsia="宋体" w:cs="宋体"/>
          <w:sz w:val="23"/>
          <w:szCs w:val="23"/>
        </w:rPr>
        <w:t xml:space="preserve"> </w:t>
      </w:r>
      <w:r>
        <w:rPr>
          <w:rFonts w:hint="eastAsia" w:ascii="宋体" w:hAnsi="宋体" w:eastAsia="宋体" w:cs="宋体"/>
          <w:spacing w:val="-9"/>
          <w:sz w:val="23"/>
          <w:szCs w:val="23"/>
        </w:rPr>
        <w:t>化</w:t>
      </w:r>
      <w:r>
        <w:rPr>
          <w:rFonts w:hint="eastAsia" w:ascii="宋体" w:hAnsi="宋体" w:eastAsia="宋体" w:cs="宋体"/>
          <w:spacing w:val="-8"/>
          <w:sz w:val="23"/>
          <w:szCs w:val="23"/>
        </w:rPr>
        <w:t>部关于印发〈政府采购促进中小企业发展 暂行办法〉的通知》(财库 ﹝ 2011 ﹞</w:t>
      </w:r>
      <w:r>
        <w:rPr>
          <w:rFonts w:hint="eastAsia" w:ascii="宋体" w:hAnsi="宋体" w:eastAsia="宋体" w:cs="宋体"/>
          <w:sz w:val="23"/>
          <w:szCs w:val="23"/>
        </w:rPr>
        <w:t xml:space="preserve"> </w:t>
      </w:r>
      <w:r>
        <w:rPr>
          <w:rFonts w:hint="eastAsia" w:ascii="宋体" w:hAnsi="宋体" w:eastAsia="宋体" w:cs="宋体"/>
          <w:spacing w:val="16"/>
          <w:sz w:val="23"/>
          <w:szCs w:val="23"/>
        </w:rPr>
        <w:t>1</w:t>
      </w:r>
      <w:r>
        <w:rPr>
          <w:rFonts w:hint="eastAsia" w:ascii="宋体" w:hAnsi="宋体" w:eastAsia="宋体" w:cs="宋体"/>
          <w:spacing w:val="12"/>
          <w:sz w:val="23"/>
          <w:szCs w:val="23"/>
        </w:rPr>
        <w:t>81 号) 同时废止。</w:t>
      </w:r>
    </w:p>
    <w:p w14:paraId="403860C9">
      <w:pPr>
        <w:rPr>
          <w:rFonts w:hint="eastAsia" w:ascii="宋体" w:hAnsi="宋体" w:eastAsia="宋体" w:cs="宋体"/>
        </w:rPr>
      </w:pPr>
    </w:p>
    <w:p w14:paraId="602EB518">
      <w:pPr>
        <w:rPr>
          <w:rFonts w:hint="eastAsia" w:ascii="宋体" w:hAnsi="宋体" w:eastAsia="宋体" w:cs="宋体"/>
          <w:b/>
          <w:bCs/>
          <w:sz w:val="24"/>
          <w:szCs w:val="28"/>
        </w:rPr>
      </w:pPr>
      <w:r>
        <w:rPr>
          <w:rFonts w:hint="eastAsia" w:ascii="宋体" w:hAnsi="宋体" w:eastAsia="宋体" w:cs="宋体"/>
          <w:b/>
          <w:bCs/>
          <w:sz w:val="24"/>
          <w:szCs w:val="28"/>
        </w:rPr>
        <w:t>附件：关于进一步加大政府采购支持中小企业力度的通知</w:t>
      </w:r>
    </w:p>
    <w:p w14:paraId="726A8875">
      <w:pPr>
        <w:rPr>
          <w:rFonts w:hint="eastAsia" w:ascii="宋体" w:hAnsi="宋体" w:eastAsia="宋体" w:cs="宋体"/>
        </w:rPr>
      </w:pPr>
    </w:p>
    <w:p w14:paraId="22D80223">
      <w:pPr>
        <w:rPr>
          <w:rFonts w:hint="eastAsia" w:ascii="宋体" w:hAnsi="宋体" w:eastAsia="宋体" w:cs="宋体"/>
        </w:rPr>
      </w:pPr>
    </w:p>
    <w:p w14:paraId="45EACB23">
      <w:pPr>
        <w:spacing w:before="66" w:line="410" w:lineRule="exact"/>
        <w:ind w:left="2089"/>
        <w:rPr>
          <w:rFonts w:hint="eastAsia" w:ascii="宋体" w:hAnsi="宋体" w:eastAsia="宋体" w:cs="宋体"/>
          <w:sz w:val="22"/>
          <w:szCs w:val="22"/>
        </w:rPr>
      </w:pPr>
      <w:r>
        <w:rPr>
          <w:rFonts w:hint="eastAsia" w:ascii="宋体" w:hAnsi="宋体" w:eastAsia="宋体" w:cs="宋体"/>
          <w:spacing w:val="9"/>
          <w:position w:val="15"/>
          <w:sz w:val="22"/>
          <w:szCs w:val="22"/>
        </w:rPr>
        <w:t>《关于进一步加大政府采购支持中小企业力度的通知》</w:t>
      </w:r>
    </w:p>
    <w:p w14:paraId="3B718CFB">
      <w:pPr>
        <w:spacing w:before="1" w:line="227" w:lineRule="auto"/>
        <w:ind w:left="3772"/>
        <w:rPr>
          <w:rFonts w:hint="eastAsia" w:ascii="宋体" w:hAnsi="宋体" w:eastAsia="宋体" w:cs="宋体"/>
          <w:sz w:val="22"/>
          <w:szCs w:val="22"/>
        </w:rPr>
      </w:pPr>
      <w:r>
        <w:rPr>
          <w:rFonts w:hint="eastAsia" w:ascii="宋体" w:hAnsi="宋体" w:eastAsia="宋体" w:cs="宋体"/>
          <w:spacing w:val="7"/>
          <w:sz w:val="22"/>
          <w:szCs w:val="22"/>
        </w:rPr>
        <w:t>财库〔2022〕19号</w:t>
      </w:r>
    </w:p>
    <w:p w14:paraId="04A4A4E6">
      <w:pPr>
        <w:spacing w:before="162" w:line="360" w:lineRule="auto"/>
        <w:ind w:left="0" w:leftChars="0" w:firstLine="0" w:firstLineChars="0"/>
        <w:rPr>
          <w:rFonts w:hint="eastAsia" w:ascii="宋体" w:hAnsi="宋体" w:eastAsia="宋体" w:cs="宋体"/>
          <w:spacing w:val="8"/>
          <w:position w:val="15"/>
          <w:sz w:val="24"/>
          <w:szCs w:val="24"/>
        </w:rPr>
      </w:pPr>
      <w:r>
        <w:rPr>
          <w:rFonts w:hint="eastAsia" w:ascii="宋体" w:hAnsi="宋体" w:eastAsia="宋体" w:cs="宋体"/>
          <w:spacing w:val="8"/>
          <w:position w:val="15"/>
          <w:sz w:val="24"/>
          <w:szCs w:val="24"/>
        </w:rPr>
        <w:t>各中央预算单位，各省、自治区、直辖市、计划单列市财政厅（局），新疆生产建设兵团财政局：</w:t>
      </w:r>
    </w:p>
    <w:p w14:paraId="318FA2E9">
      <w:pPr>
        <w:spacing w:before="162" w:line="360" w:lineRule="auto"/>
        <w:ind w:left="0" w:leftChars="0" w:firstLine="512" w:firstLineChars="200"/>
        <w:rPr>
          <w:rFonts w:hint="eastAsia" w:ascii="宋体" w:hAnsi="宋体" w:eastAsia="宋体" w:cs="宋体"/>
          <w:spacing w:val="8"/>
          <w:position w:val="15"/>
          <w:sz w:val="24"/>
          <w:szCs w:val="24"/>
        </w:rPr>
      </w:pPr>
      <w:r>
        <w:rPr>
          <w:rFonts w:hint="eastAsia" w:ascii="宋体" w:hAnsi="宋体" w:eastAsia="宋体" w:cs="宋体"/>
          <w:spacing w:val="8"/>
          <w:position w:val="15"/>
          <w:sz w:val="24"/>
          <w:szCs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B702743">
      <w:pPr>
        <w:spacing w:before="162" w:line="360" w:lineRule="auto"/>
        <w:ind w:left="0" w:leftChars="0" w:firstLine="512" w:firstLineChars="200"/>
        <w:rPr>
          <w:rFonts w:hint="eastAsia" w:ascii="宋体" w:hAnsi="宋体" w:eastAsia="宋体" w:cs="宋体"/>
          <w:spacing w:val="8"/>
          <w:position w:val="15"/>
          <w:sz w:val="24"/>
          <w:szCs w:val="24"/>
        </w:rPr>
      </w:pPr>
      <w:r>
        <w:rPr>
          <w:rFonts w:hint="eastAsia" w:ascii="宋体" w:hAnsi="宋体" w:eastAsia="宋体" w:cs="宋体"/>
          <w:spacing w:val="8"/>
          <w:position w:val="15"/>
          <w:sz w:val="24"/>
          <w:szCs w:val="24"/>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8B2B5FD">
      <w:pPr>
        <w:spacing w:before="162" w:line="360" w:lineRule="auto"/>
        <w:ind w:left="0" w:leftChars="0" w:firstLine="512" w:firstLineChars="200"/>
        <w:rPr>
          <w:rFonts w:hint="eastAsia" w:ascii="宋体" w:hAnsi="宋体" w:eastAsia="宋体" w:cs="宋体"/>
          <w:spacing w:val="8"/>
          <w:position w:val="15"/>
          <w:sz w:val="24"/>
          <w:szCs w:val="24"/>
        </w:rPr>
      </w:pPr>
      <w:r>
        <w:rPr>
          <w:rFonts w:hint="eastAsia" w:ascii="宋体" w:hAnsi="宋体" w:eastAsia="宋体" w:cs="宋体"/>
          <w:spacing w:val="8"/>
          <w:position w:val="15"/>
          <w:sz w:val="24"/>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2%—3%提高至4%—6%。政府采购工程的价格评审优惠按照财库〔2020〕46号文件的规定执行。自本通知执行之日起发布采购公告或者发出采购邀请的货物服务采购项目，按照本通知规定的评审优惠幅度执行。</w:t>
      </w:r>
    </w:p>
    <w:p w14:paraId="3346C6B2">
      <w:pPr>
        <w:spacing w:before="162" w:line="360" w:lineRule="auto"/>
        <w:ind w:left="0" w:leftChars="0" w:firstLine="512" w:firstLineChars="200"/>
        <w:rPr>
          <w:rFonts w:hint="eastAsia" w:ascii="宋体" w:hAnsi="宋体" w:eastAsia="宋体" w:cs="宋体"/>
          <w:spacing w:val="8"/>
          <w:position w:val="15"/>
          <w:sz w:val="24"/>
          <w:szCs w:val="24"/>
        </w:rPr>
      </w:pPr>
      <w:r>
        <w:rPr>
          <w:rFonts w:hint="eastAsia" w:ascii="宋体" w:hAnsi="宋体" w:eastAsia="宋体" w:cs="宋体"/>
          <w:spacing w:val="8"/>
          <w:position w:val="15"/>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33916039">
      <w:pPr>
        <w:spacing w:before="162" w:line="360" w:lineRule="auto"/>
        <w:ind w:firstLine="512" w:firstLineChars="200"/>
        <w:rPr>
          <w:rFonts w:hint="eastAsia" w:ascii="宋体" w:hAnsi="宋体" w:eastAsia="宋体" w:cs="宋体"/>
          <w:spacing w:val="8"/>
          <w:position w:val="15"/>
          <w:sz w:val="24"/>
          <w:szCs w:val="24"/>
        </w:rPr>
      </w:pPr>
      <w:r>
        <w:rPr>
          <w:rFonts w:hint="eastAsia" w:ascii="宋体" w:hAnsi="宋体" w:eastAsia="宋体" w:cs="宋体"/>
          <w:spacing w:val="8"/>
          <w:position w:val="15"/>
          <w:sz w:val="24"/>
          <w:szCs w:val="24"/>
        </w:rPr>
        <w:t>四、认真做好组织实施。各地区、各部门应当加强组织领导，明确工作责任，细化执行要求，强化监督检查，确保国务院部署落实到位，对通知执行中出现的问题要及时向财政部报告。</w:t>
      </w:r>
    </w:p>
    <w:p w14:paraId="4D142D90">
      <w:pPr>
        <w:spacing w:before="162" w:line="360" w:lineRule="auto"/>
        <w:ind w:left="0" w:leftChars="0" w:firstLine="512" w:firstLineChars="200"/>
        <w:rPr>
          <w:rFonts w:hint="eastAsia" w:ascii="宋体" w:hAnsi="宋体" w:eastAsia="宋体" w:cs="宋体"/>
          <w:spacing w:val="8"/>
          <w:position w:val="15"/>
          <w:sz w:val="24"/>
          <w:szCs w:val="24"/>
        </w:rPr>
      </w:pPr>
      <w:r>
        <w:rPr>
          <w:rFonts w:hint="eastAsia" w:ascii="宋体" w:hAnsi="宋体" w:eastAsia="宋体" w:cs="宋体"/>
          <w:spacing w:val="8"/>
          <w:position w:val="15"/>
          <w:sz w:val="24"/>
          <w:szCs w:val="24"/>
        </w:rPr>
        <w:t>本通知自2022年7月1日起执行</w:t>
      </w:r>
    </w:p>
    <w:p w14:paraId="66EFB2E4">
      <w:pPr>
        <w:spacing w:before="162" w:line="360" w:lineRule="auto"/>
        <w:ind w:left="0" w:leftChars="0" w:firstLine="0" w:firstLineChars="0"/>
        <w:rPr>
          <w:rFonts w:hint="eastAsia" w:ascii="宋体" w:hAnsi="宋体" w:eastAsia="宋体" w:cs="宋体"/>
          <w:spacing w:val="8"/>
          <w:position w:val="15"/>
          <w:sz w:val="24"/>
          <w:szCs w:val="24"/>
        </w:rPr>
        <w:sectPr>
          <w:footerReference r:id="rId8" w:type="default"/>
          <w:pgSz w:w="11906" w:h="16839"/>
          <w:pgMar w:top="1040" w:right="1081" w:bottom="1295" w:left="1785" w:header="794" w:footer="898" w:gutter="0"/>
          <w:pgNumType w:fmt="decimal"/>
          <w:cols w:space="720" w:num="1"/>
        </w:sectPr>
      </w:pPr>
    </w:p>
    <w:p w14:paraId="28A0C0B8">
      <w:pPr>
        <w:spacing w:line="270" w:lineRule="auto"/>
        <w:rPr>
          <w:rFonts w:hint="eastAsia" w:ascii="宋体" w:hAnsi="宋体" w:eastAsia="宋体" w:cs="宋体"/>
          <w:sz w:val="21"/>
        </w:rPr>
      </w:pPr>
    </w:p>
    <w:p w14:paraId="28650E65">
      <w:pPr>
        <w:spacing w:before="74" w:line="490" w:lineRule="exact"/>
        <w:rPr>
          <w:rFonts w:hint="eastAsia" w:ascii="宋体" w:hAnsi="宋体" w:eastAsia="宋体" w:cs="宋体"/>
          <w:b/>
          <w:bCs/>
          <w:spacing w:val="12"/>
          <w:position w:val="19"/>
          <w:sz w:val="23"/>
          <w:szCs w:val="23"/>
        </w:rPr>
      </w:pPr>
      <w:r>
        <w:rPr>
          <w:rFonts w:hint="eastAsia" w:ascii="宋体" w:hAnsi="宋体" w:eastAsia="宋体" w:cs="宋体"/>
          <w:b/>
          <w:bCs/>
          <w:spacing w:val="12"/>
          <w:position w:val="19"/>
          <w:sz w:val="23"/>
          <w:szCs w:val="23"/>
        </w:rPr>
        <w:t>附件：中小企业划型标准规定</w:t>
      </w:r>
    </w:p>
    <w:p w14:paraId="168E54D0">
      <w:pPr>
        <w:spacing w:before="74" w:line="490" w:lineRule="exact"/>
        <w:ind w:left="2139"/>
        <w:rPr>
          <w:rFonts w:hint="eastAsia" w:ascii="宋体" w:hAnsi="宋体" w:eastAsia="宋体" w:cs="宋体"/>
          <w:b/>
          <w:bCs/>
          <w:sz w:val="23"/>
          <w:szCs w:val="23"/>
        </w:rPr>
      </w:pPr>
      <w:r>
        <w:rPr>
          <w:rFonts w:hint="eastAsia" w:ascii="宋体" w:hAnsi="宋体" w:eastAsia="宋体" w:cs="宋体"/>
          <w:b/>
          <w:bCs/>
          <w:spacing w:val="12"/>
          <w:position w:val="19"/>
          <w:sz w:val="23"/>
          <w:szCs w:val="23"/>
        </w:rPr>
        <w:t>关</w:t>
      </w:r>
      <w:r>
        <w:rPr>
          <w:rFonts w:hint="eastAsia" w:ascii="宋体" w:hAnsi="宋体" w:eastAsia="宋体" w:cs="宋体"/>
          <w:b/>
          <w:bCs/>
          <w:spacing w:val="9"/>
          <w:position w:val="19"/>
          <w:sz w:val="23"/>
          <w:szCs w:val="23"/>
        </w:rPr>
        <w:t>于印发中小企业划型标准规定的通知</w:t>
      </w:r>
    </w:p>
    <w:p w14:paraId="6C7ADF99">
      <w:pPr>
        <w:spacing w:line="227" w:lineRule="auto"/>
        <w:ind w:left="2649"/>
        <w:rPr>
          <w:rFonts w:hint="eastAsia" w:ascii="宋体" w:hAnsi="宋体" w:eastAsia="宋体" w:cs="宋体"/>
          <w:b/>
          <w:bCs/>
          <w:sz w:val="23"/>
          <w:szCs w:val="23"/>
        </w:rPr>
      </w:pPr>
      <w:r>
        <w:rPr>
          <w:rFonts w:hint="eastAsia" w:ascii="宋体" w:hAnsi="宋体" w:eastAsia="宋体" w:cs="宋体"/>
          <w:b/>
          <w:bCs/>
          <w:spacing w:val="6"/>
          <w:sz w:val="23"/>
          <w:szCs w:val="23"/>
        </w:rPr>
        <w:t>工信部</w:t>
      </w:r>
      <w:r>
        <w:rPr>
          <w:rFonts w:hint="eastAsia" w:ascii="宋体" w:hAnsi="宋体" w:eastAsia="宋体" w:cs="宋体"/>
          <w:b/>
          <w:bCs/>
          <w:spacing w:val="5"/>
          <w:sz w:val="23"/>
          <w:szCs w:val="23"/>
        </w:rPr>
        <w:t>联</w:t>
      </w:r>
      <w:r>
        <w:rPr>
          <w:rFonts w:hint="eastAsia" w:ascii="宋体" w:hAnsi="宋体" w:eastAsia="宋体" w:cs="宋体"/>
          <w:b/>
          <w:bCs/>
          <w:spacing w:val="3"/>
          <w:sz w:val="23"/>
          <w:szCs w:val="23"/>
        </w:rPr>
        <w:t>企业〔2011〕300 号</w:t>
      </w:r>
    </w:p>
    <w:p w14:paraId="492424A4">
      <w:pPr>
        <w:spacing w:before="206" w:line="227" w:lineRule="auto"/>
        <w:ind w:left="26"/>
        <w:rPr>
          <w:rFonts w:hint="eastAsia" w:ascii="宋体" w:hAnsi="宋体" w:eastAsia="宋体" w:cs="宋体"/>
          <w:sz w:val="23"/>
          <w:szCs w:val="23"/>
        </w:rPr>
      </w:pPr>
      <w:r>
        <w:rPr>
          <w:rFonts w:hint="eastAsia" w:ascii="宋体" w:hAnsi="宋体" w:eastAsia="宋体" w:cs="宋体"/>
          <w:spacing w:val="10"/>
          <w:sz w:val="23"/>
          <w:szCs w:val="23"/>
        </w:rPr>
        <w:t xml:space="preserve">各省、 </w:t>
      </w:r>
      <w:r>
        <w:rPr>
          <w:rFonts w:hint="eastAsia" w:ascii="宋体" w:hAnsi="宋体" w:eastAsia="宋体" w:cs="宋体"/>
          <w:spacing w:val="7"/>
          <w:sz w:val="23"/>
          <w:szCs w:val="23"/>
        </w:rPr>
        <w:t>自</w:t>
      </w:r>
      <w:r>
        <w:rPr>
          <w:rFonts w:hint="eastAsia" w:ascii="宋体" w:hAnsi="宋体" w:eastAsia="宋体" w:cs="宋体"/>
          <w:spacing w:val="5"/>
          <w:sz w:val="23"/>
          <w:szCs w:val="23"/>
        </w:rPr>
        <w:t>治区、直辖市人民政府，国务院各部委、各直属机构及有关单位：</w:t>
      </w:r>
    </w:p>
    <w:p w14:paraId="4AE44792">
      <w:pPr>
        <w:spacing w:before="207" w:line="392" w:lineRule="auto"/>
        <w:ind w:left="24" w:firstLine="1"/>
        <w:rPr>
          <w:rFonts w:hint="eastAsia" w:ascii="宋体" w:hAnsi="宋体" w:eastAsia="宋体" w:cs="宋体"/>
          <w:sz w:val="23"/>
          <w:szCs w:val="23"/>
        </w:rPr>
      </w:pPr>
      <w:r>
        <w:rPr>
          <w:rFonts w:hint="eastAsia" w:ascii="宋体" w:hAnsi="宋体" w:eastAsia="宋体" w:cs="宋体"/>
          <w:spacing w:val="7"/>
          <w:sz w:val="23"/>
          <w:szCs w:val="23"/>
        </w:rPr>
        <w:t>为贯彻落实《中华人民共和国中小企业促进法》和《国务院关于进一步促进中</w:t>
      </w:r>
      <w:r>
        <w:rPr>
          <w:rFonts w:hint="eastAsia" w:ascii="宋体" w:hAnsi="宋体" w:eastAsia="宋体" w:cs="宋体"/>
          <w:spacing w:val="6"/>
          <w:sz w:val="23"/>
          <w:szCs w:val="23"/>
        </w:rPr>
        <w:t>小</w:t>
      </w:r>
      <w:r>
        <w:rPr>
          <w:rFonts w:hint="eastAsia" w:ascii="宋体" w:hAnsi="宋体" w:eastAsia="宋体" w:cs="宋体"/>
          <w:sz w:val="23"/>
          <w:szCs w:val="23"/>
        </w:rPr>
        <w:t xml:space="preserve"> </w:t>
      </w:r>
      <w:r>
        <w:rPr>
          <w:rFonts w:hint="eastAsia" w:ascii="宋体" w:hAnsi="宋体" w:eastAsia="宋体" w:cs="宋体"/>
          <w:spacing w:val="4"/>
          <w:sz w:val="23"/>
          <w:szCs w:val="23"/>
        </w:rPr>
        <w:t>企业发展的若</w:t>
      </w:r>
      <w:r>
        <w:rPr>
          <w:rFonts w:hint="eastAsia" w:ascii="宋体" w:hAnsi="宋体" w:eastAsia="宋体" w:cs="宋体"/>
          <w:spacing w:val="2"/>
          <w:sz w:val="23"/>
          <w:szCs w:val="23"/>
        </w:rPr>
        <w:t>干意见》  (国发〔2009〕36 号) ，工业和信息化部、国家统计局、</w:t>
      </w:r>
      <w:r>
        <w:rPr>
          <w:rFonts w:hint="eastAsia" w:ascii="宋体" w:hAnsi="宋体" w:eastAsia="宋体" w:cs="宋体"/>
          <w:sz w:val="23"/>
          <w:szCs w:val="23"/>
        </w:rPr>
        <w:t xml:space="preserve"> </w:t>
      </w:r>
      <w:r>
        <w:rPr>
          <w:rFonts w:hint="eastAsia" w:ascii="宋体" w:hAnsi="宋体" w:eastAsia="宋体" w:cs="宋体"/>
          <w:spacing w:val="8"/>
          <w:sz w:val="23"/>
          <w:szCs w:val="23"/>
        </w:rPr>
        <w:t>发</w:t>
      </w:r>
      <w:r>
        <w:rPr>
          <w:rFonts w:hint="eastAsia" w:ascii="宋体" w:hAnsi="宋体" w:eastAsia="宋体" w:cs="宋体"/>
          <w:spacing w:val="7"/>
          <w:sz w:val="23"/>
          <w:szCs w:val="23"/>
        </w:rPr>
        <w:t>展改革委、财政部研究制定了《中小企业划型标准规定》。经国务院同意，现</w:t>
      </w:r>
      <w:r>
        <w:rPr>
          <w:rFonts w:hint="eastAsia" w:ascii="宋体" w:hAnsi="宋体" w:eastAsia="宋体" w:cs="宋体"/>
          <w:sz w:val="23"/>
          <w:szCs w:val="23"/>
        </w:rPr>
        <w:t xml:space="preserve"> </w:t>
      </w:r>
      <w:r>
        <w:rPr>
          <w:rFonts w:hint="eastAsia" w:ascii="宋体" w:hAnsi="宋体" w:eastAsia="宋体" w:cs="宋体"/>
          <w:spacing w:val="7"/>
          <w:sz w:val="23"/>
          <w:szCs w:val="23"/>
        </w:rPr>
        <w:t>印发给你们，请遵照执行。工业和信息化部  国家统计局国家发展和改革委员</w:t>
      </w:r>
      <w:r>
        <w:rPr>
          <w:rFonts w:hint="eastAsia" w:ascii="宋体" w:hAnsi="宋体" w:eastAsia="宋体" w:cs="宋体"/>
          <w:spacing w:val="1"/>
          <w:sz w:val="23"/>
          <w:szCs w:val="23"/>
        </w:rPr>
        <w:t>会</w:t>
      </w:r>
      <w:r>
        <w:rPr>
          <w:rFonts w:hint="eastAsia" w:ascii="宋体" w:hAnsi="宋体" w:eastAsia="宋体" w:cs="宋体"/>
          <w:sz w:val="23"/>
          <w:szCs w:val="23"/>
        </w:rPr>
        <w:t xml:space="preserve"> </w:t>
      </w:r>
      <w:r>
        <w:rPr>
          <w:rFonts w:hint="eastAsia" w:ascii="宋体" w:hAnsi="宋体" w:eastAsia="宋体" w:cs="宋体"/>
          <w:spacing w:val="18"/>
          <w:sz w:val="23"/>
          <w:szCs w:val="23"/>
        </w:rPr>
        <w:t>财</w:t>
      </w:r>
      <w:r>
        <w:rPr>
          <w:rFonts w:hint="eastAsia" w:ascii="宋体" w:hAnsi="宋体" w:eastAsia="宋体" w:cs="宋体"/>
          <w:spacing w:val="11"/>
          <w:sz w:val="23"/>
          <w:szCs w:val="23"/>
        </w:rPr>
        <w:t>政</w:t>
      </w:r>
      <w:r>
        <w:rPr>
          <w:rFonts w:hint="eastAsia" w:ascii="宋体" w:hAnsi="宋体" w:eastAsia="宋体" w:cs="宋体"/>
          <w:spacing w:val="9"/>
          <w:sz w:val="23"/>
          <w:szCs w:val="23"/>
        </w:rPr>
        <w:t>部二一一年六月十八日中小企业划型标准规定</w:t>
      </w:r>
    </w:p>
    <w:p w14:paraId="207BC5DE">
      <w:pPr>
        <w:spacing w:before="2" w:line="392" w:lineRule="auto"/>
        <w:ind w:left="29" w:right="80" w:firstLine="477"/>
        <w:rPr>
          <w:rFonts w:hint="eastAsia" w:ascii="宋体" w:hAnsi="宋体" w:eastAsia="宋体" w:cs="宋体"/>
          <w:sz w:val="23"/>
          <w:szCs w:val="23"/>
        </w:rPr>
      </w:pPr>
      <w:r>
        <w:rPr>
          <w:rFonts w:hint="eastAsia" w:ascii="宋体" w:hAnsi="宋体" w:eastAsia="宋体" w:cs="宋体"/>
          <w:spacing w:val="12"/>
          <w:sz w:val="23"/>
          <w:szCs w:val="23"/>
        </w:rPr>
        <w:t>一、根据</w:t>
      </w:r>
      <w:r>
        <w:rPr>
          <w:rFonts w:hint="eastAsia" w:ascii="宋体" w:hAnsi="宋体" w:eastAsia="宋体" w:cs="宋体"/>
          <w:spacing w:val="7"/>
          <w:sz w:val="23"/>
          <w:szCs w:val="23"/>
        </w:rPr>
        <w:t>《</w:t>
      </w:r>
      <w:r>
        <w:rPr>
          <w:rFonts w:hint="eastAsia" w:ascii="宋体" w:hAnsi="宋体" w:eastAsia="宋体" w:cs="宋体"/>
          <w:spacing w:val="6"/>
          <w:sz w:val="23"/>
          <w:szCs w:val="23"/>
        </w:rPr>
        <w:t>中华人民共和国中小企业促进法》和《国务院关于进一步促进中</w:t>
      </w:r>
      <w:r>
        <w:rPr>
          <w:rFonts w:hint="eastAsia" w:ascii="宋体" w:hAnsi="宋体" w:eastAsia="宋体" w:cs="宋体"/>
          <w:sz w:val="23"/>
          <w:szCs w:val="23"/>
        </w:rPr>
        <w:t xml:space="preserve"> </w:t>
      </w:r>
      <w:r>
        <w:rPr>
          <w:rFonts w:hint="eastAsia" w:ascii="宋体" w:hAnsi="宋体" w:eastAsia="宋体" w:cs="宋体"/>
          <w:spacing w:val="4"/>
          <w:sz w:val="23"/>
          <w:szCs w:val="23"/>
        </w:rPr>
        <w:t>小企业发</w:t>
      </w:r>
      <w:r>
        <w:rPr>
          <w:rFonts w:hint="eastAsia" w:ascii="宋体" w:hAnsi="宋体" w:eastAsia="宋体" w:cs="宋体"/>
          <w:spacing w:val="2"/>
          <w:sz w:val="23"/>
          <w:szCs w:val="23"/>
        </w:rPr>
        <w:t>展的若干意见》 (国发〔2009〕36 号)，制定本规定。</w:t>
      </w:r>
    </w:p>
    <w:p w14:paraId="7EA898F6">
      <w:pPr>
        <w:spacing w:before="1" w:line="392" w:lineRule="auto"/>
        <w:ind w:left="32" w:right="80" w:firstLine="474"/>
        <w:rPr>
          <w:rFonts w:hint="eastAsia" w:ascii="宋体" w:hAnsi="宋体" w:eastAsia="宋体" w:cs="宋体"/>
          <w:sz w:val="23"/>
          <w:szCs w:val="23"/>
        </w:rPr>
      </w:pPr>
      <w:r>
        <w:rPr>
          <w:rFonts w:hint="eastAsia" w:ascii="宋体" w:hAnsi="宋体" w:eastAsia="宋体" w:cs="宋体"/>
          <w:spacing w:val="12"/>
          <w:sz w:val="23"/>
          <w:szCs w:val="23"/>
        </w:rPr>
        <w:t>二、中小</w:t>
      </w:r>
      <w:r>
        <w:rPr>
          <w:rFonts w:hint="eastAsia" w:ascii="宋体" w:hAnsi="宋体" w:eastAsia="宋体" w:cs="宋体"/>
          <w:spacing w:val="7"/>
          <w:sz w:val="23"/>
          <w:szCs w:val="23"/>
        </w:rPr>
        <w:t>企</w:t>
      </w:r>
      <w:r>
        <w:rPr>
          <w:rFonts w:hint="eastAsia" w:ascii="宋体" w:hAnsi="宋体" w:eastAsia="宋体" w:cs="宋体"/>
          <w:spacing w:val="6"/>
          <w:sz w:val="23"/>
          <w:szCs w:val="23"/>
        </w:rPr>
        <w:t>业划分为中型、小型、微型三种类型，具体标准根据企业从业人</w:t>
      </w:r>
      <w:r>
        <w:rPr>
          <w:rFonts w:hint="eastAsia" w:ascii="宋体" w:hAnsi="宋体" w:eastAsia="宋体" w:cs="宋体"/>
          <w:sz w:val="23"/>
          <w:szCs w:val="23"/>
        </w:rPr>
        <w:t xml:space="preserve"> </w:t>
      </w:r>
      <w:r>
        <w:rPr>
          <w:rFonts w:hint="eastAsia" w:ascii="宋体" w:hAnsi="宋体" w:eastAsia="宋体" w:cs="宋体"/>
          <w:spacing w:val="9"/>
          <w:sz w:val="23"/>
          <w:szCs w:val="23"/>
        </w:rPr>
        <w:t>员、营业收入、资产总额等指标，结合行业特点制定</w:t>
      </w:r>
      <w:r>
        <w:rPr>
          <w:rFonts w:hint="eastAsia" w:ascii="宋体" w:hAnsi="宋体" w:eastAsia="宋体" w:cs="宋体"/>
          <w:spacing w:val="4"/>
          <w:sz w:val="23"/>
          <w:szCs w:val="23"/>
        </w:rPr>
        <w:t>。</w:t>
      </w:r>
    </w:p>
    <w:p w14:paraId="1C335B3E">
      <w:pPr>
        <w:spacing w:line="226" w:lineRule="auto"/>
        <w:ind w:left="503"/>
        <w:rPr>
          <w:rFonts w:hint="eastAsia" w:ascii="宋体" w:hAnsi="宋体" w:eastAsia="宋体" w:cs="宋体"/>
          <w:sz w:val="23"/>
          <w:szCs w:val="23"/>
        </w:rPr>
      </w:pPr>
      <w:r>
        <w:rPr>
          <w:rFonts w:hint="eastAsia" w:ascii="宋体" w:hAnsi="宋体" w:eastAsia="宋体" w:cs="宋体"/>
          <w:spacing w:val="12"/>
          <w:sz w:val="23"/>
          <w:szCs w:val="23"/>
        </w:rPr>
        <w:t>三、本</w:t>
      </w:r>
      <w:r>
        <w:rPr>
          <w:rFonts w:hint="eastAsia" w:ascii="宋体" w:hAnsi="宋体" w:eastAsia="宋体" w:cs="宋体"/>
          <w:spacing w:val="11"/>
          <w:sz w:val="23"/>
          <w:szCs w:val="23"/>
        </w:rPr>
        <w:t>规</w:t>
      </w:r>
      <w:r>
        <w:rPr>
          <w:rFonts w:hint="eastAsia" w:ascii="宋体" w:hAnsi="宋体" w:eastAsia="宋体" w:cs="宋体"/>
          <w:spacing w:val="6"/>
          <w:sz w:val="23"/>
          <w:szCs w:val="23"/>
        </w:rPr>
        <w:t>定适用的行业包括：农、林、牧、渔业，工业 (包括采矿业，制造</w:t>
      </w:r>
    </w:p>
    <w:p w14:paraId="13C5CADF">
      <w:pPr>
        <w:spacing w:before="205" w:line="393" w:lineRule="auto"/>
        <w:ind w:left="22"/>
        <w:rPr>
          <w:rFonts w:hint="eastAsia" w:ascii="宋体" w:hAnsi="宋体" w:eastAsia="宋体" w:cs="宋体"/>
          <w:sz w:val="23"/>
          <w:szCs w:val="23"/>
        </w:rPr>
      </w:pPr>
      <w:r>
        <w:rPr>
          <w:rFonts w:hint="eastAsia" w:ascii="宋体" w:hAnsi="宋体" w:eastAsia="宋体" w:cs="宋体"/>
          <w:spacing w:val="7"/>
          <w:sz w:val="23"/>
          <w:szCs w:val="23"/>
        </w:rPr>
        <w:t>业，电力、热力、燃气及水生产和供应业) ，建筑业，批发业，零售业，交通</w:t>
      </w:r>
      <w:r>
        <w:rPr>
          <w:rFonts w:hint="eastAsia" w:ascii="宋体" w:hAnsi="宋体" w:eastAsia="宋体" w:cs="宋体"/>
          <w:spacing w:val="2"/>
          <w:sz w:val="23"/>
          <w:szCs w:val="23"/>
        </w:rPr>
        <w:t>运</w:t>
      </w:r>
      <w:r>
        <w:rPr>
          <w:rFonts w:hint="eastAsia" w:ascii="宋体" w:hAnsi="宋体" w:eastAsia="宋体" w:cs="宋体"/>
          <w:sz w:val="23"/>
          <w:szCs w:val="23"/>
        </w:rPr>
        <w:t xml:space="preserve"> </w:t>
      </w:r>
      <w:r>
        <w:rPr>
          <w:rFonts w:hint="eastAsia" w:ascii="宋体" w:hAnsi="宋体" w:eastAsia="宋体" w:cs="宋体"/>
          <w:spacing w:val="12"/>
          <w:sz w:val="23"/>
          <w:szCs w:val="23"/>
        </w:rPr>
        <w:t xml:space="preserve">输业 </w:t>
      </w:r>
      <w:r>
        <w:rPr>
          <w:rFonts w:hint="eastAsia" w:ascii="宋体" w:hAnsi="宋体" w:eastAsia="宋体" w:cs="宋体"/>
          <w:spacing w:val="7"/>
          <w:sz w:val="23"/>
          <w:szCs w:val="23"/>
        </w:rPr>
        <w:t>(</w:t>
      </w:r>
      <w:r>
        <w:rPr>
          <w:rFonts w:hint="eastAsia" w:ascii="宋体" w:hAnsi="宋体" w:eastAsia="宋体" w:cs="宋体"/>
          <w:spacing w:val="6"/>
          <w:sz w:val="23"/>
          <w:szCs w:val="23"/>
        </w:rPr>
        <w:t>不含铁路运输业) ，仓储业，邮政业，住宿业，餐饮业，信息传输业 (包</w:t>
      </w:r>
      <w:r>
        <w:rPr>
          <w:rFonts w:hint="eastAsia" w:ascii="宋体" w:hAnsi="宋体" w:eastAsia="宋体" w:cs="宋体"/>
          <w:sz w:val="23"/>
          <w:szCs w:val="23"/>
        </w:rPr>
        <w:t xml:space="preserve"> </w:t>
      </w:r>
      <w:r>
        <w:rPr>
          <w:rFonts w:hint="eastAsia" w:ascii="宋体" w:hAnsi="宋体" w:eastAsia="宋体" w:cs="宋体"/>
          <w:spacing w:val="7"/>
          <w:sz w:val="23"/>
          <w:szCs w:val="23"/>
        </w:rPr>
        <w:t>括电信、互联网和相关服务) ，软件和信息技术服务业，房地产开发经营，物</w:t>
      </w:r>
      <w:r>
        <w:rPr>
          <w:rFonts w:hint="eastAsia" w:ascii="宋体" w:hAnsi="宋体" w:eastAsia="宋体" w:cs="宋体"/>
          <w:spacing w:val="2"/>
          <w:sz w:val="23"/>
          <w:szCs w:val="23"/>
        </w:rPr>
        <w:t>业</w:t>
      </w:r>
      <w:r>
        <w:rPr>
          <w:rFonts w:hint="eastAsia" w:ascii="宋体" w:hAnsi="宋体" w:eastAsia="宋体" w:cs="宋体"/>
          <w:sz w:val="23"/>
          <w:szCs w:val="23"/>
        </w:rPr>
        <w:t xml:space="preserve"> </w:t>
      </w:r>
      <w:r>
        <w:rPr>
          <w:rFonts w:hint="eastAsia" w:ascii="宋体" w:hAnsi="宋体" w:eastAsia="宋体" w:cs="宋体"/>
          <w:spacing w:val="4"/>
          <w:sz w:val="23"/>
          <w:szCs w:val="23"/>
        </w:rPr>
        <w:t>管理，租赁和商务服务业，</w:t>
      </w:r>
      <w:r>
        <w:rPr>
          <w:rFonts w:hint="eastAsia" w:ascii="宋体" w:hAnsi="宋体" w:eastAsia="宋体" w:cs="宋体"/>
          <w:spacing w:val="2"/>
          <w:sz w:val="23"/>
          <w:szCs w:val="23"/>
        </w:rPr>
        <w:t>其他未列明行业 (包括科学研究和技术服务业，水利、</w:t>
      </w:r>
      <w:r>
        <w:rPr>
          <w:rFonts w:hint="eastAsia" w:ascii="宋体" w:hAnsi="宋体" w:eastAsia="宋体" w:cs="宋体"/>
          <w:sz w:val="23"/>
          <w:szCs w:val="23"/>
        </w:rPr>
        <w:t xml:space="preserve"> </w:t>
      </w:r>
      <w:r>
        <w:rPr>
          <w:rFonts w:hint="eastAsia" w:ascii="宋体" w:hAnsi="宋体" w:eastAsia="宋体" w:cs="宋体"/>
          <w:spacing w:val="9"/>
          <w:sz w:val="23"/>
          <w:szCs w:val="23"/>
        </w:rPr>
        <w:t>环</w:t>
      </w:r>
      <w:r>
        <w:rPr>
          <w:rFonts w:hint="eastAsia" w:ascii="宋体" w:hAnsi="宋体" w:eastAsia="宋体" w:cs="宋体"/>
          <w:spacing w:val="7"/>
          <w:sz w:val="23"/>
          <w:szCs w:val="23"/>
        </w:rPr>
        <w:t>境和公共设施管理业，居民服务、修理和其他服务业，社会工作，文化、体育</w:t>
      </w:r>
      <w:r>
        <w:rPr>
          <w:rFonts w:hint="eastAsia" w:ascii="宋体" w:hAnsi="宋体" w:eastAsia="宋体" w:cs="宋体"/>
          <w:sz w:val="23"/>
          <w:szCs w:val="23"/>
        </w:rPr>
        <w:t xml:space="preserve"> </w:t>
      </w:r>
      <w:r>
        <w:rPr>
          <w:rFonts w:hint="eastAsia" w:ascii="宋体" w:hAnsi="宋体" w:eastAsia="宋体" w:cs="宋体"/>
          <w:spacing w:val="11"/>
          <w:sz w:val="23"/>
          <w:szCs w:val="23"/>
        </w:rPr>
        <w:t>和</w:t>
      </w:r>
      <w:r>
        <w:rPr>
          <w:rFonts w:hint="eastAsia" w:ascii="宋体" w:hAnsi="宋体" w:eastAsia="宋体" w:cs="宋体"/>
          <w:spacing w:val="6"/>
          <w:sz w:val="23"/>
          <w:szCs w:val="23"/>
        </w:rPr>
        <w:t>娱乐业等) 。</w:t>
      </w:r>
    </w:p>
    <w:p w14:paraId="58487C18">
      <w:pPr>
        <w:spacing w:line="230" w:lineRule="auto"/>
        <w:ind w:left="526"/>
        <w:rPr>
          <w:rFonts w:hint="eastAsia" w:ascii="宋体" w:hAnsi="宋体" w:eastAsia="宋体" w:cs="宋体"/>
          <w:sz w:val="23"/>
          <w:szCs w:val="23"/>
        </w:rPr>
      </w:pPr>
      <w:r>
        <w:rPr>
          <w:rFonts w:hint="eastAsia" w:ascii="宋体" w:hAnsi="宋体" w:eastAsia="宋体" w:cs="宋体"/>
          <w:spacing w:val="8"/>
          <w:sz w:val="23"/>
          <w:szCs w:val="23"/>
        </w:rPr>
        <w:t>四</w:t>
      </w:r>
      <w:r>
        <w:rPr>
          <w:rFonts w:hint="eastAsia" w:ascii="宋体" w:hAnsi="宋体" w:eastAsia="宋体" w:cs="宋体"/>
          <w:spacing w:val="6"/>
          <w:sz w:val="23"/>
          <w:szCs w:val="23"/>
        </w:rPr>
        <w:t>、各行业划型标准为：</w:t>
      </w:r>
    </w:p>
    <w:p w14:paraId="26BA4366">
      <w:pPr>
        <w:spacing w:before="201" w:line="393" w:lineRule="auto"/>
        <w:ind w:left="30" w:right="18" w:firstLine="452"/>
        <w:rPr>
          <w:rFonts w:hint="eastAsia" w:ascii="宋体" w:hAnsi="宋体" w:eastAsia="宋体" w:cs="宋体"/>
          <w:sz w:val="23"/>
          <w:szCs w:val="23"/>
        </w:rPr>
      </w:pPr>
      <w:r>
        <w:rPr>
          <w:rFonts w:hint="eastAsia" w:ascii="宋体" w:hAnsi="宋体" w:eastAsia="宋体" w:cs="宋体"/>
          <w:spacing w:val="-1"/>
          <w:sz w:val="23"/>
          <w:szCs w:val="23"/>
        </w:rPr>
        <w:t>( 一) 农、林、牧、渔业。营业收入 200 万元以下的为中小微型企业。其</w:t>
      </w:r>
      <w:r>
        <w:rPr>
          <w:rFonts w:hint="eastAsia" w:ascii="宋体" w:hAnsi="宋体" w:eastAsia="宋体" w:cs="宋体"/>
          <w:sz w:val="23"/>
          <w:szCs w:val="23"/>
        </w:rPr>
        <w:t xml:space="preserve">中， </w:t>
      </w:r>
      <w:r>
        <w:rPr>
          <w:rFonts w:hint="eastAsia" w:ascii="宋体" w:hAnsi="宋体" w:eastAsia="宋体" w:cs="宋体"/>
          <w:spacing w:val="-2"/>
          <w:sz w:val="23"/>
          <w:szCs w:val="23"/>
        </w:rPr>
        <w:t>营业收</w:t>
      </w:r>
      <w:r>
        <w:rPr>
          <w:rFonts w:hint="eastAsia" w:ascii="宋体" w:hAnsi="宋体" w:eastAsia="宋体" w:cs="宋体"/>
          <w:spacing w:val="-1"/>
          <w:sz w:val="23"/>
          <w:szCs w:val="23"/>
        </w:rPr>
        <w:t>入 500 万元及以上的为中型企业，营业收入 50 万元及以上的为小型企业，</w:t>
      </w:r>
      <w:r>
        <w:rPr>
          <w:rFonts w:hint="eastAsia" w:ascii="宋体" w:hAnsi="宋体" w:eastAsia="宋体" w:cs="宋体"/>
          <w:sz w:val="23"/>
          <w:szCs w:val="23"/>
        </w:rPr>
        <w:t xml:space="preserve"> </w:t>
      </w:r>
      <w:r>
        <w:rPr>
          <w:rFonts w:hint="eastAsia" w:ascii="宋体" w:hAnsi="宋体" w:eastAsia="宋体" w:cs="宋体"/>
          <w:spacing w:val="2"/>
          <w:sz w:val="23"/>
          <w:szCs w:val="23"/>
        </w:rPr>
        <w:t>营业收入</w:t>
      </w:r>
      <w:r>
        <w:rPr>
          <w:rFonts w:hint="eastAsia" w:ascii="宋体" w:hAnsi="宋体" w:eastAsia="宋体" w:cs="宋体"/>
          <w:spacing w:val="1"/>
          <w:sz w:val="23"/>
          <w:szCs w:val="23"/>
        </w:rPr>
        <w:t xml:space="preserve"> 50 万元以下的为微型企业。</w:t>
      </w:r>
    </w:p>
    <w:p w14:paraId="0F87E55B">
      <w:pPr>
        <w:spacing w:before="2" w:line="392" w:lineRule="auto"/>
        <w:ind w:left="25" w:right="80" w:firstLine="489"/>
        <w:rPr>
          <w:rFonts w:hint="eastAsia" w:ascii="宋体" w:hAnsi="宋体" w:eastAsia="宋体" w:cs="宋体"/>
          <w:sz w:val="23"/>
          <w:szCs w:val="23"/>
        </w:rPr>
      </w:pPr>
      <w:r>
        <w:rPr>
          <w:rFonts w:hint="eastAsia" w:ascii="宋体" w:hAnsi="宋体" w:eastAsia="宋体" w:cs="宋体"/>
          <w:spacing w:val="10"/>
          <w:sz w:val="23"/>
          <w:szCs w:val="23"/>
        </w:rPr>
        <w:t>(二</w:t>
      </w:r>
      <w:r>
        <w:rPr>
          <w:rFonts w:hint="eastAsia" w:ascii="宋体" w:hAnsi="宋体" w:eastAsia="宋体" w:cs="宋体"/>
          <w:spacing w:val="5"/>
          <w:sz w:val="23"/>
          <w:szCs w:val="23"/>
        </w:rPr>
        <w:t>) 工业。从业人员 1000 人以下或营业收入 40000 万元以下的为中小微</w:t>
      </w:r>
      <w:r>
        <w:rPr>
          <w:rFonts w:hint="eastAsia" w:ascii="宋体" w:hAnsi="宋体" w:eastAsia="宋体" w:cs="宋体"/>
          <w:sz w:val="23"/>
          <w:szCs w:val="23"/>
        </w:rPr>
        <w:t xml:space="preserve"> </w:t>
      </w:r>
      <w:r>
        <w:rPr>
          <w:rFonts w:hint="eastAsia" w:ascii="宋体" w:hAnsi="宋体" w:eastAsia="宋体" w:cs="宋体"/>
          <w:spacing w:val="6"/>
          <w:sz w:val="23"/>
          <w:szCs w:val="23"/>
        </w:rPr>
        <w:t>型企</w:t>
      </w:r>
      <w:r>
        <w:rPr>
          <w:rFonts w:hint="eastAsia" w:ascii="宋体" w:hAnsi="宋体" w:eastAsia="宋体" w:cs="宋体"/>
          <w:spacing w:val="4"/>
          <w:sz w:val="23"/>
          <w:szCs w:val="23"/>
        </w:rPr>
        <w:t>业</w:t>
      </w:r>
      <w:r>
        <w:rPr>
          <w:rFonts w:hint="eastAsia" w:ascii="宋体" w:hAnsi="宋体" w:eastAsia="宋体" w:cs="宋体"/>
          <w:spacing w:val="3"/>
          <w:sz w:val="23"/>
          <w:szCs w:val="23"/>
        </w:rPr>
        <w:t>。其中，从业人员 300 人及以上，且营业收入 2000 万元及以上的为中型</w:t>
      </w:r>
      <w:r>
        <w:rPr>
          <w:rFonts w:hint="eastAsia" w:ascii="宋体" w:hAnsi="宋体" w:eastAsia="宋体" w:cs="宋体"/>
          <w:sz w:val="23"/>
          <w:szCs w:val="23"/>
        </w:rPr>
        <w:t xml:space="preserve"> </w:t>
      </w:r>
      <w:r>
        <w:rPr>
          <w:rFonts w:hint="eastAsia" w:ascii="宋体" w:hAnsi="宋体" w:eastAsia="宋体" w:cs="宋体"/>
          <w:spacing w:val="6"/>
          <w:sz w:val="23"/>
          <w:szCs w:val="23"/>
        </w:rPr>
        <w:t>企业</w:t>
      </w:r>
      <w:r>
        <w:rPr>
          <w:rFonts w:hint="eastAsia" w:ascii="宋体" w:hAnsi="宋体" w:eastAsia="宋体" w:cs="宋体"/>
          <w:spacing w:val="4"/>
          <w:sz w:val="23"/>
          <w:szCs w:val="23"/>
        </w:rPr>
        <w:t>；</w:t>
      </w:r>
      <w:r>
        <w:rPr>
          <w:rFonts w:hint="eastAsia" w:ascii="宋体" w:hAnsi="宋体" w:eastAsia="宋体" w:cs="宋体"/>
          <w:spacing w:val="3"/>
          <w:sz w:val="23"/>
          <w:szCs w:val="23"/>
        </w:rPr>
        <w:t>从业人员 20 人及以上，且营业收入 300 万元及以上的为小型企业；从业</w:t>
      </w:r>
      <w:r>
        <w:rPr>
          <w:rFonts w:hint="eastAsia" w:ascii="宋体" w:hAnsi="宋体" w:eastAsia="宋体" w:cs="宋体"/>
          <w:sz w:val="23"/>
          <w:szCs w:val="23"/>
        </w:rPr>
        <w:t xml:space="preserve"> </w:t>
      </w:r>
      <w:r>
        <w:rPr>
          <w:rFonts w:hint="eastAsia" w:ascii="宋体" w:hAnsi="宋体" w:eastAsia="宋体" w:cs="宋体"/>
          <w:spacing w:val="-1"/>
          <w:sz w:val="23"/>
          <w:szCs w:val="23"/>
        </w:rPr>
        <w:t>人员 20 人</w:t>
      </w:r>
      <w:r>
        <w:rPr>
          <w:rFonts w:hint="eastAsia" w:ascii="宋体" w:hAnsi="宋体" w:eastAsia="宋体" w:cs="宋体"/>
          <w:sz w:val="23"/>
          <w:szCs w:val="23"/>
        </w:rPr>
        <w:t>以下或营业收入 300 万元以下的为微型企业。</w:t>
      </w:r>
    </w:p>
    <w:p w14:paraId="2CE672FD">
      <w:pPr>
        <w:spacing w:before="1" w:line="227" w:lineRule="auto"/>
        <w:ind w:left="483"/>
        <w:rPr>
          <w:rFonts w:hint="eastAsia" w:ascii="宋体" w:hAnsi="宋体" w:eastAsia="宋体" w:cs="宋体"/>
          <w:sz w:val="23"/>
          <w:szCs w:val="23"/>
        </w:rPr>
      </w:pPr>
      <w:r>
        <w:rPr>
          <w:rFonts w:hint="eastAsia" w:ascii="宋体" w:hAnsi="宋体" w:eastAsia="宋体" w:cs="宋体"/>
          <w:spacing w:val="6"/>
          <w:sz w:val="23"/>
          <w:szCs w:val="23"/>
        </w:rPr>
        <w:t>(</w:t>
      </w:r>
      <w:r>
        <w:rPr>
          <w:rFonts w:hint="eastAsia" w:ascii="宋体" w:hAnsi="宋体" w:eastAsia="宋体" w:cs="宋体"/>
          <w:spacing w:val="5"/>
          <w:sz w:val="23"/>
          <w:szCs w:val="23"/>
        </w:rPr>
        <w:t>三</w:t>
      </w:r>
      <w:r>
        <w:rPr>
          <w:rFonts w:hint="eastAsia" w:ascii="宋体" w:hAnsi="宋体" w:eastAsia="宋体" w:cs="宋体"/>
          <w:spacing w:val="3"/>
          <w:sz w:val="23"/>
          <w:szCs w:val="23"/>
        </w:rPr>
        <w:t>) 建筑业。营业收入 80000 万元以下或资产总额 80000 万元以下的为中</w:t>
      </w:r>
    </w:p>
    <w:p w14:paraId="3F37AECC">
      <w:pPr>
        <w:rPr>
          <w:rFonts w:hint="eastAsia" w:ascii="宋体" w:hAnsi="宋体" w:eastAsia="宋体" w:cs="宋体"/>
        </w:rPr>
        <w:sectPr>
          <w:footerReference r:id="rId9" w:type="default"/>
          <w:pgSz w:w="11906" w:h="16839"/>
          <w:pgMar w:top="400" w:right="1719" w:bottom="1295" w:left="1785" w:header="0" w:footer="898" w:gutter="0"/>
          <w:pgNumType w:fmt="decimal"/>
          <w:cols w:space="720" w:num="1"/>
        </w:sectPr>
      </w:pPr>
    </w:p>
    <w:p w14:paraId="70FEF4ED">
      <w:pPr>
        <w:spacing w:line="270" w:lineRule="auto"/>
        <w:rPr>
          <w:rFonts w:hint="eastAsia" w:ascii="宋体" w:hAnsi="宋体" w:eastAsia="宋体" w:cs="宋体"/>
          <w:sz w:val="21"/>
        </w:rPr>
      </w:pPr>
    </w:p>
    <w:p w14:paraId="63924875">
      <w:pPr>
        <w:spacing w:line="270" w:lineRule="auto"/>
        <w:rPr>
          <w:rFonts w:hint="eastAsia" w:ascii="宋体" w:hAnsi="宋体" w:eastAsia="宋体" w:cs="宋体"/>
          <w:sz w:val="21"/>
        </w:rPr>
      </w:pPr>
    </w:p>
    <w:p w14:paraId="0C317304">
      <w:pPr>
        <w:spacing w:line="271" w:lineRule="auto"/>
        <w:rPr>
          <w:rFonts w:hint="eastAsia" w:ascii="宋体" w:hAnsi="宋体" w:eastAsia="宋体" w:cs="宋体"/>
          <w:sz w:val="21"/>
        </w:rPr>
      </w:pPr>
    </w:p>
    <w:p w14:paraId="6CA31952">
      <w:pPr>
        <w:spacing w:line="271" w:lineRule="auto"/>
        <w:rPr>
          <w:rFonts w:hint="eastAsia" w:ascii="宋体" w:hAnsi="宋体" w:eastAsia="宋体" w:cs="宋体"/>
          <w:sz w:val="21"/>
        </w:rPr>
      </w:pPr>
    </w:p>
    <w:p w14:paraId="6574D1F4">
      <w:pPr>
        <w:spacing w:before="74" w:line="393" w:lineRule="auto"/>
        <w:ind w:left="22" w:right="58" w:firstLine="7"/>
        <w:rPr>
          <w:rFonts w:hint="eastAsia" w:ascii="宋体" w:hAnsi="宋体" w:eastAsia="宋体" w:cs="宋体"/>
          <w:sz w:val="23"/>
          <w:szCs w:val="23"/>
        </w:rPr>
      </w:pPr>
      <w:r>
        <w:rPr>
          <w:rFonts w:hint="eastAsia" w:ascii="宋体" w:hAnsi="宋体" w:eastAsia="宋体" w:cs="宋体"/>
          <w:spacing w:val="1"/>
          <w:sz w:val="23"/>
          <w:szCs w:val="23"/>
        </w:rPr>
        <w:t>小微型企业。其中，营</w:t>
      </w:r>
      <w:r>
        <w:rPr>
          <w:rFonts w:hint="eastAsia" w:ascii="宋体" w:hAnsi="宋体" w:eastAsia="宋体" w:cs="宋体"/>
          <w:sz w:val="23"/>
          <w:szCs w:val="23"/>
        </w:rPr>
        <w:t xml:space="preserve">业收入 6000 万元及以上，且资产总额 5000 万元及以上的 </w:t>
      </w:r>
      <w:r>
        <w:rPr>
          <w:rFonts w:hint="eastAsia" w:ascii="宋体" w:hAnsi="宋体" w:eastAsia="宋体" w:cs="宋体"/>
          <w:spacing w:val="1"/>
          <w:sz w:val="23"/>
          <w:szCs w:val="23"/>
        </w:rPr>
        <w:t>为中型企业；营业收入 300 万元</w:t>
      </w:r>
      <w:r>
        <w:rPr>
          <w:rFonts w:hint="eastAsia" w:ascii="宋体" w:hAnsi="宋体" w:eastAsia="宋体" w:cs="宋体"/>
          <w:sz w:val="23"/>
          <w:szCs w:val="23"/>
        </w:rPr>
        <w:t xml:space="preserve">及以上，且资产总额 300 万元及以上的为小型企 </w:t>
      </w:r>
      <w:r>
        <w:rPr>
          <w:rFonts w:hint="eastAsia" w:ascii="宋体" w:hAnsi="宋体" w:eastAsia="宋体" w:cs="宋体"/>
          <w:spacing w:val="2"/>
          <w:sz w:val="23"/>
          <w:szCs w:val="23"/>
        </w:rPr>
        <w:t>业；营业收入 300 万元以下</w:t>
      </w:r>
      <w:r>
        <w:rPr>
          <w:rFonts w:hint="eastAsia" w:ascii="宋体" w:hAnsi="宋体" w:eastAsia="宋体" w:cs="宋体"/>
          <w:spacing w:val="1"/>
          <w:sz w:val="23"/>
          <w:szCs w:val="23"/>
        </w:rPr>
        <w:t>或资产总额 300 万元以下的为微型企业。</w:t>
      </w:r>
    </w:p>
    <w:p w14:paraId="3AC0CDE8">
      <w:pPr>
        <w:spacing w:before="2" w:line="392" w:lineRule="auto"/>
        <w:ind w:left="22" w:right="58" w:firstLine="461"/>
        <w:rPr>
          <w:rFonts w:hint="eastAsia" w:ascii="宋体" w:hAnsi="宋体" w:eastAsia="宋体" w:cs="宋体"/>
          <w:sz w:val="23"/>
          <w:szCs w:val="23"/>
        </w:rPr>
      </w:pPr>
      <w:r>
        <w:rPr>
          <w:rFonts w:hint="eastAsia" w:ascii="宋体" w:hAnsi="宋体" w:eastAsia="宋体" w:cs="宋体"/>
          <w:spacing w:val="6"/>
          <w:sz w:val="23"/>
          <w:szCs w:val="23"/>
        </w:rPr>
        <w:t>(四</w:t>
      </w:r>
      <w:r>
        <w:rPr>
          <w:rFonts w:hint="eastAsia" w:ascii="宋体" w:hAnsi="宋体" w:eastAsia="宋体" w:cs="宋体"/>
          <w:spacing w:val="5"/>
          <w:sz w:val="23"/>
          <w:szCs w:val="23"/>
        </w:rPr>
        <w:t>)</w:t>
      </w:r>
      <w:r>
        <w:rPr>
          <w:rFonts w:hint="eastAsia" w:ascii="宋体" w:hAnsi="宋体" w:eastAsia="宋体" w:cs="宋体"/>
          <w:spacing w:val="3"/>
          <w:sz w:val="23"/>
          <w:szCs w:val="23"/>
        </w:rPr>
        <w:t xml:space="preserve"> 批发业。从业人员 200 人以下或营业收入 40000 万元以下的为中小微</w:t>
      </w:r>
      <w:r>
        <w:rPr>
          <w:rFonts w:hint="eastAsia" w:ascii="宋体" w:hAnsi="宋体" w:eastAsia="宋体" w:cs="宋体"/>
          <w:sz w:val="23"/>
          <w:szCs w:val="23"/>
        </w:rPr>
        <w:t xml:space="preserve"> </w:t>
      </w:r>
      <w:r>
        <w:rPr>
          <w:rFonts w:hint="eastAsia" w:ascii="宋体" w:hAnsi="宋体" w:eastAsia="宋体" w:cs="宋体"/>
          <w:spacing w:val="1"/>
          <w:sz w:val="23"/>
          <w:szCs w:val="23"/>
        </w:rPr>
        <w:t>型企业。其中，从业人员 20 人及</w:t>
      </w:r>
      <w:r>
        <w:rPr>
          <w:rFonts w:hint="eastAsia" w:ascii="宋体" w:hAnsi="宋体" w:eastAsia="宋体" w:cs="宋体"/>
          <w:sz w:val="23"/>
          <w:szCs w:val="23"/>
        </w:rPr>
        <w:t xml:space="preserve">以上，且营业收入 5000 万元及以上的为中型企 </w:t>
      </w:r>
      <w:r>
        <w:rPr>
          <w:rFonts w:hint="eastAsia" w:ascii="宋体" w:hAnsi="宋体" w:eastAsia="宋体" w:cs="宋体"/>
          <w:spacing w:val="6"/>
          <w:sz w:val="23"/>
          <w:szCs w:val="23"/>
        </w:rPr>
        <w:t>业；从业</w:t>
      </w:r>
      <w:r>
        <w:rPr>
          <w:rFonts w:hint="eastAsia" w:ascii="宋体" w:hAnsi="宋体" w:eastAsia="宋体" w:cs="宋体"/>
          <w:spacing w:val="3"/>
          <w:sz w:val="23"/>
          <w:szCs w:val="23"/>
        </w:rPr>
        <w:t>人员 5 人及以上，且营业收入 1000 万元及以上的为小型企业；从业人</w:t>
      </w:r>
      <w:r>
        <w:rPr>
          <w:rFonts w:hint="eastAsia" w:ascii="宋体" w:hAnsi="宋体" w:eastAsia="宋体" w:cs="宋体"/>
          <w:sz w:val="23"/>
          <w:szCs w:val="23"/>
        </w:rPr>
        <w:t xml:space="preserve"> </w:t>
      </w:r>
      <w:r>
        <w:rPr>
          <w:rFonts w:hint="eastAsia" w:ascii="宋体" w:hAnsi="宋体" w:eastAsia="宋体" w:cs="宋体"/>
          <w:spacing w:val="-1"/>
          <w:sz w:val="23"/>
          <w:szCs w:val="23"/>
        </w:rPr>
        <w:t>员 5 人以下或营业收入 1</w:t>
      </w:r>
      <w:r>
        <w:rPr>
          <w:rFonts w:hint="eastAsia" w:ascii="宋体" w:hAnsi="宋体" w:eastAsia="宋体" w:cs="宋体"/>
          <w:sz w:val="23"/>
          <w:szCs w:val="23"/>
        </w:rPr>
        <w:t>000 万元以下的为微型企业。</w:t>
      </w:r>
    </w:p>
    <w:p w14:paraId="2702A2A4">
      <w:pPr>
        <w:spacing w:before="2" w:line="392" w:lineRule="auto"/>
        <w:ind w:left="22" w:right="58" w:firstLine="461"/>
        <w:rPr>
          <w:rFonts w:hint="eastAsia" w:ascii="宋体" w:hAnsi="宋体" w:eastAsia="宋体" w:cs="宋体"/>
          <w:sz w:val="23"/>
          <w:szCs w:val="23"/>
        </w:rPr>
      </w:pPr>
      <w:r>
        <w:rPr>
          <w:rFonts w:hint="eastAsia" w:ascii="宋体" w:hAnsi="宋体" w:eastAsia="宋体" w:cs="宋体"/>
          <w:spacing w:val="6"/>
          <w:sz w:val="23"/>
          <w:szCs w:val="23"/>
        </w:rPr>
        <w:t>(五</w:t>
      </w:r>
      <w:r>
        <w:rPr>
          <w:rFonts w:hint="eastAsia" w:ascii="宋体" w:hAnsi="宋体" w:eastAsia="宋体" w:cs="宋体"/>
          <w:spacing w:val="5"/>
          <w:sz w:val="23"/>
          <w:szCs w:val="23"/>
        </w:rPr>
        <w:t>)</w:t>
      </w:r>
      <w:r>
        <w:rPr>
          <w:rFonts w:hint="eastAsia" w:ascii="宋体" w:hAnsi="宋体" w:eastAsia="宋体" w:cs="宋体"/>
          <w:spacing w:val="3"/>
          <w:sz w:val="23"/>
          <w:szCs w:val="23"/>
        </w:rPr>
        <w:t xml:space="preserve"> 零售业。从业人员 300 人以下或营业收入 20000 万元以下的为中小微</w:t>
      </w:r>
      <w:r>
        <w:rPr>
          <w:rFonts w:hint="eastAsia" w:ascii="宋体" w:hAnsi="宋体" w:eastAsia="宋体" w:cs="宋体"/>
          <w:sz w:val="23"/>
          <w:szCs w:val="23"/>
        </w:rPr>
        <w:t xml:space="preserve"> </w:t>
      </w:r>
      <w:r>
        <w:rPr>
          <w:rFonts w:hint="eastAsia" w:ascii="宋体" w:hAnsi="宋体" w:eastAsia="宋体" w:cs="宋体"/>
          <w:spacing w:val="6"/>
          <w:sz w:val="23"/>
          <w:szCs w:val="23"/>
        </w:rPr>
        <w:t>型企业</w:t>
      </w:r>
      <w:r>
        <w:rPr>
          <w:rFonts w:hint="eastAsia" w:ascii="宋体" w:hAnsi="宋体" w:eastAsia="宋体" w:cs="宋体"/>
          <w:spacing w:val="4"/>
          <w:sz w:val="23"/>
          <w:szCs w:val="23"/>
        </w:rPr>
        <w:t>。</w:t>
      </w:r>
      <w:r>
        <w:rPr>
          <w:rFonts w:hint="eastAsia" w:ascii="宋体" w:hAnsi="宋体" w:eastAsia="宋体" w:cs="宋体"/>
          <w:spacing w:val="3"/>
          <w:sz w:val="23"/>
          <w:szCs w:val="23"/>
        </w:rPr>
        <w:t>其中，从业人员 50 人及以上，且营业收入 500 万元及以上的为中型企</w:t>
      </w:r>
      <w:r>
        <w:rPr>
          <w:rFonts w:hint="eastAsia" w:ascii="宋体" w:hAnsi="宋体" w:eastAsia="宋体" w:cs="宋体"/>
          <w:sz w:val="23"/>
          <w:szCs w:val="23"/>
        </w:rPr>
        <w:t xml:space="preserve"> </w:t>
      </w:r>
      <w:r>
        <w:rPr>
          <w:rFonts w:hint="eastAsia" w:ascii="宋体" w:hAnsi="宋体" w:eastAsia="宋体" w:cs="宋体"/>
          <w:spacing w:val="6"/>
          <w:sz w:val="23"/>
          <w:szCs w:val="23"/>
        </w:rPr>
        <w:t>业；从业</w:t>
      </w:r>
      <w:r>
        <w:rPr>
          <w:rFonts w:hint="eastAsia" w:ascii="宋体" w:hAnsi="宋体" w:eastAsia="宋体" w:cs="宋体"/>
          <w:spacing w:val="3"/>
          <w:sz w:val="23"/>
          <w:szCs w:val="23"/>
        </w:rPr>
        <w:t>人员 10 人及以上，且营业收入 100 万元及以上的为小型企业；从业人</w:t>
      </w:r>
      <w:r>
        <w:rPr>
          <w:rFonts w:hint="eastAsia" w:ascii="宋体" w:hAnsi="宋体" w:eastAsia="宋体" w:cs="宋体"/>
          <w:sz w:val="23"/>
          <w:szCs w:val="23"/>
        </w:rPr>
        <w:t xml:space="preserve"> </w:t>
      </w:r>
      <w:r>
        <w:rPr>
          <w:rFonts w:hint="eastAsia" w:ascii="宋体" w:hAnsi="宋体" w:eastAsia="宋体" w:cs="宋体"/>
          <w:spacing w:val="-1"/>
          <w:sz w:val="23"/>
          <w:szCs w:val="23"/>
        </w:rPr>
        <w:t xml:space="preserve">员 10 人以下或营业收入 </w:t>
      </w:r>
      <w:r>
        <w:rPr>
          <w:rFonts w:hint="eastAsia" w:ascii="宋体" w:hAnsi="宋体" w:eastAsia="宋体" w:cs="宋体"/>
          <w:sz w:val="23"/>
          <w:szCs w:val="23"/>
        </w:rPr>
        <w:t>100 万元以下的为微型企业。</w:t>
      </w:r>
    </w:p>
    <w:p w14:paraId="3C4F0EC2">
      <w:pPr>
        <w:spacing w:before="2" w:line="392" w:lineRule="auto"/>
        <w:ind w:left="26" w:firstLine="488"/>
        <w:rPr>
          <w:rFonts w:hint="eastAsia" w:ascii="宋体" w:hAnsi="宋体" w:eastAsia="宋体" w:cs="宋体"/>
          <w:sz w:val="23"/>
          <w:szCs w:val="23"/>
        </w:rPr>
      </w:pPr>
      <w:r>
        <w:rPr>
          <w:rFonts w:hint="eastAsia" w:ascii="宋体" w:hAnsi="宋体" w:eastAsia="宋体" w:cs="宋体"/>
          <w:spacing w:val="10"/>
          <w:sz w:val="23"/>
          <w:szCs w:val="23"/>
        </w:rPr>
        <w:t>(六</w:t>
      </w:r>
      <w:r>
        <w:rPr>
          <w:rFonts w:hint="eastAsia" w:ascii="宋体" w:hAnsi="宋体" w:eastAsia="宋体" w:cs="宋体"/>
          <w:spacing w:val="5"/>
          <w:sz w:val="23"/>
          <w:szCs w:val="23"/>
        </w:rPr>
        <w:t>) 交通运输业。从业人员 1000 人以下或营业收入 30000 万元以下的为</w:t>
      </w:r>
      <w:r>
        <w:rPr>
          <w:rFonts w:hint="eastAsia" w:ascii="宋体" w:hAnsi="宋体" w:eastAsia="宋体" w:cs="宋体"/>
          <w:sz w:val="23"/>
          <w:szCs w:val="23"/>
        </w:rPr>
        <w:t xml:space="preserve"> </w:t>
      </w:r>
      <w:r>
        <w:rPr>
          <w:rFonts w:hint="eastAsia" w:ascii="宋体" w:hAnsi="宋体" w:eastAsia="宋体" w:cs="宋体"/>
          <w:spacing w:val="6"/>
          <w:sz w:val="23"/>
          <w:szCs w:val="23"/>
        </w:rPr>
        <w:t>中小</w:t>
      </w:r>
      <w:r>
        <w:rPr>
          <w:rFonts w:hint="eastAsia" w:ascii="宋体" w:hAnsi="宋体" w:eastAsia="宋体" w:cs="宋体"/>
          <w:spacing w:val="3"/>
          <w:sz w:val="23"/>
          <w:szCs w:val="23"/>
        </w:rPr>
        <w:t>微型企业。其中，从业人员 300 人及以上，且营业收入 3000 万元及以上的</w:t>
      </w:r>
      <w:r>
        <w:rPr>
          <w:rFonts w:hint="eastAsia" w:ascii="宋体" w:hAnsi="宋体" w:eastAsia="宋体" w:cs="宋体"/>
          <w:sz w:val="23"/>
          <w:szCs w:val="23"/>
        </w:rPr>
        <w:t xml:space="preserve"> </w:t>
      </w:r>
      <w:r>
        <w:rPr>
          <w:rFonts w:hint="eastAsia" w:ascii="宋体" w:hAnsi="宋体" w:eastAsia="宋体" w:cs="宋体"/>
          <w:spacing w:val="-2"/>
          <w:sz w:val="23"/>
          <w:szCs w:val="23"/>
        </w:rPr>
        <w:t>为中</w:t>
      </w:r>
      <w:r>
        <w:rPr>
          <w:rFonts w:hint="eastAsia" w:ascii="宋体" w:hAnsi="宋体" w:eastAsia="宋体" w:cs="宋体"/>
          <w:spacing w:val="-1"/>
          <w:sz w:val="23"/>
          <w:szCs w:val="23"/>
        </w:rPr>
        <w:t>型企业；从业人员 20 人及以上，且营业收入 200 万元及以上的为小型企业；</w:t>
      </w:r>
      <w:r>
        <w:rPr>
          <w:rFonts w:hint="eastAsia" w:ascii="宋体" w:hAnsi="宋体" w:eastAsia="宋体" w:cs="宋体"/>
          <w:sz w:val="23"/>
          <w:szCs w:val="23"/>
        </w:rPr>
        <w:t xml:space="preserve"> </w:t>
      </w:r>
      <w:r>
        <w:rPr>
          <w:rFonts w:hint="eastAsia" w:ascii="宋体" w:hAnsi="宋体" w:eastAsia="宋体" w:cs="宋体"/>
          <w:spacing w:val="1"/>
          <w:sz w:val="23"/>
          <w:szCs w:val="23"/>
        </w:rPr>
        <w:t>从业人员 20 人以下或</w:t>
      </w:r>
      <w:r>
        <w:rPr>
          <w:rFonts w:hint="eastAsia" w:ascii="宋体" w:hAnsi="宋体" w:eastAsia="宋体" w:cs="宋体"/>
          <w:sz w:val="23"/>
          <w:szCs w:val="23"/>
        </w:rPr>
        <w:t>营业收入 200 万元以下的为微型企业。</w:t>
      </w:r>
    </w:p>
    <w:p w14:paraId="40A3278C">
      <w:pPr>
        <w:spacing w:before="3" w:line="392" w:lineRule="auto"/>
        <w:ind w:left="25" w:right="58" w:firstLine="458"/>
        <w:rPr>
          <w:rFonts w:hint="eastAsia" w:ascii="宋体" w:hAnsi="宋体" w:eastAsia="宋体" w:cs="宋体"/>
          <w:sz w:val="23"/>
          <w:szCs w:val="23"/>
        </w:rPr>
      </w:pPr>
      <w:r>
        <w:rPr>
          <w:rFonts w:hint="eastAsia" w:ascii="宋体" w:hAnsi="宋体" w:eastAsia="宋体" w:cs="宋体"/>
          <w:spacing w:val="6"/>
          <w:sz w:val="23"/>
          <w:szCs w:val="23"/>
        </w:rPr>
        <w:t>(七</w:t>
      </w:r>
      <w:r>
        <w:rPr>
          <w:rFonts w:hint="eastAsia" w:ascii="宋体" w:hAnsi="宋体" w:eastAsia="宋体" w:cs="宋体"/>
          <w:spacing w:val="5"/>
          <w:sz w:val="23"/>
          <w:szCs w:val="23"/>
        </w:rPr>
        <w:t>)</w:t>
      </w:r>
      <w:r>
        <w:rPr>
          <w:rFonts w:hint="eastAsia" w:ascii="宋体" w:hAnsi="宋体" w:eastAsia="宋体" w:cs="宋体"/>
          <w:spacing w:val="3"/>
          <w:sz w:val="23"/>
          <w:szCs w:val="23"/>
        </w:rPr>
        <w:t xml:space="preserve"> 仓储业。从业人员 200 人以下或营业收入 30000 万元以下的为中小微</w:t>
      </w:r>
      <w:r>
        <w:rPr>
          <w:rFonts w:hint="eastAsia" w:ascii="宋体" w:hAnsi="宋体" w:eastAsia="宋体" w:cs="宋体"/>
          <w:sz w:val="23"/>
          <w:szCs w:val="23"/>
        </w:rPr>
        <w:t xml:space="preserve"> </w:t>
      </w:r>
      <w:r>
        <w:rPr>
          <w:rFonts w:hint="eastAsia" w:ascii="宋体" w:hAnsi="宋体" w:eastAsia="宋体" w:cs="宋体"/>
          <w:spacing w:val="6"/>
          <w:sz w:val="23"/>
          <w:szCs w:val="23"/>
        </w:rPr>
        <w:t>型企</w:t>
      </w:r>
      <w:r>
        <w:rPr>
          <w:rFonts w:hint="eastAsia" w:ascii="宋体" w:hAnsi="宋体" w:eastAsia="宋体" w:cs="宋体"/>
          <w:spacing w:val="4"/>
          <w:sz w:val="23"/>
          <w:szCs w:val="23"/>
        </w:rPr>
        <w:t>业</w:t>
      </w:r>
      <w:r>
        <w:rPr>
          <w:rFonts w:hint="eastAsia" w:ascii="宋体" w:hAnsi="宋体" w:eastAsia="宋体" w:cs="宋体"/>
          <w:spacing w:val="3"/>
          <w:sz w:val="23"/>
          <w:szCs w:val="23"/>
        </w:rPr>
        <w:t>。其中，从业人员 100 人及以上，且营业收入 1000 万元及以上的为中型</w:t>
      </w:r>
      <w:r>
        <w:rPr>
          <w:rFonts w:hint="eastAsia" w:ascii="宋体" w:hAnsi="宋体" w:eastAsia="宋体" w:cs="宋体"/>
          <w:sz w:val="23"/>
          <w:szCs w:val="23"/>
        </w:rPr>
        <w:t xml:space="preserve"> </w:t>
      </w:r>
      <w:r>
        <w:rPr>
          <w:rFonts w:hint="eastAsia" w:ascii="宋体" w:hAnsi="宋体" w:eastAsia="宋体" w:cs="宋体"/>
          <w:spacing w:val="6"/>
          <w:sz w:val="23"/>
          <w:szCs w:val="23"/>
        </w:rPr>
        <w:t>企业</w:t>
      </w:r>
      <w:r>
        <w:rPr>
          <w:rFonts w:hint="eastAsia" w:ascii="宋体" w:hAnsi="宋体" w:eastAsia="宋体" w:cs="宋体"/>
          <w:spacing w:val="4"/>
          <w:sz w:val="23"/>
          <w:szCs w:val="23"/>
        </w:rPr>
        <w:t>；</w:t>
      </w:r>
      <w:r>
        <w:rPr>
          <w:rFonts w:hint="eastAsia" w:ascii="宋体" w:hAnsi="宋体" w:eastAsia="宋体" w:cs="宋体"/>
          <w:spacing w:val="3"/>
          <w:sz w:val="23"/>
          <w:szCs w:val="23"/>
        </w:rPr>
        <w:t>从业人员 20 人及以上，且营业收入 100 万元及以上的为小型企业；从业</w:t>
      </w:r>
      <w:r>
        <w:rPr>
          <w:rFonts w:hint="eastAsia" w:ascii="宋体" w:hAnsi="宋体" w:eastAsia="宋体" w:cs="宋体"/>
          <w:sz w:val="23"/>
          <w:szCs w:val="23"/>
        </w:rPr>
        <w:t xml:space="preserve"> </w:t>
      </w:r>
      <w:r>
        <w:rPr>
          <w:rFonts w:hint="eastAsia" w:ascii="宋体" w:hAnsi="宋体" w:eastAsia="宋体" w:cs="宋体"/>
          <w:spacing w:val="-1"/>
          <w:sz w:val="23"/>
          <w:szCs w:val="23"/>
        </w:rPr>
        <w:t>人员 20 人</w:t>
      </w:r>
      <w:r>
        <w:rPr>
          <w:rFonts w:hint="eastAsia" w:ascii="宋体" w:hAnsi="宋体" w:eastAsia="宋体" w:cs="宋体"/>
          <w:sz w:val="23"/>
          <w:szCs w:val="23"/>
        </w:rPr>
        <w:t>以下或营业收入 100 万元以下的为微型企业。</w:t>
      </w:r>
    </w:p>
    <w:p w14:paraId="4910E497">
      <w:pPr>
        <w:spacing w:before="2" w:line="392" w:lineRule="auto"/>
        <w:ind w:left="22" w:right="58" w:firstLine="492"/>
        <w:rPr>
          <w:rFonts w:hint="eastAsia" w:ascii="宋体" w:hAnsi="宋体" w:eastAsia="宋体" w:cs="宋体"/>
          <w:sz w:val="23"/>
          <w:szCs w:val="23"/>
        </w:rPr>
      </w:pPr>
      <w:r>
        <w:rPr>
          <w:rFonts w:hint="eastAsia" w:ascii="宋体" w:hAnsi="宋体" w:eastAsia="宋体" w:cs="宋体"/>
          <w:spacing w:val="10"/>
          <w:sz w:val="23"/>
          <w:szCs w:val="23"/>
        </w:rPr>
        <w:t>(八</w:t>
      </w:r>
      <w:r>
        <w:rPr>
          <w:rFonts w:hint="eastAsia" w:ascii="宋体" w:hAnsi="宋体" w:eastAsia="宋体" w:cs="宋体"/>
          <w:spacing w:val="5"/>
          <w:sz w:val="23"/>
          <w:szCs w:val="23"/>
        </w:rPr>
        <w:t>) 邮政业。从业人员 1000 人以下或营业收入 30000 万元以下的为中小</w:t>
      </w:r>
      <w:r>
        <w:rPr>
          <w:rFonts w:hint="eastAsia" w:ascii="宋体" w:hAnsi="宋体" w:eastAsia="宋体" w:cs="宋体"/>
          <w:sz w:val="23"/>
          <w:szCs w:val="23"/>
        </w:rPr>
        <w:t xml:space="preserve"> </w:t>
      </w:r>
      <w:r>
        <w:rPr>
          <w:rFonts w:hint="eastAsia" w:ascii="宋体" w:hAnsi="宋体" w:eastAsia="宋体" w:cs="宋体"/>
          <w:spacing w:val="6"/>
          <w:sz w:val="23"/>
          <w:szCs w:val="23"/>
        </w:rPr>
        <w:t>微型</w:t>
      </w:r>
      <w:r>
        <w:rPr>
          <w:rFonts w:hint="eastAsia" w:ascii="宋体" w:hAnsi="宋体" w:eastAsia="宋体" w:cs="宋体"/>
          <w:spacing w:val="4"/>
          <w:sz w:val="23"/>
          <w:szCs w:val="23"/>
        </w:rPr>
        <w:t>企</w:t>
      </w:r>
      <w:r>
        <w:rPr>
          <w:rFonts w:hint="eastAsia" w:ascii="宋体" w:hAnsi="宋体" w:eastAsia="宋体" w:cs="宋体"/>
          <w:spacing w:val="3"/>
          <w:sz w:val="23"/>
          <w:szCs w:val="23"/>
        </w:rPr>
        <w:t>业。其中，从业人员 300 人及以上，且营业收入 2000 万元及以上的为中</w:t>
      </w:r>
      <w:r>
        <w:rPr>
          <w:rFonts w:hint="eastAsia" w:ascii="宋体" w:hAnsi="宋体" w:eastAsia="宋体" w:cs="宋体"/>
          <w:sz w:val="23"/>
          <w:szCs w:val="23"/>
        </w:rPr>
        <w:t xml:space="preserve"> </w:t>
      </w:r>
      <w:r>
        <w:rPr>
          <w:rFonts w:hint="eastAsia" w:ascii="宋体" w:hAnsi="宋体" w:eastAsia="宋体" w:cs="宋体"/>
          <w:spacing w:val="6"/>
          <w:sz w:val="23"/>
          <w:szCs w:val="23"/>
        </w:rPr>
        <w:t>型企业；</w:t>
      </w:r>
      <w:r>
        <w:rPr>
          <w:rFonts w:hint="eastAsia" w:ascii="宋体" w:hAnsi="宋体" w:eastAsia="宋体" w:cs="宋体"/>
          <w:spacing w:val="3"/>
          <w:sz w:val="23"/>
          <w:szCs w:val="23"/>
        </w:rPr>
        <w:t>从业人员 20 人及以上，且营业收入 100 万元及以上的为小型企业；从</w:t>
      </w:r>
      <w:r>
        <w:rPr>
          <w:rFonts w:hint="eastAsia" w:ascii="宋体" w:hAnsi="宋体" w:eastAsia="宋体" w:cs="宋体"/>
          <w:sz w:val="23"/>
          <w:szCs w:val="23"/>
        </w:rPr>
        <w:t xml:space="preserve"> </w:t>
      </w:r>
      <w:r>
        <w:rPr>
          <w:rFonts w:hint="eastAsia" w:ascii="宋体" w:hAnsi="宋体" w:eastAsia="宋体" w:cs="宋体"/>
          <w:spacing w:val="1"/>
          <w:sz w:val="23"/>
          <w:szCs w:val="23"/>
        </w:rPr>
        <w:t>业人员 20</w:t>
      </w:r>
      <w:r>
        <w:rPr>
          <w:rFonts w:hint="eastAsia" w:ascii="宋体" w:hAnsi="宋体" w:eastAsia="宋体" w:cs="宋体"/>
          <w:sz w:val="23"/>
          <w:szCs w:val="23"/>
        </w:rPr>
        <w:t xml:space="preserve"> 人以下或营业收入 100 万元以下的为微型企业。</w:t>
      </w:r>
    </w:p>
    <w:p w14:paraId="22043330">
      <w:pPr>
        <w:spacing w:before="3" w:line="392" w:lineRule="auto"/>
        <w:ind w:left="25" w:right="58" w:firstLine="458"/>
        <w:rPr>
          <w:rFonts w:hint="eastAsia" w:ascii="宋体" w:hAnsi="宋体" w:eastAsia="宋体" w:cs="宋体"/>
          <w:sz w:val="23"/>
          <w:szCs w:val="23"/>
        </w:rPr>
      </w:pPr>
      <w:r>
        <w:rPr>
          <w:rFonts w:hint="eastAsia" w:ascii="宋体" w:hAnsi="宋体" w:eastAsia="宋体" w:cs="宋体"/>
          <w:spacing w:val="6"/>
          <w:sz w:val="23"/>
          <w:szCs w:val="23"/>
        </w:rPr>
        <w:t>(九</w:t>
      </w:r>
      <w:r>
        <w:rPr>
          <w:rFonts w:hint="eastAsia" w:ascii="宋体" w:hAnsi="宋体" w:eastAsia="宋体" w:cs="宋体"/>
          <w:spacing w:val="5"/>
          <w:sz w:val="23"/>
          <w:szCs w:val="23"/>
        </w:rPr>
        <w:t>)</w:t>
      </w:r>
      <w:r>
        <w:rPr>
          <w:rFonts w:hint="eastAsia" w:ascii="宋体" w:hAnsi="宋体" w:eastAsia="宋体" w:cs="宋体"/>
          <w:spacing w:val="3"/>
          <w:sz w:val="23"/>
          <w:szCs w:val="23"/>
        </w:rPr>
        <w:t xml:space="preserve"> 住宿业。从业人员 300 人以下或营业收入 10000 万元以下的为中小微</w:t>
      </w:r>
      <w:r>
        <w:rPr>
          <w:rFonts w:hint="eastAsia" w:ascii="宋体" w:hAnsi="宋体" w:eastAsia="宋体" w:cs="宋体"/>
          <w:sz w:val="23"/>
          <w:szCs w:val="23"/>
        </w:rPr>
        <w:t xml:space="preserve"> </w:t>
      </w:r>
      <w:r>
        <w:rPr>
          <w:rFonts w:hint="eastAsia" w:ascii="宋体" w:hAnsi="宋体" w:eastAsia="宋体" w:cs="宋体"/>
          <w:spacing w:val="6"/>
          <w:sz w:val="23"/>
          <w:szCs w:val="23"/>
        </w:rPr>
        <w:t>型企</w:t>
      </w:r>
      <w:r>
        <w:rPr>
          <w:rFonts w:hint="eastAsia" w:ascii="宋体" w:hAnsi="宋体" w:eastAsia="宋体" w:cs="宋体"/>
          <w:spacing w:val="4"/>
          <w:sz w:val="23"/>
          <w:szCs w:val="23"/>
        </w:rPr>
        <w:t>业</w:t>
      </w:r>
      <w:r>
        <w:rPr>
          <w:rFonts w:hint="eastAsia" w:ascii="宋体" w:hAnsi="宋体" w:eastAsia="宋体" w:cs="宋体"/>
          <w:spacing w:val="3"/>
          <w:sz w:val="23"/>
          <w:szCs w:val="23"/>
        </w:rPr>
        <w:t>。其中，从业人员 100 人及以上，且营业收入 2000 万元及以上的为中型</w:t>
      </w:r>
      <w:r>
        <w:rPr>
          <w:rFonts w:hint="eastAsia" w:ascii="宋体" w:hAnsi="宋体" w:eastAsia="宋体" w:cs="宋体"/>
          <w:sz w:val="23"/>
          <w:szCs w:val="23"/>
        </w:rPr>
        <w:t xml:space="preserve"> </w:t>
      </w:r>
      <w:r>
        <w:rPr>
          <w:rFonts w:hint="eastAsia" w:ascii="宋体" w:hAnsi="宋体" w:eastAsia="宋体" w:cs="宋体"/>
          <w:spacing w:val="6"/>
          <w:sz w:val="23"/>
          <w:szCs w:val="23"/>
        </w:rPr>
        <w:t>企业</w:t>
      </w:r>
      <w:r>
        <w:rPr>
          <w:rFonts w:hint="eastAsia" w:ascii="宋体" w:hAnsi="宋体" w:eastAsia="宋体" w:cs="宋体"/>
          <w:spacing w:val="4"/>
          <w:sz w:val="23"/>
          <w:szCs w:val="23"/>
        </w:rPr>
        <w:t>；</w:t>
      </w:r>
      <w:r>
        <w:rPr>
          <w:rFonts w:hint="eastAsia" w:ascii="宋体" w:hAnsi="宋体" w:eastAsia="宋体" w:cs="宋体"/>
          <w:spacing w:val="3"/>
          <w:sz w:val="23"/>
          <w:szCs w:val="23"/>
        </w:rPr>
        <w:t>从业人员 10 人及以上，且营业收入 100 万元及以上的为小型企业；从业</w:t>
      </w:r>
      <w:r>
        <w:rPr>
          <w:rFonts w:hint="eastAsia" w:ascii="宋体" w:hAnsi="宋体" w:eastAsia="宋体" w:cs="宋体"/>
          <w:sz w:val="23"/>
          <w:szCs w:val="23"/>
        </w:rPr>
        <w:t xml:space="preserve"> </w:t>
      </w:r>
      <w:r>
        <w:rPr>
          <w:rFonts w:hint="eastAsia" w:ascii="宋体" w:hAnsi="宋体" w:eastAsia="宋体" w:cs="宋体"/>
          <w:spacing w:val="-1"/>
          <w:sz w:val="23"/>
          <w:szCs w:val="23"/>
        </w:rPr>
        <w:t>人员 10 人</w:t>
      </w:r>
      <w:r>
        <w:rPr>
          <w:rFonts w:hint="eastAsia" w:ascii="宋体" w:hAnsi="宋体" w:eastAsia="宋体" w:cs="宋体"/>
          <w:sz w:val="23"/>
          <w:szCs w:val="23"/>
        </w:rPr>
        <w:t>以下或营业收入 100 万元以下的为微型企业。</w:t>
      </w:r>
    </w:p>
    <w:p w14:paraId="49EE0AD2">
      <w:pPr>
        <w:spacing w:line="227" w:lineRule="auto"/>
        <w:ind w:left="483"/>
        <w:rPr>
          <w:rFonts w:hint="eastAsia" w:ascii="宋体" w:hAnsi="宋体" w:eastAsia="宋体" w:cs="宋体"/>
          <w:sz w:val="23"/>
          <w:szCs w:val="23"/>
        </w:rPr>
      </w:pPr>
      <w:r>
        <w:rPr>
          <w:rFonts w:hint="eastAsia" w:ascii="宋体" w:hAnsi="宋体" w:eastAsia="宋体" w:cs="宋体"/>
          <w:spacing w:val="6"/>
          <w:sz w:val="23"/>
          <w:szCs w:val="23"/>
        </w:rPr>
        <w:t>(十</w:t>
      </w:r>
      <w:r>
        <w:rPr>
          <w:rFonts w:hint="eastAsia" w:ascii="宋体" w:hAnsi="宋体" w:eastAsia="宋体" w:cs="宋体"/>
          <w:spacing w:val="5"/>
          <w:sz w:val="23"/>
          <w:szCs w:val="23"/>
        </w:rPr>
        <w:t>)</w:t>
      </w:r>
      <w:r>
        <w:rPr>
          <w:rFonts w:hint="eastAsia" w:ascii="宋体" w:hAnsi="宋体" w:eastAsia="宋体" w:cs="宋体"/>
          <w:spacing w:val="3"/>
          <w:sz w:val="23"/>
          <w:szCs w:val="23"/>
        </w:rPr>
        <w:t xml:space="preserve"> 餐饮业。从业人员 300 人以下或营业收入 10000 万元以下的为中小微</w:t>
      </w:r>
    </w:p>
    <w:p w14:paraId="26C767B5">
      <w:pPr>
        <w:rPr>
          <w:rFonts w:hint="eastAsia" w:ascii="宋体" w:hAnsi="宋体" w:eastAsia="宋体" w:cs="宋体"/>
        </w:rPr>
        <w:sectPr>
          <w:footerReference r:id="rId10" w:type="default"/>
          <w:pgSz w:w="11906" w:h="16839"/>
          <w:pgMar w:top="400" w:right="1740" w:bottom="1295" w:left="1785" w:header="0" w:footer="898" w:gutter="0"/>
          <w:pgNumType w:fmt="decimal"/>
          <w:cols w:space="720" w:num="1"/>
        </w:sectPr>
      </w:pPr>
    </w:p>
    <w:p w14:paraId="4C84B25A">
      <w:pPr>
        <w:spacing w:line="271" w:lineRule="auto"/>
        <w:rPr>
          <w:rFonts w:hint="eastAsia" w:ascii="宋体" w:hAnsi="宋体" w:eastAsia="宋体" w:cs="宋体"/>
          <w:sz w:val="21"/>
        </w:rPr>
      </w:pPr>
    </w:p>
    <w:p w14:paraId="2A5317DD">
      <w:pPr>
        <w:spacing w:before="74" w:line="393" w:lineRule="auto"/>
        <w:ind w:left="25" w:right="35" w:firstLine="5"/>
        <w:rPr>
          <w:rFonts w:hint="eastAsia" w:ascii="宋体" w:hAnsi="宋体" w:eastAsia="宋体" w:cs="宋体"/>
          <w:sz w:val="23"/>
          <w:szCs w:val="23"/>
        </w:rPr>
      </w:pPr>
      <w:r>
        <w:rPr>
          <w:rFonts w:hint="eastAsia" w:ascii="宋体" w:hAnsi="宋体" w:eastAsia="宋体" w:cs="宋体"/>
          <w:spacing w:val="4"/>
          <w:sz w:val="23"/>
          <w:szCs w:val="23"/>
        </w:rPr>
        <w:t>型</w:t>
      </w:r>
      <w:r>
        <w:rPr>
          <w:rFonts w:hint="eastAsia" w:ascii="宋体" w:hAnsi="宋体" w:eastAsia="宋体" w:cs="宋体"/>
          <w:spacing w:val="3"/>
          <w:sz w:val="23"/>
          <w:szCs w:val="23"/>
        </w:rPr>
        <w:t>企业。其中，从业人员 100 人及以上，且营业收入 2000 万元及以上的为中型</w:t>
      </w:r>
      <w:r>
        <w:rPr>
          <w:rFonts w:hint="eastAsia" w:ascii="宋体" w:hAnsi="宋体" w:eastAsia="宋体" w:cs="宋体"/>
          <w:sz w:val="23"/>
          <w:szCs w:val="23"/>
        </w:rPr>
        <w:t xml:space="preserve"> </w:t>
      </w:r>
      <w:r>
        <w:rPr>
          <w:rFonts w:hint="eastAsia" w:ascii="宋体" w:hAnsi="宋体" w:eastAsia="宋体" w:cs="宋体"/>
          <w:spacing w:val="6"/>
          <w:sz w:val="23"/>
          <w:szCs w:val="23"/>
        </w:rPr>
        <w:t>企业</w:t>
      </w:r>
      <w:r>
        <w:rPr>
          <w:rFonts w:hint="eastAsia" w:ascii="宋体" w:hAnsi="宋体" w:eastAsia="宋体" w:cs="宋体"/>
          <w:spacing w:val="4"/>
          <w:sz w:val="23"/>
          <w:szCs w:val="23"/>
        </w:rPr>
        <w:t>；</w:t>
      </w:r>
      <w:r>
        <w:rPr>
          <w:rFonts w:hint="eastAsia" w:ascii="宋体" w:hAnsi="宋体" w:eastAsia="宋体" w:cs="宋体"/>
          <w:spacing w:val="3"/>
          <w:sz w:val="23"/>
          <w:szCs w:val="23"/>
        </w:rPr>
        <w:t>从业人员 10 人及以上，且营业收入 100 万元及以上的为小型企业；从业</w:t>
      </w:r>
      <w:r>
        <w:rPr>
          <w:rFonts w:hint="eastAsia" w:ascii="宋体" w:hAnsi="宋体" w:eastAsia="宋体" w:cs="宋体"/>
          <w:sz w:val="23"/>
          <w:szCs w:val="23"/>
        </w:rPr>
        <w:t xml:space="preserve"> </w:t>
      </w:r>
      <w:r>
        <w:rPr>
          <w:rFonts w:hint="eastAsia" w:ascii="宋体" w:hAnsi="宋体" w:eastAsia="宋体" w:cs="宋体"/>
          <w:spacing w:val="-1"/>
          <w:sz w:val="23"/>
          <w:szCs w:val="23"/>
        </w:rPr>
        <w:t>人员 10 人</w:t>
      </w:r>
      <w:r>
        <w:rPr>
          <w:rFonts w:hint="eastAsia" w:ascii="宋体" w:hAnsi="宋体" w:eastAsia="宋体" w:cs="宋体"/>
          <w:sz w:val="23"/>
          <w:szCs w:val="23"/>
        </w:rPr>
        <w:t>以下或营业收入 100 万元以下的为微型企业。</w:t>
      </w:r>
    </w:p>
    <w:p w14:paraId="34646D82">
      <w:pPr>
        <w:spacing w:before="2" w:line="392" w:lineRule="auto"/>
        <w:ind w:left="22" w:right="35" w:firstLine="461"/>
        <w:rPr>
          <w:rFonts w:hint="eastAsia" w:ascii="宋体" w:hAnsi="宋体" w:eastAsia="宋体" w:cs="宋体"/>
          <w:sz w:val="23"/>
          <w:szCs w:val="23"/>
        </w:rPr>
      </w:pPr>
      <w:r>
        <w:rPr>
          <w:rFonts w:hint="eastAsia" w:ascii="宋体" w:hAnsi="宋体" w:eastAsia="宋体" w:cs="宋体"/>
          <w:spacing w:val="6"/>
          <w:sz w:val="23"/>
          <w:szCs w:val="23"/>
        </w:rPr>
        <w:t>(</w:t>
      </w:r>
      <w:r>
        <w:rPr>
          <w:rFonts w:hint="eastAsia" w:ascii="宋体" w:hAnsi="宋体" w:eastAsia="宋体" w:cs="宋体"/>
          <w:spacing w:val="5"/>
          <w:sz w:val="23"/>
          <w:szCs w:val="23"/>
        </w:rPr>
        <w:t>十</w:t>
      </w:r>
      <w:r>
        <w:rPr>
          <w:rFonts w:hint="eastAsia" w:ascii="宋体" w:hAnsi="宋体" w:eastAsia="宋体" w:cs="宋体"/>
          <w:spacing w:val="3"/>
          <w:sz w:val="23"/>
          <w:szCs w:val="23"/>
        </w:rPr>
        <w:t>一) 信息传输业。从业人员 2000 人以下或营业收入 100000 万元以下的</w:t>
      </w:r>
      <w:r>
        <w:rPr>
          <w:rFonts w:hint="eastAsia" w:ascii="宋体" w:hAnsi="宋体" w:eastAsia="宋体" w:cs="宋体"/>
          <w:sz w:val="23"/>
          <w:szCs w:val="23"/>
        </w:rPr>
        <w:t xml:space="preserve"> </w:t>
      </w:r>
      <w:r>
        <w:rPr>
          <w:rFonts w:hint="eastAsia" w:ascii="宋体" w:hAnsi="宋体" w:eastAsia="宋体" w:cs="宋体"/>
          <w:spacing w:val="6"/>
          <w:sz w:val="23"/>
          <w:szCs w:val="23"/>
        </w:rPr>
        <w:t>为中</w:t>
      </w:r>
      <w:r>
        <w:rPr>
          <w:rFonts w:hint="eastAsia" w:ascii="宋体" w:hAnsi="宋体" w:eastAsia="宋体" w:cs="宋体"/>
          <w:spacing w:val="4"/>
          <w:sz w:val="23"/>
          <w:szCs w:val="23"/>
        </w:rPr>
        <w:t>小</w:t>
      </w:r>
      <w:r>
        <w:rPr>
          <w:rFonts w:hint="eastAsia" w:ascii="宋体" w:hAnsi="宋体" w:eastAsia="宋体" w:cs="宋体"/>
          <w:spacing w:val="3"/>
          <w:sz w:val="23"/>
          <w:szCs w:val="23"/>
        </w:rPr>
        <w:t>微型企业。其中，从业人员 100 人及以上，且营业收入 1000 万元及以上</w:t>
      </w:r>
      <w:r>
        <w:rPr>
          <w:rFonts w:hint="eastAsia" w:ascii="宋体" w:hAnsi="宋体" w:eastAsia="宋体" w:cs="宋体"/>
          <w:sz w:val="23"/>
          <w:szCs w:val="23"/>
        </w:rPr>
        <w:t xml:space="preserve"> </w:t>
      </w:r>
      <w:r>
        <w:rPr>
          <w:rFonts w:hint="eastAsia" w:ascii="宋体" w:hAnsi="宋体" w:eastAsia="宋体" w:cs="宋体"/>
          <w:spacing w:val="6"/>
          <w:sz w:val="23"/>
          <w:szCs w:val="23"/>
        </w:rPr>
        <w:t>的为中</w:t>
      </w:r>
      <w:r>
        <w:rPr>
          <w:rFonts w:hint="eastAsia" w:ascii="宋体" w:hAnsi="宋体" w:eastAsia="宋体" w:cs="宋体"/>
          <w:spacing w:val="4"/>
          <w:sz w:val="23"/>
          <w:szCs w:val="23"/>
        </w:rPr>
        <w:t>型</w:t>
      </w:r>
      <w:r>
        <w:rPr>
          <w:rFonts w:hint="eastAsia" w:ascii="宋体" w:hAnsi="宋体" w:eastAsia="宋体" w:cs="宋体"/>
          <w:spacing w:val="3"/>
          <w:sz w:val="23"/>
          <w:szCs w:val="23"/>
        </w:rPr>
        <w:t>企业；从业人员 10 人及以上，且营业收入 100 万元及以上的为小型企</w:t>
      </w:r>
      <w:r>
        <w:rPr>
          <w:rFonts w:hint="eastAsia" w:ascii="宋体" w:hAnsi="宋体" w:eastAsia="宋体" w:cs="宋体"/>
          <w:sz w:val="23"/>
          <w:szCs w:val="23"/>
        </w:rPr>
        <w:t xml:space="preserve"> </w:t>
      </w:r>
      <w:r>
        <w:rPr>
          <w:rFonts w:hint="eastAsia" w:ascii="宋体" w:hAnsi="宋体" w:eastAsia="宋体" w:cs="宋体"/>
          <w:spacing w:val="2"/>
          <w:sz w:val="23"/>
          <w:szCs w:val="23"/>
        </w:rPr>
        <w:t>业；</w:t>
      </w:r>
      <w:r>
        <w:rPr>
          <w:rFonts w:hint="eastAsia" w:ascii="宋体" w:hAnsi="宋体" w:eastAsia="宋体" w:cs="宋体"/>
          <w:spacing w:val="1"/>
          <w:sz w:val="23"/>
          <w:szCs w:val="23"/>
        </w:rPr>
        <w:t>从业人员 10 人以下或营业收入 100 万元以下的为微型企业。</w:t>
      </w:r>
    </w:p>
    <w:p w14:paraId="7EBBB13C">
      <w:pPr>
        <w:spacing w:before="2" w:line="392" w:lineRule="auto"/>
        <w:ind w:left="26" w:right="35" w:firstLine="500"/>
        <w:rPr>
          <w:rFonts w:hint="eastAsia" w:ascii="宋体" w:hAnsi="宋体" w:eastAsia="宋体" w:cs="宋体"/>
          <w:sz w:val="23"/>
          <w:szCs w:val="23"/>
        </w:rPr>
      </w:pPr>
      <w:r>
        <w:rPr>
          <w:rFonts w:hint="eastAsia" w:ascii="宋体" w:hAnsi="宋体" w:eastAsia="宋体" w:cs="宋体"/>
          <w:spacing w:val="13"/>
          <w:sz w:val="23"/>
          <w:szCs w:val="23"/>
        </w:rPr>
        <w:t>(</w:t>
      </w:r>
      <w:r>
        <w:rPr>
          <w:rFonts w:hint="eastAsia" w:ascii="宋体" w:hAnsi="宋体" w:eastAsia="宋体" w:cs="宋体"/>
          <w:spacing w:val="11"/>
          <w:sz w:val="23"/>
          <w:szCs w:val="23"/>
        </w:rPr>
        <w:t>十二) 软件和信息技术服务业。从业人员 300 人以下或营业收入 10000</w:t>
      </w:r>
      <w:r>
        <w:rPr>
          <w:rFonts w:hint="eastAsia" w:ascii="宋体" w:hAnsi="宋体" w:eastAsia="宋体" w:cs="宋体"/>
          <w:sz w:val="23"/>
          <w:szCs w:val="23"/>
        </w:rPr>
        <w:t xml:space="preserve"> </w:t>
      </w:r>
      <w:r>
        <w:rPr>
          <w:rFonts w:hint="eastAsia" w:ascii="宋体" w:hAnsi="宋体" w:eastAsia="宋体" w:cs="宋体"/>
          <w:spacing w:val="10"/>
          <w:sz w:val="23"/>
          <w:szCs w:val="23"/>
        </w:rPr>
        <w:t>万</w:t>
      </w:r>
      <w:r>
        <w:rPr>
          <w:rFonts w:hint="eastAsia" w:ascii="宋体" w:hAnsi="宋体" w:eastAsia="宋体" w:cs="宋体"/>
          <w:spacing w:val="6"/>
          <w:sz w:val="23"/>
          <w:szCs w:val="23"/>
        </w:rPr>
        <w:t>元以下的为中小微型企业。其中，从业人员 100 人及以上，且营业收入 1000</w:t>
      </w:r>
      <w:r>
        <w:rPr>
          <w:rFonts w:hint="eastAsia" w:ascii="宋体" w:hAnsi="宋体" w:eastAsia="宋体" w:cs="宋体"/>
          <w:sz w:val="23"/>
          <w:szCs w:val="23"/>
        </w:rPr>
        <w:t xml:space="preserve"> </w:t>
      </w:r>
      <w:r>
        <w:rPr>
          <w:rFonts w:hint="eastAsia" w:ascii="宋体" w:hAnsi="宋体" w:eastAsia="宋体" w:cs="宋体"/>
          <w:spacing w:val="1"/>
          <w:sz w:val="23"/>
          <w:szCs w:val="23"/>
        </w:rPr>
        <w:t>万元及以上的为中型企业；从业</w:t>
      </w:r>
      <w:r>
        <w:rPr>
          <w:rFonts w:hint="eastAsia" w:ascii="宋体" w:hAnsi="宋体" w:eastAsia="宋体" w:cs="宋体"/>
          <w:sz w:val="23"/>
          <w:szCs w:val="23"/>
        </w:rPr>
        <w:t xml:space="preserve">人员 10 人及以上，且营业收入 50 万元及以上的 </w:t>
      </w:r>
      <w:r>
        <w:rPr>
          <w:rFonts w:hint="eastAsia" w:ascii="宋体" w:hAnsi="宋体" w:eastAsia="宋体" w:cs="宋体"/>
          <w:spacing w:val="2"/>
          <w:sz w:val="23"/>
          <w:szCs w:val="23"/>
        </w:rPr>
        <w:t>为小型企业；从业人员 10 人以下或营业收入 50 万元以下的为微</w:t>
      </w:r>
      <w:r>
        <w:rPr>
          <w:rFonts w:hint="eastAsia" w:ascii="宋体" w:hAnsi="宋体" w:eastAsia="宋体" w:cs="宋体"/>
          <w:spacing w:val="1"/>
          <w:sz w:val="23"/>
          <w:szCs w:val="23"/>
        </w:rPr>
        <w:t>型</w:t>
      </w:r>
      <w:r>
        <w:rPr>
          <w:rFonts w:hint="eastAsia" w:ascii="宋体" w:hAnsi="宋体" w:eastAsia="宋体" w:cs="宋体"/>
          <w:sz w:val="23"/>
          <w:szCs w:val="23"/>
        </w:rPr>
        <w:t>企业。</w:t>
      </w:r>
    </w:p>
    <w:p w14:paraId="1AFC91E3">
      <w:pPr>
        <w:spacing w:before="1" w:line="392" w:lineRule="auto"/>
        <w:ind w:left="25" w:right="35" w:firstLine="489"/>
        <w:rPr>
          <w:rFonts w:hint="eastAsia" w:ascii="宋体" w:hAnsi="宋体" w:eastAsia="宋体" w:cs="宋体"/>
          <w:sz w:val="23"/>
          <w:szCs w:val="23"/>
        </w:rPr>
      </w:pPr>
      <w:r>
        <w:rPr>
          <w:rFonts w:hint="eastAsia" w:ascii="宋体" w:hAnsi="宋体" w:eastAsia="宋体" w:cs="宋体"/>
          <w:spacing w:val="8"/>
          <w:sz w:val="23"/>
          <w:szCs w:val="23"/>
        </w:rPr>
        <w:t>(</w:t>
      </w:r>
      <w:r>
        <w:rPr>
          <w:rFonts w:hint="eastAsia" w:ascii="宋体" w:hAnsi="宋体" w:eastAsia="宋体" w:cs="宋体"/>
          <w:spacing w:val="5"/>
          <w:sz w:val="23"/>
          <w:szCs w:val="23"/>
        </w:rPr>
        <w:t>十三) 房地产开发经营。营业收入 200000 万元以下或资产总额 10000 万</w:t>
      </w:r>
      <w:r>
        <w:rPr>
          <w:rFonts w:hint="eastAsia" w:ascii="宋体" w:hAnsi="宋体" w:eastAsia="宋体" w:cs="宋体"/>
          <w:sz w:val="23"/>
          <w:szCs w:val="23"/>
        </w:rPr>
        <w:t xml:space="preserve"> </w:t>
      </w:r>
      <w:r>
        <w:rPr>
          <w:rFonts w:hint="eastAsia" w:ascii="宋体" w:hAnsi="宋体" w:eastAsia="宋体" w:cs="宋体"/>
          <w:spacing w:val="6"/>
          <w:sz w:val="23"/>
          <w:szCs w:val="23"/>
        </w:rPr>
        <w:t>元以</w:t>
      </w:r>
      <w:r>
        <w:rPr>
          <w:rFonts w:hint="eastAsia" w:ascii="宋体" w:hAnsi="宋体" w:eastAsia="宋体" w:cs="宋体"/>
          <w:spacing w:val="4"/>
          <w:sz w:val="23"/>
          <w:szCs w:val="23"/>
        </w:rPr>
        <w:t>下</w:t>
      </w:r>
      <w:r>
        <w:rPr>
          <w:rFonts w:hint="eastAsia" w:ascii="宋体" w:hAnsi="宋体" w:eastAsia="宋体" w:cs="宋体"/>
          <w:spacing w:val="3"/>
          <w:sz w:val="23"/>
          <w:szCs w:val="23"/>
        </w:rPr>
        <w:t>的为中小微型企业。其中，营业收入 1000 万元及以上，且资产总额 5000</w:t>
      </w:r>
      <w:r>
        <w:rPr>
          <w:rFonts w:hint="eastAsia" w:ascii="宋体" w:hAnsi="宋体" w:eastAsia="宋体" w:cs="宋体"/>
          <w:sz w:val="23"/>
          <w:szCs w:val="23"/>
        </w:rPr>
        <w:t xml:space="preserve"> </w:t>
      </w:r>
      <w:r>
        <w:rPr>
          <w:rFonts w:hint="eastAsia" w:ascii="宋体" w:hAnsi="宋体" w:eastAsia="宋体" w:cs="宋体"/>
          <w:spacing w:val="6"/>
          <w:sz w:val="23"/>
          <w:szCs w:val="23"/>
        </w:rPr>
        <w:t>万元</w:t>
      </w:r>
      <w:r>
        <w:rPr>
          <w:rFonts w:hint="eastAsia" w:ascii="宋体" w:hAnsi="宋体" w:eastAsia="宋体" w:cs="宋体"/>
          <w:spacing w:val="4"/>
          <w:sz w:val="23"/>
          <w:szCs w:val="23"/>
        </w:rPr>
        <w:t>及</w:t>
      </w:r>
      <w:r>
        <w:rPr>
          <w:rFonts w:hint="eastAsia" w:ascii="宋体" w:hAnsi="宋体" w:eastAsia="宋体" w:cs="宋体"/>
          <w:spacing w:val="3"/>
          <w:sz w:val="23"/>
          <w:szCs w:val="23"/>
        </w:rPr>
        <w:t>以上的为中型企业；营业收入 100 万元及以上，且资产总额 2000 万元及</w:t>
      </w:r>
      <w:r>
        <w:rPr>
          <w:rFonts w:hint="eastAsia" w:ascii="宋体" w:hAnsi="宋体" w:eastAsia="宋体" w:cs="宋体"/>
          <w:sz w:val="23"/>
          <w:szCs w:val="23"/>
        </w:rPr>
        <w:t xml:space="preserve"> </w:t>
      </w:r>
      <w:r>
        <w:rPr>
          <w:rFonts w:hint="eastAsia" w:ascii="宋体" w:hAnsi="宋体" w:eastAsia="宋体" w:cs="宋体"/>
          <w:spacing w:val="6"/>
          <w:sz w:val="23"/>
          <w:szCs w:val="23"/>
        </w:rPr>
        <w:t>以</w:t>
      </w:r>
      <w:r>
        <w:rPr>
          <w:rFonts w:hint="eastAsia" w:ascii="宋体" w:hAnsi="宋体" w:eastAsia="宋体" w:cs="宋体"/>
          <w:spacing w:val="4"/>
          <w:sz w:val="23"/>
          <w:szCs w:val="23"/>
        </w:rPr>
        <w:t>上</w:t>
      </w:r>
      <w:r>
        <w:rPr>
          <w:rFonts w:hint="eastAsia" w:ascii="宋体" w:hAnsi="宋体" w:eastAsia="宋体" w:cs="宋体"/>
          <w:spacing w:val="3"/>
          <w:sz w:val="23"/>
          <w:szCs w:val="23"/>
        </w:rPr>
        <w:t>的为小型企业；营业收入 100 万元以下或资产总额 2000 万元以下的为微型</w:t>
      </w:r>
      <w:r>
        <w:rPr>
          <w:rFonts w:hint="eastAsia" w:ascii="宋体" w:hAnsi="宋体" w:eastAsia="宋体" w:cs="宋体"/>
          <w:sz w:val="23"/>
          <w:szCs w:val="23"/>
        </w:rPr>
        <w:t xml:space="preserve"> </w:t>
      </w:r>
      <w:r>
        <w:rPr>
          <w:rFonts w:hint="eastAsia" w:ascii="宋体" w:hAnsi="宋体" w:eastAsia="宋体" w:cs="宋体"/>
          <w:spacing w:val="3"/>
          <w:sz w:val="23"/>
          <w:szCs w:val="23"/>
        </w:rPr>
        <w:t>企业</w:t>
      </w:r>
      <w:r>
        <w:rPr>
          <w:rFonts w:hint="eastAsia" w:ascii="宋体" w:hAnsi="宋体" w:eastAsia="宋体" w:cs="宋体"/>
          <w:spacing w:val="2"/>
          <w:sz w:val="23"/>
          <w:szCs w:val="23"/>
        </w:rPr>
        <w:t>。</w:t>
      </w:r>
    </w:p>
    <w:p w14:paraId="2A75DEAD">
      <w:pPr>
        <w:spacing w:before="2" w:line="392" w:lineRule="auto"/>
        <w:ind w:left="26" w:right="2" w:firstLine="457"/>
        <w:rPr>
          <w:rFonts w:hint="eastAsia" w:ascii="宋体" w:hAnsi="宋体" w:eastAsia="宋体" w:cs="宋体"/>
          <w:sz w:val="23"/>
          <w:szCs w:val="23"/>
        </w:rPr>
      </w:pPr>
      <w:r>
        <w:rPr>
          <w:rFonts w:hint="eastAsia" w:ascii="宋体" w:hAnsi="宋体" w:eastAsia="宋体" w:cs="宋体"/>
          <w:spacing w:val="6"/>
          <w:sz w:val="23"/>
          <w:szCs w:val="23"/>
        </w:rPr>
        <w:t>(十</w:t>
      </w:r>
      <w:r>
        <w:rPr>
          <w:rFonts w:hint="eastAsia" w:ascii="宋体" w:hAnsi="宋体" w:eastAsia="宋体" w:cs="宋体"/>
          <w:spacing w:val="5"/>
          <w:sz w:val="23"/>
          <w:szCs w:val="23"/>
        </w:rPr>
        <w:t>四</w:t>
      </w:r>
      <w:r>
        <w:rPr>
          <w:rFonts w:hint="eastAsia" w:ascii="宋体" w:hAnsi="宋体" w:eastAsia="宋体" w:cs="宋体"/>
          <w:spacing w:val="3"/>
          <w:sz w:val="23"/>
          <w:szCs w:val="23"/>
        </w:rPr>
        <w:t>) 物业管理。从业人员 1000 人以下或营业收入 5000 万元以下的为中</w:t>
      </w:r>
      <w:r>
        <w:rPr>
          <w:rFonts w:hint="eastAsia" w:ascii="宋体" w:hAnsi="宋体" w:eastAsia="宋体" w:cs="宋体"/>
          <w:sz w:val="23"/>
          <w:szCs w:val="23"/>
        </w:rPr>
        <w:t xml:space="preserve"> </w:t>
      </w:r>
      <w:r>
        <w:rPr>
          <w:rFonts w:hint="eastAsia" w:ascii="宋体" w:hAnsi="宋体" w:eastAsia="宋体" w:cs="宋体"/>
          <w:spacing w:val="6"/>
          <w:sz w:val="23"/>
          <w:szCs w:val="23"/>
        </w:rPr>
        <w:t>小</w:t>
      </w:r>
      <w:r>
        <w:rPr>
          <w:rFonts w:hint="eastAsia" w:ascii="宋体" w:hAnsi="宋体" w:eastAsia="宋体" w:cs="宋体"/>
          <w:spacing w:val="3"/>
          <w:sz w:val="23"/>
          <w:szCs w:val="23"/>
        </w:rPr>
        <w:t>微型企业。其中，从业人员 300 人及以上，且营业收入 1000 万元及以上的为</w:t>
      </w:r>
      <w:r>
        <w:rPr>
          <w:rFonts w:hint="eastAsia" w:ascii="宋体" w:hAnsi="宋体" w:eastAsia="宋体" w:cs="宋体"/>
          <w:sz w:val="23"/>
          <w:szCs w:val="23"/>
        </w:rPr>
        <w:t xml:space="preserve"> </w:t>
      </w:r>
      <w:r>
        <w:rPr>
          <w:rFonts w:hint="eastAsia" w:ascii="宋体" w:hAnsi="宋体" w:eastAsia="宋体" w:cs="宋体"/>
          <w:spacing w:val="2"/>
          <w:sz w:val="23"/>
          <w:szCs w:val="23"/>
        </w:rPr>
        <w:t>中型企业；</w:t>
      </w:r>
      <w:r>
        <w:rPr>
          <w:rFonts w:hint="eastAsia" w:ascii="宋体" w:hAnsi="宋体" w:eastAsia="宋体" w:cs="宋体"/>
          <w:spacing w:val="1"/>
          <w:sz w:val="23"/>
          <w:szCs w:val="23"/>
        </w:rPr>
        <w:t>从业人员 100 人及以上，且营业收入 500 万元及以上的为小型企业；</w:t>
      </w:r>
      <w:r>
        <w:rPr>
          <w:rFonts w:hint="eastAsia" w:ascii="宋体" w:hAnsi="宋体" w:eastAsia="宋体" w:cs="宋体"/>
          <w:sz w:val="23"/>
          <w:szCs w:val="23"/>
        </w:rPr>
        <w:t xml:space="preserve"> </w:t>
      </w:r>
      <w:r>
        <w:rPr>
          <w:rFonts w:hint="eastAsia" w:ascii="宋体" w:hAnsi="宋体" w:eastAsia="宋体" w:cs="宋体"/>
          <w:spacing w:val="1"/>
          <w:sz w:val="23"/>
          <w:szCs w:val="23"/>
        </w:rPr>
        <w:t>从业人员 100 人以下或营业收入</w:t>
      </w:r>
      <w:r>
        <w:rPr>
          <w:rFonts w:hint="eastAsia" w:ascii="宋体" w:hAnsi="宋体" w:eastAsia="宋体" w:cs="宋体"/>
          <w:sz w:val="23"/>
          <w:szCs w:val="23"/>
        </w:rPr>
        <w:t xml:space="preserve"> 500 万元以下的为微型企业。</w:t>
      </w:r>
    </w:p>
    <w:p w14:paraId="54BF04B7">
      <w:pPr>
        <w:spacing w:before="3" w:line="392" w:lineRule="auto"/>
        <w:ind w:left="22" w:right="35" w:firstLine="492"/>
        <w:rPr>
          <w:rFonts w:hint="eastAsia" w:ascii="宋体" w:hAnsi="宋体" w:eastAsia="宋体" w:cs="宋体"/>
          <w:sz w:val="23"/>
          <w:szCs w:val="23"/>
        </w:rPr>
      </w:pPr>
      <w:r>
        <w:rPr>
          <w:rFonts w:hint="eastAsia" w:ascii="宋体" w:hAnsi="宋体" w:eastAsia="宋体" w:cs="宋体"/>
          <w:spacing w:val="10"/>
          <w:sz w:val="23"/>
          <w:szCs w:val="23"/>
        </w:rPr>
        <w:t>(</w:t>
      </w:r>
      <w:r>
        <w:rPr>
          <w:rFonts w:hint="eastAsia" w:ascii="宋体" w:hAnsi="宋体" w:eastAsia="宋体" w:cs="宋体"/>
          <w:spacing w:val="8"/>
          <w:sz w:val="23"/>
          <w:szCs w:val="23"/>
        </w:rPr>
        <w:t>十</w:t>
      </w:r>
      <w:r>
        <w:rPr>
          <w:rFonts w:hint="eastAsia" w:ascii="宋体" w:hAnsi="宋体" w:eastAsia="宋体" w:cs="宋体"/>
          <w:spacing w:val="5"/>
          <w:sz w:val="23"/>
          <w:szCs w:val="23"/>
        </w:rPr>
        <w:t>五) 租赁和商务服务业。从业人员 300 人以下或资产总额 120000 万元</w:t>
      </w:r>
      <w:r>
        <w:rPr>
          <w:rFonts w:hint="eastAsia" w:ascii="宋体" w:hAnsi="宋体" w:eastAsia="宋体" w:cs="宋体"/>
          <w:sz w:val="23"/>
          <w:szCs w:val="23"/>
        </w:rPr>
        <w:t xml:space="preserve"> </w:t>
      </w:r>
      <w:r>
        <w:rPr>
          <w:rFonts w:hint="eastAsia" w:ascii="宋体" w:hAnsi="宋体" w:eastAsia="宋体" w:cs="宋体"/>
          <w:spacing w:val="6"/>
          <w:sz w:val="23"/>
          <w:szCs w:val="23"/>
        </w:rPr>
        <w:t>以下</w:t>
      </w:r>
      <w:r>
        <w:rPr>
          <w:rFonts w:hint="eastAsia" w:ascii="宋体" w:hAnsi="宋体" w:eastAsia="宋体" w:cs="宋体"/>
          <w:spacing w:val="4"/>
          <w:sz w:val="23"/>
          <w:szCs w:val="23"/>
        </w:rPr>
        <w:t>的</w:t>
      </w:r>
      <w:r>
        <w:rPr>
          <w:rFonts w:hint="eastAsia" w:ascii="宋体" w:hAnsi="宋体" w:eastAsia="宋体" w:cs="宋体"/>
          <w:spacing w:val="3"/>
          <w:sz w:val="23"/>
          <w:szCs w:val="23"/>
        </w:rPr>
        <w:t>为中小微型企业。其中，从业人员 100 人及以上，且资产总额 8000 万元</w:t>
      </w:r>
      <w:r>
        <w:rPr>
          <w:rFonts w:hint="eastAsia" w:ascii="宋体" w:hAnsi="宋体" w:eastAsia="宋体" w:cs="宋体"/>
          <w:sz w:val="23"/>
          <w:szCs w:val="23"/>
        </w:rPr>
        <w:t xml:space="preserve"> </w:t>
      </w:r>
      <w:r>
        <w:rPr>
          <w:rFonts w:hint="eastAsia" w:ascii="宋体" w:hAnsi="宋体" w:eastAsia="宋体" w:cs="宋体"/>
          <w:spacing w:val="6"/>
          <w:sz w:val="23"/>
          <w:szCs w:val="23"/>
        </w:rPr>
        <w:t>及以上的</w:t>
      </w:r>
      <w:r>
        <w:rPr>
          <w:rFonts w:hint="eastAsia" w:ascii="宋体" w:hAnsi="宋体" w:eastAsia="宋体" w:cs="宋体"/>
          <w:spacing w:val="3"/>
          <w:sz w:val="23"/>
          <w:szCs w:val="23"/>
        </w:rPr>
        <w:t>为中型企业；从业人员 10 人及以上，且资产总额 100 万元及以上的为</w:t>
      </w:r>
      <w:r>
        <w:rPr>
          <w:rFonts w:hint="eastAsia" w:ascii="宋体" w:hAnsi="宋体" w:eastAsia="宋体" w:cs="宋体"/>
          <w:sz w:val="23"/>
          <w:szCs w:val="23"/>
        </w:rPr>
        <w:t xml:space="preserve"> </w:t>
      </w:r>
      <w:r>
        <w:rPr>
          <w:rFonts w:hint="eastAsia" w:ascii="宋体" w:hAnsi="宋体" w:eastAsia="宋体" w:cs="宋体"/>
          <w:spacing w:val="2"/>
          <w:sz w:val="23"/>
          <w:szCs w:val="23"/>
        </w:rPr>
        <w:t>小型企业；从业人员 10 人以下或资产总额 100 万元以下的为微</w:t>
      </w:r>
      <w:r>
        <w:rPr>
          <w:rFonts w:hint="eastAsia" w:ascii="宋体" w:hAnsi="宋体" w:eastAsia="宋体" w:cs="宋体"/>
          <w:sz w:val="23"/>
          <w:szCs w:val="23"/>
        </w:rPr>
        <w:t>型企业。</w:t>
      </w:r>
    </w:p>
    <w:p w14:paraId="015D0813">
      <w:pPr>
        <w:spacing w:before="4" w:line="392" w:lineRule="auto"/>
        <w:ind w:left="22" w:firstLine="492"/>
        <w:rPr>
          <w:rFonts w:hint="eastAsia" w:ascii="宋体" w:hAnsi="宋体" w:eastAsia="宋体" w:cs="宋体"/>
          <w:sz w:val="23"/>
          <w:szCs w:val="23"/>
        </w:rPr>
      </w:pPr>
      <w:r>
        <w:rPr>
          <w:rFonts w:hint="eastAsia" w:ascii="宋体" w:hAnsi="宋体" w:eastAsia="宋体" w:cs="宋体"/>
          <w:spacing w:val="12"/>
          <w:sz w:val="23"/>
          <w:szCs w:val="23"/>
        </w:rPr>
        <w:t>(十六)</w:t>
      </w:r>
      <w:r>
        <w:rPr>
          <w:rFonts w:hint="eastAsia" w:ascii="宋体" w:hAnsi="宋体" w:eastAsia="宋体" w:cs="宋体"/>
          <w:spacing w:val="10"/>
          <w:sz w:val="23"/>
          <w:szCs w:val="23"/>
        </w:rPr>
        <w:t xml:space="preserve"> </w:t>
      </w:r>
      <w:r>
        <w:rPr>
          <w:rFonts w:hint="eastAsia" w:ascii="宋体" w:hAnsi="宋体" w:eastAsia="宋体" w:cs="宋体"/>
          <w:spacing w:val="6"/>
          <w:sz w:val="23"/>
          <w:szCs w:val="23"/>
        </w:rPr>
        <w:t>其他未列明行业。从业人员 300 人以下的为中小微型企业。其中，</w:t>
      </w:r>
      <w:r>
        <w:rPr>
          <w:rFonts w:hint="eastAsia" w:ascii="宋体" w:hAnsi="宋体" w:eastAsia="宋体" w:cs="宋体"/>
          <w:sz w:val="23"/>
          <w:szCs w:val="23"/>
        </w:rPr>
        <w:t xml:space="preserve"> </w:t>
      </w:r>
      <w:r>
        <w:rPr>
          <w:rFonts w:hint="eastAsia" w:ascii="宋体" w:hAnsi="宋体" w:eastAsia="宋体" w:cs="宋体"/>
          <w:spacing w:val="6"/>
          <w:sz w:val="23"/>
          <w:szCs w:val="23"/>
        </w:rPr>
        <w:t>从业人员</w:t>
      </w:r>
      <w:r>
        <w:rPr>
          <w:rFonts w:hint="eastAsia" w:ascii="宋体" w:hAnsi="宋体" w:eastAsia="宋体" w:cs="宋体"/>
          <w:spacing w:val="3"/>
          <w:sz w:val="23"/>
          <w:szCs w:val="23"/>
        </w:rPr>
        <w:t xml:space="preserve"> 100 人及以上的为中型企业；从业人员 10 人及以上的为小型企业；从</w:t>
      </w:r>
      <w:r>
        <w:rPr>
          <w:rFonts w:hint="eastAsia" w:ascii="宋体" w:hAnsi="宋体" w:eastAsia="宋体" w:cs="宋体"/>
          <w:sz w:val="23"/>
          <w:szCs w:val="23"/>
        </w:rPr>
        <w:t xml:space="preserve"> </w:t>
      </w:r>
      <w:r>
        <w:rPr>
          <w:rFonts w:hint="eastAsia" w:ascii="宋体" w:hAnsi="宋体" w:eastAsia="宋体" w:cs="宋体"/>
          <w:spacing w:val="1"/>
          <w:sz w:val="23"/>
          <w:szCs w:val="23"/>
        </w:rPr>
        <w:t>业人员 10 人以下的</w:t>
      </w:r>
      <w:r>
        <w:rPr>
          <w:rFonts w:hint="eastAsia" w:ascii="宋体" w:hAnsi="宋体" w:eastAsia="宋体" w:cs="宋体"/>
          <w:sz w:val="23"/>
          <w:szCs w:val="23"/>
        </w:rPr>
        <w:t>为微型企业。</w:t>
      </w:r>
    </w:p>
    <w:p w14:paraId="7C87F74E">
      <w:pPr>
        <w:spacing w:line="237" w:lineRule="auto"/>
        <w:ind w:left="507"/>
        <w:rPr>
          <w:rFonts w:hint="eastAsia" w:ascii="宋体" w:hAnsi="宋体" w:eastAsia="宋体" w:cs="宋体"/>
          <w:sz w:val="23"/>
          <w:szCs w:val="23"/>
        </w:rPr>
      </w:pPr>
      <w:r>
        <w:rPr>
          <w:rFonts w:hint="eastAsia" w:ascii="宋体" w:hAnsi="宋体" w:eastAsia="宋体" w:cs="宋体"/>
          <w:spacing w:val="9"/>
          <w:sz w:val="23"/>
          <w:szCs w:val="23"/>
        </w:rPr>
        <w:t>五、企业类型的划分以统计部门的统计数据为依据</w:t>
      </w:r>
      <w:r>
        <w:rPr>
          <w:rFonts w:hint="eastAsia" w:ascii="宋体" w:hAnsi="宋体" w:eastAsia="宋体" w:cs="宋体"/>
          <w:spacing w:val="8"/>
          <w:sz w:val="23"/>
          <w:szCs w:val="23"/>
        </w:rPr>
        <w:t>。</w:t>
      </w:r>
    </w:p>
    <w:p w14:paraId="45CC7E34">
      <w:pPr>
        <w:rPr>
          <w:rFonts w:hint="eastAsia" w:ascii="宋体" w:hAnsi="宋体" w:eastAsia="宋体" w:cs="宋体"/>
        </w:rPr>
        <w:sectPr>
          <w:footerReference r:id="rId11" w:type="default"/>
          <w:pgSz w:w="11906" w:h="16839"/>
          <w:pgMar w:top="400" w:right="1764" w:bottom="1295" w:left="1785" w:header="0" w:footer="898" w:gutter="0"/>
          <w:pgNumType w:fmt="decimal"/>
          <w:cols w:space="720" w:num="1"/>
        </w:sectPr>
      </w:pPr>
    </w:p>
    <w:p w14:paraId="071F4001">
      <w:pPr>
        <w:spacing w:line="270" w:lineRule="auto"/>
        <w:rPr>
          <w:rFonts w:hint="eastAsia" w:ascii="宋体" w:hAnsi="宋体" w:eastAsia="宋体" w:cs="宋体"/>
          <w:sz w:val="21"/>
        </w:rPr>
      </w:pPr>
    </w:p>
    <w:p w14:paraId="38E71FCA">
      <w:pPr>
        <w:spacing w:line="270" w:lineRule="auto"/>
        <w:rPr>
          <w:rFonts w:hint="eastAsia" w:ascii="宋体" w:hAnsi="宋体" w:eastAsia="宋体" w:cs="宋体"/>
          <w:sz w:val="21"/>
        </w:rPr>
      </w:pPr>
    </w:p>
    <w:p w14:paraId="7140F8EE">
      <w:pPr>
        <w:spacing w:line="271" w:lineRule="auto"/>
        <w:rPr>
          <w:rFonts w:hint="eastAsia" w:ascii="宋体" w:hAnsi="宋体" w:eastAsia="宋体" w:cs="宋体"/>
          <w:sz w:val="21"/>
        </w:rPr>
      </w:pPr>
    </w:p>
    <w:p w14:paraId="45E3D54B">
      <w:pPr>
        <w:spacing w:line="271" w:lineRule="auto"/>
        <w:rPr>
          <w:rFonts w:hint="eastAsia" w:ascii="宋体" w:hAnsi="宋体" w:eastAsia="宋体" w:cs="宋体"/>
          <w:sz w:val="21"/>
        </w:rPr>
      </w:pPr>
    </w:p>
    <w:p w14:paraId="181E986B">
      <w:pPr>
        <w:spacing w:before="74" w:line="393" w:lineRule="auto"/>
        <w:ind w:left="26" w:right="13" w:firstLine="479"/>
        <w:rPr>
          <w:rFonts w:hint="eastAsia" w:ascii="宋体" w:hAnsi="宋体" w:eastAsia="宋体" w:cs="宋体"/>
          <w:sz w:val="23"/>
          <w:szCs w:val="23"/>
        </w:rPr>
      </w:pPr>
      <w:r>
        <w:rPr>
          <w:rFonts w:hint="eastAsia" w:ascii="宋体" w:hAnsi="宋体" w:eastAsia="宋体" w:cs="宋体"/>
          <w:spacing w:val="7"/>
          <w:sz w:val="23"/>
          <w:szCs w:val="23"/>
        </w:rPr>
        <w:t>六、本规定适用于在中华人民共和国境内依法设立的各类所有制和各种组</w:t>
      </w:r>
      <w:r>
        <w:rPr>
          <w:rFonts w:hint="eastAsia" w:ascii="宋体" w:hAnsi="宋体" w:eastAsia="宋体" w:cs="宋体"/>
          <w:spacing w:val="1"/>
          <w:sz w:val="23"/>
          <w:szCs w:val="23"/>
        </w:rPr>
        <w:t>织</w:t>
      </w:r>
      <w:r>
        <w:rPr>
          <w:rFonts w:hint="eastAsia" w:ascii="宋体" w:hAnsi="宋体" w:eastAsia="宋体" w:cs="宋体"/>
          <w:sz w:val="23"/>
          <w:szCs w:val="23"/>
        </w:rPr>
        <w:t xml:space="preserve"> </w:t>
      </w:r>
      <w:r>
        <w:rPr>
          <w:rFonts w:hint="eastAsia" w:ascii="宋体" w:hAnsi="宋体" w:eastAsia="宋体" w:cs="宋体"/>
          <w:spacing w:val="17"/>
          <w:sz w:val="23"/>
          <w:szCs w:val="23"/>
        </w:rPr>
        <w:t>形</w:t>
      </w:r>
      <w:r>
        <w:rPr>
          <w:rFonts w:hint="eastAsia" w:ascii="宋体" w:hAnsi="宋体" w:eastAsia="宋体" w:cs="宋体"/>
          <w:spacing w:val="9"/>
          <w:sz w:val="23"/>
          <w:szCs w:val="23"/>
        </w:rPr>
        <w:t>式的企业。个体工商户和本规定以外的行业，参照本规定进行划型。</w:t>
      </w:r>
    </w:p>
    <w:p w14:paraId="4331CE8D">
      <w:pPr>
        <w:spacing w:before="1" w:line="392" w:lineRule="auto"/>
        <w:ind w:left="24" w:right="13" w:firstLine="478"/>
        <w:rPr>
          <w:rFonts w:hint="eastAsia" w:ascii="宋体" w:hAnsi="宋体" w:eastAsia="宋体" w:cs="宋体"/>
          <w:sz w:val="23"/>
          <w:szCs w:val="23"/>
        </w:rPr>
      </w:pPr>
      <w:r>
        <w:rPr>
          <w:rFonts w:hint="eastAsia" w:ascii="宋体" w:hAnsi="宋体" w:eastAsia="宋体" w:cs="宋体"/>
          <w:spacing w:val="7"/>
          <w:sz w:val="23"/>
          <w:szCs w:val="23"/>
        </w:rPr>
        <w:t>七、本规定的中型企业标准上限即为大型企业标准的下限，国家统计部门</w:t>
      </w:r>
      <w:r>
        <w:rPr>
          <w:rFonts w:hint="eastAsia" w:ascii="宋体" w:hAnsi="宋体" w:eastAsia="宋体" w:cs="宋体"/>
          <w:spacing w:val="3"/>
          <w:sz w:val="23"/>
          <w:szCs w:val="23"/>
        </w:rPr>
        <w:t>据</w:t>
      </w:r>
      <w:r>
        <w:rPr>
          <w:rFonts w:hint="eastAsia" w:ascii="宋体" w:hAnsi="宋体" w:eastAsia="宋体" w:cs="宋体"/>
          <w:sz w:val="23"/>
          <w:szCs w:val="23"/>
        </w:rPr>
        <w:t xml:space="preserve"> </w:t>
      </w:r>
      <w:r>
        <w:rPr>
          <w:rFonts w:hint="eastAsia" w:ascii="宋体" w:hAnsi="宋体" w:eastAsia="宋体" w:cs="宋体"/>
          <w:spacing w:val="8"/>
          <w:sz w:val="23"/>
          <w:szCs w:val="23"/>
        </w:rPr>
        <w:t>此</w:t>
      </w:r>
      <w:r>
        <w:rPr>
          <w:rFonts w:hint="eastAsia" w:ascii="宋体" w:hAnsi="宋体" w:eastAsia="宋体" w:cs="宋体"/>
          <w:spacing w:val="7"/>
          <w:sz w:val="23"/>
          <w:szCs w:val="23"/>
        </w:rPr>
        <w:t>制定大中小微型企业的统计分类。国务院有关部门据此进行相关数据分析，不</w:t>
      </w:r>
      <w:r>
        <w:rPr>
          <w:rFonts w:hint="eastAsia" w:ascii="宋体" w:hAnsi="宋体" w:eastAsia="宋体" w:cs="宋体"/>
          <w:sz w:val="23"/>
          <w:szCs w:val="23"/>
        </w:rPr>
        <w:t xml:space="preserve"> </w:t>
      </w:r>
      <w:r>
        <w:rPr>
          <w:rFonts w:hint="eastAsia" w:ascii="宋体" w:hAnsi="宋体" w:eastAsia="宋体" w:cs="宋体"/>
          <w:spacing w:val="9"/>
          <w:sz w:val="23"/>
          <w:szCs w:val="23"/>
        </w:rPr>
        <w:t>得制定与本规定不一致的企业划型标准</w:t>
      </w:r>
      <w:r>
        <w:rPr>
          <w:rFonts w:hint="eastAsia" w:ascii="宋体" w:hAnsi="宋体" w:eastAsia="宋体" w:cs="宋体"/>
          <w:spacing w:val="6"/>
          <w:sz w:val="23"/>
          <w:szCs w:val="23"/>
        </w:rPr>
        <w:t>。</w:t>
      </w:r>
    </w:p>
    <w:p w14:paraId="7C4AE6A3">
      <w:pPr>
        <w:spacing w:before="2" w:line="392" w:lineRule="auto"/>
        <w:ind w:left="22" w:right="13" w:firstLine="484"/>
        <w:rPr>
          <w:rFonts w:hint="eastAsia" w:ascii="宋体" w:hAnsi="宋体" w:eastAsia="宋体" w:cs="宋体"/>
          <w:sz w:val="23"/>
          <w:szCs w:val="23"/>
        </w:rPr>
      </w:pPr>
      <w:r>
        <w:rPr>
          <w:rFonts w:hint="eastAsia" w:ascii="宋体" w:hAnsi="宋体" w:eastAsia="宋体" w:cs="宋体"/>
          <w:spacing w:val="12"/>
          <w:sz w:val="23"/>
          <w:szCs w:val="23"/>
        </w:rPr>
        <w:t>八、本规</w:t>
      </w:r>
      <w:r>
        <w:rPr>
          <w:rFonts w:hint="eastAsia" w:ascii="宋体" w:hAnsi="宋体" w:eastAsia="宋体" w:cs="宋体"/>
          <w:spacing w:val="7"/>
          <w:sz w:val="23"/>
          <w:szCs w:val="23"/>
        </w:rPr>
        <w:t>定</w:t>
      </w:r>
      <w:r>
        <w:rPr>
          <w:rFonts w:hint="eastAsia" w:ascii="宋体" w:hAnsi="宋体" w:eastAsia="宋体" w:cs="宋体"/>
          <w:spacing w:val="6"/>
          <w:sz w:val="23"/>
          <w:szCs w:val="23"/>
        </w:rPr>
        <w:t>由工业和信息化部、国家统计局会同有关部门根据《国民经济行</w:t>
      </w:r>
      <w:r>
        <w:rPr>
          <w:rFonts w:hint="eastAsia" w:ascii="宋体" w:hAnsi="宋体" w:eastAsia="宋体" w:cs="宋体"/>
          <w:sz w:val="23"/>
          <w:szCs w:val="23"/>
        </w:rPr>
        <w:t xml:space="preserve"> </w:t>
      </w:r>
      <w:r>
        <w:rPr>
          <w:rFonts w:hint="eastAsia" w:ascii="宋体" w:hAnsi="宋体" w:eastAsia="宋体" w:cs="宋体"/>
          <w:spacing w:val="12"/>
          <w:sz w:val="23"/>
          <w:szCs w:val="23"/>
        </w:rPr>
        <w:t>业</w:t>
      </w:r>
      <w:r>
        <w:rPr>
          <w:rFonts w:hint="eastAsia" w:ascii="宋体" w:hAnsi="宋体" w:eastAsia="宋体" w:cs="宋体"/>
          <w:spacing w:val="9"/>
          <w:sz w:val="23"/>
          <w:szCs w:val="23"/>
        </w:rPr>
        <w:t>分类》修订情况和企业发展变化情况适时修订。</w:t>
      </w:r>
    </w:p>
    <w:p w14:paraId="00C3430E">
      <w:pPr>
        <w:spacing w:line="230" w:lineRule="auto"/>
        <w:ind w:left="509"/>
        <w:rPr>
          <w:rFonts w:hint="eastAsia" w:ascii="宋体" w:hAnsi="宋体" w:eastAsia="宋体" w:cs="宋体"/>
          <w:sz w:val="23"/>
          <w:szCs w:val="23"/>
        </w:rPr>
      </w:pPr>
      <w:r>
        <w:rPr>
          <w:rFonts w:hint="eastAsia" w:ascii="宋体" w:hAnsi="宋体" w:eastAsia="宋体" w:cs="宋体"/>
          <w:spacing w:val="13"/>
          <w:sz w:val="23"/>
          <w:szCs w:val="23"/>
        </w:rPr>
        <w:t>九</w:t>
      </w:r>
      <w:r>
        <w:rPr>
          <w:rFonts w:hint="eastAsia" w:ascii="宋体" w:hAnsi="宋体" w:eastAsia="宋体" w:cs="宋体"/>
          <w:spacing w:val="9"/>
          <w:sz w:val="23"/>
          <w:szCs w:val="23"/>
        </w:rPr>
        <w:t>、本规定由工业和信息化部、国家统计局会同有关部门负责解释。</w:t>
      </w:r>
    </w:p>
    <w:p w14:paraId="33C6373D">
      <w:pPr>
        <w:spacing w:before="200" w:line="400" w:lineRule="auto"/>
        <w:ind w:left="29" w:right="13" w:firstLine="475"/>
        <w:rPr>
          <w:rFonts w:hint="eastAsia" w:ascii="宋体" w:hAnsi="宋体" w:eastAsia="宋体" w:cs="宋体"/>
          <w:sz w:val="23"/>
          <w:szCs w:val="23"/>
        </w:rPr>
      </w:pPr>
      <w:r>
        <w:rPr>
          <w:rFonts w:hint="eastAsia" w:ascii="宋体" w:hAnsi="宋体" w:eastAsia="宋体" w:cs="宋体"/>
          <w:spacing w:val="7"/>
          <w:sz w:val="23"/>
          <w:szCs w:val="23"/>
        </w:rPr>
        <w:t>十、本规定自发布之日起执行，原国家经贸委、原国家计委、财政部和国</w:t>
      </w:r>
      <w:r>
        <w:rPr>
          <w:rFonts w:hint="eastAsia" w:ascii="宋体" w:hAnsi="宋体" w:eastAsia="宋体" w:cs="宋体"/>
          <w:spacing w:val="2"/>
          <w:sz w:val="23"/>
          <w:szCs w:val="23"/>
        </w:rPr>
        <w:t>家</w:t>
      </w:r>
      <w:r>
        <w:rPr>
          <w:rFonts w:hint="eastAsia" w:ascii="宋体" w:hAnsi="宋体" w:eastAsia="宋体" w:cs="宋体"/>
          <w:spacing w:val="8"/>
          <w:sz w:val="23"/>
          <w:szCs w:val="23"/>
        </w:rPr>
        <w:t>统</w:t>
      </w:r>
      <w:r>
        <w:rPr>
          <w:rFonts w:hint="eastAsia" w:ascii="宋体" w:hAnsi="宋体" w:eastAsia="宋体" w:cs="宋体"/>
          <w:spacing w:val="4"/>
          <w:sz w:val="23"/>
          <w:szCs w:val="23"/>
        </w:rPr>
        <w:t>计局2003 年颁布的《中小企业标准暂行规定》同时废止。</w:t>
      </w:r>
    </w:p>
    <w:p w14:paraId="5FC8BDDB">
      <w:pPr>
        <w:rPr>
          <w:rFonts w:hint="eastAsia" w:ascii="宋体" w:hAnsi="宋体" w:eastAsia="宋体" w:cs="宋体"/>
        </w:rPr>
      </w:pPr>
    </w:p>
    <w:p w14:paraId="015448E7">
      <w:pPr>
        <w:rPr>
          <w:rFonts w:hint="eastAsia" w:ascii="宋体" w:hAnsi="宋体" w:eastAsia="宋体" w:cs="宋体"/>
        </w:rPr>
      </w:pPr>
    </w:p>
    <w:p w14:paraId="0185E9E0">
      <w:pPr>
        <w:rPr>
          <w:rFonts w:hint="eastAsia" w:ascii="宋体" w:hAnsi="宋体" w:eastAsia="宋体" w:cs="宋体"/>
        </w:rPr>
      </w:pPr>
    </w:p>
    <w:p w14:paraId="44959E37">
      <w:pPr>
        <w:spacing w:line="270" w:lineRule="auto"/>
        <w:rPr>
          <w:rFonts w:hint="eastAsia" w:ascii="宋体" w:hAnsi="宋体" w:eastAsia="宋体" w:cs="宋体"/>
          <w:b/>
          <w:bCs/>
          <w:sz w:val="21"/>
          <w:lang w:val="en-US" w:eastAsia="zh-CN"/>
        </w:rPr>
      </w:pPr>
      <w:r>
        <w:rPr>
          <w:rFonts w:hint="eastAsia" w:ascii="宋体" w:hAnsi="宋体" w:eastAsia="宋体" w:cs="宋体"/>
          <w:b/>
          <w:bCs/>
          <w:sz w:val="21"/>
          <w:lang w:val="en-US" w:eastAsia="zh-CN"/>
        </w:rPr>
        <w:t>附件：</w:t>
      </w:r>
    </w:p>
    <w:p w14:paraId="2B18E1BB">
      <w:pPr>
        <w:spacing w:before="74" w:line="393" w:lineRule="auto"/>
        <w:ind w:left="3187" w:right="908" w:hanging="2311"/>
        <w:rPr>
          <w:rFonts w:hint="eastAsia" w:ascii="宋体" w:hAnsi="宋体" w:eastAsia="宋体" w:cs="宋体"/>
          <w:b/>
          <w:bCs/>
          <w:sz w:val="23"/>
          <w:szCs w:val="23"/>
        </w:rPr>
      </w:pPr>
      <w:r>
        <w:rPr>
          <w:rFonts w:hint="eastAsia" w:ascii="宋体" w:hAnsi="宋体" w:eastAsia="宋体" w:cs="宋体"/>
          <w:b/>
          <w:bCs/>
          <w:spacing w:val="18"/>
          <w:sz w:val="23"/>
          <w:szCs w:val="23"/>
        </w:rPr>
        <w:t>财</w:t>
      </w:r>
      <w:r>
        <w:rPr>
          <w:rFonts w:hint="eastAsia" w:ascii="宋体" w:hAnsi="宋体" w:eastAsia="宋体" w:cs="宋体"/>
          <w:b/>
          <w:bCs/>
          <w:spacing w:val="12"/>
          <w:sz w:val="23"/>
          <w:szCs w:val="23"/>
        </w:rPr>
        <w:t>政</w:t>
      </w:r>
      <w:r>
        <w:rPr>
          <w:rFonts w:hint="eastAsia" w:ascii="宋体" w:hAnsi="宋体" w:eastAsia="宋体" w:cs="宋体"/>
          <w:b/>
          <w:bCs/>
          <w:spacing w:val="9"/>
          <w:sz w:val="23"/>
          <w:szCs w:val="23"/>
        </w:rPr>
        <w:t>部 司法部关于政府采购支持监狱企业发展有关问题的通知</w:t>
      </w:r>
      <w:r>
        <w:rPr>
          <w:rFonts w:hint="eastAsia" w:ascii="宋体" w:hAnsi="宋体" w:eastAsia="宋体" w:cs="宋体"/>
          <w:b/>
          <w:bCs/>
          <w:sz w:val="23"/>
          <w:szCs w:val="23"/>
        </w:rPr>
        <w:t xml:space="preserve"> </w:t>
      </w:r>
      <w:r>
        <w:rPr>
          <w:rFonts w:hint="eastAsia" w:ascii="宋体" w:hAnsi="宋体" w:eastAsia="宋体" w:cs="宋体"/>
          <w:b/>
          <w:bCs/>
          <w:spacing w:val="2"/>
          <w:sz w:val="23"/>
          <w:szCs w:val="23"/>
        </w:rPr>
        <w:t>财库〔2014</w:t>
      </w:r>
      <w:r>
        <w:rPr>
          <w:rFonts w:hint="eastAsia" w:ascii="宋体" w:hAnsi="宋体" w:eastAsia="宋体" w:cs="宋体"/>
          <w:b/>
          <w:bCs/>
          <w:spacing w:val="1"/>
          <w:sz w:val="23"/>
          <w:szCs w:val="23"/>
        </w:rPr>
        <w:t>〕68 号</w:t>
      </w:r>
    </w:p>
    <w:p w14:paraId="60320759">
      <w:pPr>
        <w:spacing w:before="3" w:line="392" w:lineRule="auto"/>
        <w:ind w:left="24" w:right="53"/>
        <w:rPr>
          <w:rFonts w:hint="eastAsia" w:ascii="宋体" w:hAnsi="宋体" w:eastAsia="宋体" w:cs="宋体"/>
          <w:sz w:val="23"/>
          <w:szCs w:val="23"/>
        </w:rPr>
      </w:pPr>
      <w:r>
        <w:rPr>
          <w:rFonts w:hint="eastAsia" w:ascii="宋体" w:hAnsi="宋体" w:eastAsia="宋体" w:cs="宋体"/>
          <w:spacing w:val="8"/>
          <w:sz w:val="23"/>
          <w:szCs w:val="23"/>
        </w:rPr>
        <w:t>党</w:t>
      </w:r>
      <w:r>
        <w:rPr>
          <w:rFonts w:hint="eastAsia" w:ascii="宋体" w:hAnsi="宋体" w:eastAsia="宋体" w:cs="宋体"/>
          <w:spacing w:val="7"/>
          <w:sz w:val="23"/>
          <w:szCs w:val="23"/>
        </w:rPr>
        <w:t>中央有关部门，国务院各部委、各直属机构，全国人大常委会办公厅，全国政</w:t>
      </w:r>
      <w:r>
        <w:rPr>
          <w:rFonts w:hint="eastAsia" w:ascii="宋体" w:hAnsi="宋体" w:eastAsia="宋体" w:cs="宋体"/>
          <w:sz w:val="23"/>
          <w:szCs w:val="23"/>
        </w:rPr>
        <w:t xml:space="preserve"> </w:t>
      </w:r>
      <w:r>
        <w:rPr>
          <w:rFonts w:hint="eastAsia" w:ascii="宋体" w:hAnsi="宋体" w:eastAsia="宋体" w:cs="宋体"/>
          <w:spacing w:val="8"/>
          <w:sz w:val="23"/>
          <w:szCs w:val="23"/>
        </w:rPr>
        <w:t>协</w:t>
      </w:r>
      <w:r>
        <w:rPr>
          <w:rFonts w:hint="eastAsia" w:ascii="宋体" w:hAnsi="宋体" w:eastAsia="宋体" w:cs="宋体"/>
          <w:spacing w:val="7"/>
          <w:sz w:val="23"/>
          <w:szCs w:val="23"/>
        </w:rPr>
        <w:t>办公厅，高法院，高检院，有关人民团体，中央国家机关政府采购中心，中共</w:t>
      </w:r>
      <w:r>
        <w:rPr>
          <w:rFonts w:hint="eastAsia" w:ascii="宋体" w:hAnsi="宋体" w:eastAsia="宋体" w:cs="宋体"/>
          <w:sz w:val="23"/>
          <w:szCs w:val="23"/>
        </w:rPr>
        <w:t xml:space="preserve"> </w:t>
      </w:r>
      <w:r>
        <w:rPr>
          <w:rFonts w:hint="eastAsia" w:ascii="宋体" w:hAnsi="宋体" w:eastAsia="宋体" w:cs="宋体"/>
          <w:spacing w:val="8"/>
          <w:sz w:val="23"/>
          <w:szCs w:val="23"/>
        </w:rPr>
        <w:t>中</w:t>
      </w:r>
      <w:r>
        <w:rPr>
          <w:rFonts w:hint="eastAsia" w:ascii="宋体" w:hAnsi="宋体" w:eastAsia="宋体" w:cs="宋体"/>
          <w:spacing w:val="7"/>
          <w:sz w:val="23"/>
          <w:szCs w:val="23"/>
        </w:rPr>
        <w:t>央直属机关采购中心，全国人大机关采购中心，各省、自治区、直辖市、计划</w:t>
      </w:r>
      <w:r>
        <w:rPr>
          <w:rFonts w:hint="eastAsia" w:ascii="宋体" w:hAnsi="宋体" w:eastAsia="宋体" w:cs="宋体"/>
          <w:sz w:val="23"/>
          <w:szCs w:val="23"/>
        </w:rPr>
        <w:t xml:space="preserve"> </w:t>
      </w:r>
      <w:r>
        <w:rPr>
          <w:rFonts w:hint="eastAsia" w:ascii="宋体" w:hAnsi="宋体" w:eastAsia="宋体" w:cs="宋体"/>
          <w:spacing w:val="12"/>
          <w:sz w:val="23"/>
          <w:szCs w:val="23"/>
        </w:rPr>
        <w:t>单列</w:t>
      </w:r>
      <w:r>
        <w:rPr>
          <w:rFonts w:hint="eastAsia" w:ascii="宋体" w:hAnsi="宋体" w:eastAsia="宋体" w:cs="宋体"/>
          <w:spacing w:val="6"/>
          <w:sz w:val="23"/>
          <w:szCs w:val="23"/>
        </w:rPr>
        <w:t>市财政厅 (局) 、司法厅 (局) ，新疆生产建设兵团财务局、司法局、监狱</w:t>
      </w:r>
      <w:r>
        <w:rPr>
          <w:rFonts w:hint="eastAsia" w:ascii="宋体" w:hAnsi="宋体" w:eastAsia="宋体" w:cs="宋体"/>
          <w:sz w:val="23"/>
          <w:szCs w:val="23"/>
        </w:rPr>
        <w:t xml:space="preserve"> </w:t>
      </w:r>
      <w:r>
        <w:rPr>
          <w:rFonts w:hint="eastAsia" w:ascii="宋体" w:hAnsi="宋体" w:eastAsia="宋体" w:cs="宋体"/>
          <w:spacing w:val="5"/>
          <w:sz w:val="23"/>
          <w:szCs w:val="23"/>
        </w:rPr>
        <w:t>管理局</w:t>
      </w:r>
      <w:r>
        <w:rPr>
          <w:rFonts w:hint="eastAsia" w:ascii="宋体" w:hAnsi="宋体" w:eastAsia="宋体" w:cs="宋体"/>
          <w:spacing w:val="4"/>
          <w:sz w:val="23"/>
          <w:szCs w:val="23"/>
        </w:rPr>
        <w:t>：</w:t>
      </w:r>
    </w:p>
    <w:p w14:paraId="282EB4E5">
      <w:pPr>
        <w:spacing w:line="226" w:lineRule="auto"/>
        <w:ind w:left="502"/>
        <w:rPr>
          <w:rFonts w:hint="eastAsia" w:ascii="宋体" w:hAnsi="宋体" w:eastAsia="宋体" w:cs="宋体"/>
          <w:sz w:val="23"/>
          <w:szCs w:val="23"/>
        </w:rPr>
      </w:pPr>
      <w:r>
        <w:rPr>
          <w:rFonts w:hint="eastAsia" w:ascii="宋体" w:hAnsi="宋体" w:eastAsia="宋体" w:cs="宋体"/>
          <w:spacing w:val="12"/>
          <w:sz w:val="23"/>
          <w:szCs w:val="23"/>
        </w:rPr>
        <w:t>政府</w:t>
      </w:r>
      <w:r>
        <w:rPr>
          <w:rFonts w:hint="eastAsia" w:ascii="宋体" w:hAnsi="宋体" w:eastAsia="宋体" w:cs="宋体"/>
          <w:spacing w:val="11"/>
          <w:sz w:val="23"/>
          <w:szCs w:val="23"/>
        </w:rPr>
        <w:t>采</w:t>
      </w:r>
      <w:r>
        <w:rPr>
          <w:rFonts w:hint="eastAsia" w:ascii="宋体" w:hAnsi="宋体" w:eastAsia="宋体" w:cs="宋体"/>
          <w:spacing w:val="6"/>
          <w:sz w:val="23"/>
          <w:szCs w:val="23"/>
        </w:rPr>
        <w:t>购支持监狱和戒毒企业 (以下简称监狱企业) 发展对稳定监狱企业生</w:t>
      </w:r>
    </w:p>
    <w:p w14:paraId="207E8730">
      <w:pPr>
        <w:spacing w:before="202" w:line="393" w:lineRule="auto"/>
        <w:ind w:left="22" w:right="53"/>
        <w:rPr>
          <w:rFonts w:hint="eastAsia" w:ascii="宋体" w:hAnsi="宋体" w:eastAsia="宋体" w:cs="宋体"/>
          <w:sz w:val="23"/>
          <w:szCs w:val="23"/>
        </w:rPr>
      </w:pPr>
      <w:r>
        <w:rPr>
          <w:rFonts w:hint="eastAsia" w:ascii="宋体" w:hAnsi="宋体" w:eastAsia="宋体" w:cs="宋体"/>
          <w:spacing w:val="9"/>
          <w:sz w:val="23"/>
          <w:szCs w:val="23"/>
        </w:rPr>
        <w:t>产</w:t>
      </w:r>
      <w:r>
        <w:rPr>
          <w:rFonts w:hint="eastAsia" w:ascii="宋体" w:hAnsi="宋体" w:eastAsia="宋体" w:cs="宋体"/>
          <w:spacing w:val="7"/>
          <w:sz w:val="23"/>
          <w:szCs w:val="23"/>
        </w:rPr>
        <w:t>，提高财政资金使用效益，为罪犯和戒毒人员提供长期可靠的劳动岗位，提高</w:t>
      </w:r>
      <w:r>
        <w:rPr>
          <w:rFonts w:hint="eastAsia" w:ascii="宋体" w:hAnsi="宋体" w:eastAsia="宋体" w:cs="宋体"/>
          <w:sz w:val="23"/>
          <w:szCs w:val="23"/>
        </w:rPr>
        <w:t xml:space="preserve"> </w:t>
      </w:r>
      <w:r>
        <w:rPr>
          <w:rFonts w:hint="eastAsia" w:ascii="宋体" w:hAnsi="宋体" w:eastAsia="宋体" w:cs="宋体"/>
          <w:spacing w:val="9"/>
          <w:sz w:val="23"/>
          <w:szCs w:val="23"/>
        </w:rPr>
        <w:t>罪</w:t>
      </w:r>
      <w:r>
        <w:rPr>
          <w:rFonts w:hint="eastAsia" w:ascii="宋体" w:hAnsi="宋体" w:eastAsia="宋体" w:cs="宋体"/>
          <w:spacing w:val="7"/>
          <w:sz w:val="23"/>
          <w:szCs w:val="23"/>
        </w:rPr>
        <w:t>犯和戒毒人员的教育改造质量，减少重新违法犯罪，确保监狱、戒毒场所安全</w:t>
      </w:r>
      <w:r>
        <w:rPr>
          <w:rFonts w:hint="eastAsia" w:ascii="宋体" w:hAnsi="宋体" w:eastAsia="宋体" w:cs="宋体"/>
          <w:sz w:val="23"/>
          <w:szCs w:val="23"/>
        </w:rPr>
        <w:t xml:space="preserve"> </w:t>
      </w:r>
      <w:r>
        <w:rPr>
          <w:rFonts w:hint="eastAsia" w:ascii="宋体" w:hAnsi="宋体" w:eastAsia="宋体" w:cs="宋体"/>
          <w:spacing w:val="9"/>
          <w:sz w:val="23"/>
          <w:szCs w:val="23"/>
        </w:rPr>
        <w:t>稳</w:t>
      </w:r>
      <w:r>
        <w:rPr>
          <w:rFonts w:hint="eastAsia" w:ascii="宋体" w:hAnsi="宋体" w:eastAsia="宋体" w:cs="宋体"/>
          <w:spacing w:val="7"/>
          <w:sz w:val="23"/>
          <w:szCs w:val="23"/>
        </w:rPr>
        <w:t>定，促进社会和谐稳定具有十分重要的意义。为进一步贯彻落实国务院《关于</w:t>
      </w:r>
      <w:r>
        <w:rPr>
          <w:rFonts w:hint="eastAsia" w:ascii="宋体" w:hAnsi="宋体" w:eastAsia="宋体" w:cs="宋体"/>
          <w:sz w:val="23"/>
          <w:szCs w:val="23"/>
        </w:rPr>
        <w:t xml:space="preserve"> </w:t>
      </w:r>
      <w:r>
        <w:rPr>
          <w:rFonts w:hint="eastAsia" w:ascii="宋体" w:hAnsi="宋体" w:eastAsia="宋体" w:cs="宋体"/>
          <w:spacing w:val="6"/>
          <w:sz w:val="23"/>
          <w:szCs w:val="23"/>
        </w:rPr>
        <w:t>解决</w:t>
      </w:r>
      <w:r>
        <w:rPr>
          <w:rFonts w:hint="eastAsia" w:ascii="宋体" w:hAnsi="宋体" w:eastAsia="宋体" w:cs="宋体"/>
          <w:spacing w:val="3"/>
          <w:sz w:val="23"/>
          <w:szCs w:val="23"/>
        </w:rPr>
        <w:t>监狱企业困难的实施方案的通知》  (国发[2003]7 号) 文件精神，发挥政府</w:t>
      </w:r>
      <w:r>
        <w:rPr>
          <w:rFonts w:hint="eastAsia" w:ascii="宋体" w:hAnsi="宋体" w:eastAsia="宋体" w:cs="宋体"/>
          <w:sz w:val="23"/>
          <w:szCs w:val="23"/>
        </w:rPr>
        <w:t xml:space="preserve"> </w:t>
      </w:r>
      <w:r>
        <w:rPr>
          <w:rFonts w:hint="eastAsia" w:ascii="宋体" w:hAnsi="宋体" w:eastAsia="宋体" w:cs="宋体"/>
          <w:spacing w:val="15"/>
          <w:sz w:val="23"/>
          <w:szCs w:val="23"/>
        </w:rPr>
        <w:t>采</w:t>
      </w:r>
      <w:r>
        <w:rPr>
          <w:rFonts w:hint="eastAsia" w:ascii="宋体" w:hAnsi="宋体" w:eastAsia="宋体" w:cs="宋体"/>
          <w:spacing w:val="9"/>
          <w:sz w:val="23"/>
          <w:szCs w:val="23"/>
        </w:rPr>
        <w:t>购支持监狱企业发展的作用，现就有关事项通知如下：</w:t>
      </w:r>
    </w:p>
    <w:p w14:paraId="27DD70EE">
      <w:pPr>
        <w:spacing w:line="394" w:lineRule="exact"/>
        <w:rPr>
          <w:rFonts w:hint="eastAsia" w:ascii="宋体" w:hAnsi="宋体" w:eastAsia="宋体" w:cs="宋体"/>
          <w:sz w:val="23"/>
          <w:szCs w:val="23"/>
        </w:rPr>
      </w:pPr>
      <w:r>
        <w:rPr>
          <w:rFonts w:hint="eastAsia" w:ascii="宋体" w:hAnsi="宋体" w:eastAsia="宋体" w:cs="宋体"/>
          <w:spacing w:val="12"/>
          <w:position w:val="2"/>
          <w:sz w:val="23"/>
          <w:szCs w:val="23"/>
        </w:rPr>
        <w:t>一、监狱</w:t>
      </w:r>
      <w:r>
        <w:rPr>
          <w:rFonts w:hint="eastAsia" w:ascii="宋体" w:hAnsi="宋体" w:eastAsia="宋体" w:cs="宋体"/>
          <w:spacing w:val="7"/>
          <w:position w:val="2"/>
          <w:sz w:val="23"/>
          <w:szCs w:val="23"/>
        </w:rPr>
        <w:t>企</w:t>
      </w:r>
      <w:r>
        <w:rPr>
          <w:rFonts w:hint="eastAsia" w:ascii="宋体" w:hAnsi="宋体" w:eastAsia="宋体" w:cs="宋体"/>
          <w:spacing w:val="6"/>
          <w:position w:val="2"/>
          <w:sz w:val="23"/>
          <w:szCs w:val="23"/>
        </w:rPr>
        <w:t>业是指由司法部认定的为罪犯、戒毒人员提供生产项目和劳动对</w:t>
      </w:r>
    </w:p>
    <w:p w14:paraId="63F421B4">
      <w:pPr>
        <w:spacing w:before="94" w:line="393" w:lineRule="auto"/>
        <w:ind w:left="24" w:firstLine="7"/>
        <w:rPr>
          <w:rFonts w:hint="eastAsia" w:ascii="宋体" w:hAnsi="宋体" w:eastAsia="宋体" w:cs="宋体"/>
          <w:sz w:val="23"/>
          <w:szCs w:val="23"/>
        </w:rPr>
      </w:pPr>
      <w:r>
        <w:rPr>
          <w:rFonts w:hint="eastAsia" w:ascii="宋体" w:hAnsi="宋体" w:eastAsia="宋体" w:cs="宋体"/>
          <w:spacing w:val="16"/>
          <w:sz w:val="23"/>
          <w:szCs w:val="23"/>
        </w:rPr>
        <w:t>象</w:t>
      </w:r>
      <w:r>
        <w:rPr>
          <w:rFonts w:hint="eastAsia" w:ascii="宋体" w:hAnsi="宋体" w:eastAsia="宋体" w:cs="宋体"/>
          <w:spacing w:val="12"/>
          <w:sz w:val="23"/>
          <w:szCs w:val="23"/>
        </w:rPr>
        <w:t>，</w:t>
      </w:r>
      <w:r>
        <w:rPr>
          <w:rFonts w:hint="eastAsia" w:ascii="宋体" w:hAnsi="宋体" w:eastAsia="宋体" w:cs="宋体"/>
          <w:spacing w:val="8"/>
          <w:sz w:val="23"/>
          <w:szCs w:val="23"/>
        </w:rPr>
        <w:t>且全部产权属于司法部监狱管理局、戒毒管理局、直属煤矿管理局，各省、</w:t>
      </w:r>
      <w:r>
        <w:rPr>
          <w:rFonts w:hint="eastAsia" w:ascii="宋体" w:hAnsi="宋体" w:eastAsia="宋体" w:cs="宋体"/>
          <w:sz w:val="23"/>
          <w:szCs w:val="23"/>
        </w:rPr>
        <w:t xml:space="preserve"> </w:t>
      </w:r>
      <w:r>
        <w:rPr>
          <w:rFonts w:hint="eastAsia" w:ascii="宋体" w:hAnsi="宋体" w:eastAsia="宋体" w:cs="宋体"/>
          <w:spacing w:val="12"/>
          <w:sz w:val="23"/>
          <w:szCs w:val="23"/>
        </w:rPr>
        <w:t>自治区、</w:t>
      </w:r>
      <w:r>
        <w:rPr>
          <w:rFonts w:hint="eastAsia" w:ascii="宋体" w:hAnsi="宋体" w:eastAsia="宋体" w:cs="宋体"/>
          <w:spacing w:val="6"/>
          <w:sz w:val="23"/>
          <w:szCs w:val="23"/>
        </w:rPr>
        <w:t>直辖市监狱管理局、戒毒管理局，各地 (设区的市) 监狱、强制隔离戒</w:t>
      </w:r>
      <w:r>
        <w:rPr>
          <w:rFonts w:hint="eastAsia" w:ascii="宋体" w:hAnsi="宋体" w:eastAsia="宋体" w:cs="宋体"/>
          <w:sz w:val="23"/>
          <w:szCs w:val="23"/>
        </w:rPr>
        <w:t xml:space="preserve"> </w:t>
      </w:r>
      <w:r>
        <w:rPr>
          <w:rFonts w:hint="eastAsia" w:ascii="宋体" w:hAnsi="宋体" w:eastAsia="宋体" w:cs="宋体"/>
          <w:spacing w:val="8"/>
          <w:sz w:val="23"/>
          <w:szCs w:val="23"/>
        </w:rPr>
        <w:t>毒</w:t>
      </w:r>
      <w:r>
        <w:rPr>
          <w:rFonts w:hint="eastAsia" w:ascii="宋体" w:hAnsi="宋体" w:eastAsia="宋体" w:cs="宋体"/>
          <w:spacing w:val="7"/>
          <w:sz w:val="23"/>
          <w:szCs w:val="23"/>
        </w:rPr>
        <w:t>所、戒毒康复所，以及新疆生产建设兵团监狱管理局、戒毒管理局的企业。监</w:t>
      </w:r>
      <w:r>
        <w:rPr>
          <w:rFonts w:hint="eastAsia" w:ascii="宋体" w:hAnsi="宋体" w:eastAsia="宋体" w:cs="宋体"/>
          <w:sz w:val="23"/>
          <w:szCs w:val="23"/>
        </w:rPr>
        <w:t xml:space="preserve"> </w:t>
      </w:r>
      <w:r>
        <w:rPr>
          <w:rFonts w:hint="eastAsia" w:ascii="宋体" w:hAnsi="宋体" w:eastAsia="宋体" w:cs="宋体"/>
          <w:spacing w:val="7"/>
          <w:sz w:val="23"/>
          <w:szCs w:val="23"/>
        </w:rPr>
        <w:t>狱企业参加政府采购活动时，应当提供由省级以上监狱管理局、戒毒管理局 (</w:t>
      </w:r>
      <w:r>
        <w:rPr>
          <w:rFonts w:hint="eastAsia" w:ascii="宋体" w:hAnsi="宋体" w:eastAsia="宋体" w:cs="宋体"/>
          <w:spacing w:val="1"/>
          <w:sz w:val="23"/>
          <w:szCs w:val="23"/>
        </w:rPr>
        <w:t>含</w:t>
      </w:r>
      <w:r>
        <w:rPr>
          <w:rFonts w:hint="eastAsia" w:ascii="宋体" w:hAnsi="宋体" w:eastAsia="宋体" w:cs="宋体"/>
          <w:sz w:val="23"/>
          <w:szCs w:val="23"/>
        </w:rPr>
        <w:t xml:space="preserve"> </w:t>
      </w:r>
      <w:r>
        <w:rPr>
          <w:rFonts w:hint="eastAsia" w:ascii="宋体" w:hAnsi="宋体" w:eastAsia="宋体" w:cs="宋体"/>
          <w:spacing w:val="16"/>
          <w:sz w:val="23"/>
          <w:szCs w:val="23"/>
        </w:rPr>
        <w:t>新疆</w:t>
      </w:r>
      <w:r>
        <w:rPr>
          <w:rFonts w:hint="eastAsia" w:ascii="宋体" w:hAnsi="宋体" w:eastAsia="宋体" w:cs="宋体"/>
          <w:spacing w:val="11"/>
          <w:sz w:val="23"/>
          <w:szCs w:val="23"/>
        </w:rPr>
        <w:t>生</w:t>
      </w:r>
      <w:r>
        <w:rPr>
          <w:rFonts w:hint="eastAsia" w:ascii="宋体" w:hAnsi="宋体" w:eastAsia="宋体" w:cs="宋体"/>
          <w:spacing w:val="8"/>
          <w:sz w:val="23"/>
          <w:szCs w:val="23"/>
        </w:rPr>
        <w:t>产建设兵团) 出具的属于监狱企业的证明文件。</w:t>
      </w:r>
    </w:p>
    <w:p w14:paraId="1D49D990">
      <w:pPr>
        <w:spacing w:before="1" w:line="392" w:lineRule="auto"/>
        <w:ind w:left="25" w:right="53" w:firstLine="481"/>
        <w:rPr>
          <w:rFonts w:hint="eastAsia" w:ascii="宋体" w:hAnsi="宋体" w:eastAsia="宋体" w:cs="宋体"/>
          <w:sz w:val="23"/>
          <w:szCs w:val="23"/>
        </w:rPr>
      </w:pPr>
      <w:r>
        <w:rPr>
          <w:rFonts w:hint="eastAsia" w:ascii="宋体" w:hAnsi="宋体" w:eastAsia="宋体" w:cs="宋体"/>
          <w:spacing w:val="12"/>
          <w:sz w:val="23"/>
          <w:szCs w:val="23"/>
        </w:rPr>
        <w:t>二、在政</w:t>
      </w:r>
      <w:r>
        <w:rPr>
          <w:rFonts w:hint="eastAsia" w:ascii="宋体" w:hAnsi="宋体" w:eastAsia="宋体" w:cs="宋体"/>
          <w:spacing w:val="7"/>
          <w:sz w:val="23"/>
          <w:szCs w:val="23"/>
        </w:rPr>
        <w:t>府</w:t>
      </w:r>
      <w:r>
        <w:rPr>
          <w:rFonts w:hint="eastAsia" w:ascii="宋体" w:hAnsi="宋体" w:eastAsia="宋体" w:cs="宋体"/>
          <w:spacing w:val="6"/>
          <w:sz w:val="23"/>
          <w:szCs w:val="23"/>
        </w:rPr>
        <w:t>采购活动中，监狱企业视同小型、微型企业，享受预留份额、评</w:t>
      </w:r>
      <w:r>
        <w:rPr>
          <w:rFonts w:hint="eastAsia" w:ascii="宋体" w:hAnsi="宋体" w:eastAsia="宋体" w:cs="宋体"/>
          <w:sz w:val="23"/>
          <w:szCs w:val="23"/>
        </w:rPr>
        <w:t xml:space="preserve"> </w:t>
      </w:r>
      <w:r>
        <w:rPr>
          <w:rFonts w:hint="eastAsia" w:ascii="宋体" w:hAnsi="宋体" w:eastAsia="宋体" w:cs="宋体"/>
          <w:spacing w:val="7"/>
          <w:sz w:val="23"/>
          <w:szCs w:val="23"/>
        </w:rPr>
        <w:t>审中价格扣除等政府采购促进中小企业发展的政府采购政策。向监狱企业采购的</w:t>
      </w:r>
      <w:r>
        <w:rPr>
          <w:rFonts w:hint="eastAsia" w:ascii="宋体" w:hAnsi="宋体" w:eastAsia="宋体" w:cs="宋体"/>
          <w:sz w:val="23"/>
          <w:szCs w:val="23"/>
        </w:rPr>
        <w:t xml:space="preserve"> </w:t>
      </w:r>
      <w:r>
        <w:rPr>
          <w:rFonts w:hint="eastAsia" w:ascii="宋体" w:hAnsi="宋体" w:eastAsia="宋体" w:cs="宋体"/>
          <w:spacing w:val="9"/>
          <w:sz w:val="23"/>
          <w:szCs w:val="23"/>
        </w:rPr>
        <w:t>金额，计入面向中小企业采购的统计数据</w:t>
      </w:r>
      <w:r>
        <w:rPr>
          <w:rFonts w:hint="eastAsia" w:ascii="宋体" w:hAnsi="宋体" w:eastAsia="宋体" w:cs="宋体"/>
          <w:spacing w:val="6"/>
          <w:sz w:val="23"/>
          <w:szCs w:val="23"/>
        </w:rPr>
        <w:t>。</w:t>
      </w:r>
    </w:p>
    <w:p w14:paraId="64E2A4B3">
      <w:pPr>
        <w:spacing w:before="7" w:line="394" w:lineRule="auto"/>
        <w:ind w:left="24" w:right="53" w:firstLine="479"/>
        <w:rPr>
          <w:rFonts w:hint="eastAsia" w:ascii="宋体" w:hAnsi="宋体" w:eastAsia="宋体" w:cs="宋体"/>
          <w:sz w:val="23"/>
          <w:szCs w:val="23"/>
        </w:rPr>
      </w:pPr>
      <w:r>
        <w:rPr>
          <w:rFonts w:hint="eastAsia" w:ascii="宋体" w:hAnsi="宋体" w:eastAsia="宋体" w:cs="宋体"/>
          <w:spacing w:val="7"/>
          <w:sz w:val="23"/>
          <w:szCs w:val="23"/>
        </w:rPr>
        <w:t>三、各地区、各部门要积极通过预留采购份额支持监狱企业。有制服采购</w:t>
      </w:r>
      <w:r>
        <w:rPr>
          <w:rFonts w:hint="eastAsia" w:ascii="宋体" w:hAnsi="宋体" w:eastAsia="宋体" w:cs="宋体"/>
          <w:spacing w:val="3"/>
          <w:sz w:val="23"/>
          <w:szCs w:val="23"/>
        </w:rPr>
        <w:t>项</w:t>
      </w:r>
      <w:r>
        <w:rPr>
          <w:rFonts w:hint="eastAsia" w:ascii="宋体" w:hAnsi="宋体" w:eastAsia="宋体" w:cs="宋体"/>
          <w:sz w:val="23"/>
          <w:szCs w:val="23"/>
        </w:rPr>
        <w:t xml:space="preserve"> </w:t>
      </w:r>
      <w:r>
        <w:rPr>
          <w:rFonts w:hint="eastAsia" w:ascii="宋体" w:hAnsi="宋体" w:eastAsia="宋体" w:cs="宋体"/>
          <w:spacing w:val="8"/>
          <w:sz w:val="23"/>
          <w:szCs w:val="23"/>
        </w:rPr>
        <w:t>目</w:t>
      </w:r>
      <w:r>
        <w:rPr>
          <w:rFonts w:hint="eastAsia" w:ascii="宋体" w:hAnsi="宋体" w:eastAsia="宋体" w:cs="宋体"/>
          <w:spacing w:val="7"/>
          <w:sz w:val="23"/>
          <w:szCs w:val="23"/>
        </w:rPr>
        <w:t>的部门，应加强对政府采购预算和计划编制工作的统筹，预留本部门制服采购</w:t>
      </w:r>
      <w:r>
        <w:rPr>
          <w:rFonts w:hint="eastAsia" w:ascii="宋体" w:hAnsi="宋体" w:eastAsia="宋体" w:cs="宋体"/>
          <w:sz w:val="23"/>
          <w:szCs w:val="23"/>
        </w:rPr>
        <w:t xml:space="preserve"> </w:t>
      </w:r>
      <w:r>
        <w:rPr>
          <w:rFonts w:hint="eastAsia" w:ascii="宋体" w:hAnsi="宋体" w:eastAsia="宋体" w:cs="宋体"/>
          <w:spacing w:val="12"/>
          <w:sz w:val="23"/>
          <w:szCs w:val="23"/>
        </w:rPr>
        <w:t>项目预算</w:t>
      </w:r>
      <w:r>
        <w:rPr>
          <w:rFonts w:hint="eastAsia" w:ascii="宋体" w:hAnsi="宋体" w:eastAsia="宋体" w:cs="宋体"/>
          <w:spacing w:val="6"/>
          <w:sz w:val="23"/>
          <w:szCs w:val="23"/>
        </w:rPr>
        <w:t>总额的 30%以上，专门面向监狱企业采购。省级以上政府部门组织的公</w:t>
      </w:r>
      <w:r>
        <w:rPr>
          <w:rFonts w:hint="eastAsia" w:ascii="宋体" w:hAnsi="宋体" w:eastAsia="宋体" w:cs="宋体"/>
          <w:sz w:val="23"/>
          <w:szCs w:val="23"/>
        </w:rPr>
        <w:t xml:space="preserve"> </w:t>
      </w:r>
      <w:r>
        <w:rPr>
          <w:rFonts w:hint="eastAsia" w:ascii="宋体" w:hAnsi="宋体" w:eastAsia="宋体" w:cs="宋体"/>
          <w:spacing w:val="8"/>
          <w:sz w:val="23"/>
          <w:szCs w:val="23"/>
        </w:rPr>
        <w:t>务</w:t>
      </w:r>
      <w:r>
        <w:rPr>
          <w:rFonts w:hint="eastAsia" w:ascii="宋体" w:hAnsi="宋体" w:eastAsia="宋体" w:cs="宋体"/>
          <w:spacing w:val="7"/>
          <w:sz w:val="23"/>
          <w:szCs w:val="23"/>
        </w:rPr>
        <w:t>员考试、招生考试、等级考试、资格考试的试卷印刷项目原则上应当在符合有</w:t>
      </w:r>
      <w:r>
        <w:rPr>
          <w:rFonts w:hint="eastAsia" w:ascii="宋体" w:hAnsi="宋体" w:eastAsia="宋体" w:cs="宋体"/>
          <w:sz w:val="23"/>
          <w:szCs w:val="23"/>
        </w:rPr>
        <w:t xml:space="preserve"> </w:t>
      </w:r>
      <w:r>
        <w:rPr>
          <w:rFonts w:hint="eastAsia" w:ascii="宋体" w:hAnsi="宋体" w:eastAsia="宋体" w:cs="宋体"/>
          <w:spacing w:val="8"/>
          <w:sz w:val="23"/>
          <w:szCs w:val="23"/>
        </w:rPr>
        <w:t>关</w:t>
      </w:r>
      <w:r>
        <w:rPr>
          <w:rFonts w:hint="eastAsia" w:ascii="宋体" w:hAnsi="宋体" w:eastAsia="宋体" w:cs="宋体"/>
          <w:spacing w:val="7"/>
          <w:sz w:val="23"/>
          <w:szCs w:val="23"/>
        </w:rPr>
        <w:t>资质的监狱企业范围内采购。各地在免费教科书政府采购工作中，应当根据符</w:t>
      </w:r>
      <w:r>
        <w:rPr>
          <w:rFonts w:hint="eastAsia" w:ascii="宋体" w:hAnsi="宋体" w:eastAsia="宋体" w:cs="宋体"/>
          <w:sz w:val="23"/>
          <w:szCs w:val="23"/>
        </w:rPr>
        <w:t xml:space="preserve"> </w:t>
      </w:r>
      <w:r>
        <w:rPr>
          <w:rFonts w:hint="eastAsia" w:ascii="宋体" w:hAnsi="宋体" w:eastAsia="宋体" w:cs="宋体"/>
          <w:spacing w:val="18"/>
          <w:sz w:val="23"/>
          <w:szCs w:val="23"/>
        </w:rPr>
        <w:t>合</w:t>
      </w:r>
      <w:r>
        <w:rPr>
          <w:rFonts w:hint="eastAsia" w:ascii="宋体" w:hAnsi="宋体" w:eastAsia="宋体" w:cs="宋体"/>
          <w:spacing w:val="10"/>
          <w:sz w:val="23"/>
          <w:szCs w:val="23"/>
        </w:rPr>
        <w:t>教</w:t>
      </w:r>
      <w:r>
        <w:rPr>
          <w:rFonts w:hint="eastAsia" w:ascii="宋体" w:hAnsi="宋体" w:eastAsia="宋体" w:cs="宋体"/>
          <w:spacing w:val="9"/>
          <w:sz w:val="23"/>
          <w:szCs w:val="23"/>
        </w:rPr>
        <w:t>科书印制资质的监狱企业情况，提出由监狱企业印刷的比例要求。</w:t>
      </w:r>
    </w:p>
    <w:p w14:paraId="27122BFA">
      <w:pPr>
        <w:spacing w:before="74" w:line="393" w:lineRule="auto"/>
        <w:ind w:left="23" w:firstLine="502"/>
        <w:rPr>
          <w:rFonts w:hint="eastAsia" w:ascii="宋体" w:hAnsi="宋体" w:eastAsia="宋体" w:cs="宋体"/>
          <w:sz w:val="23"/>
          <w:szCs w:val="23"/>
        </w:rPr>
      </w:pPr>
      <w:r>
        <w:rPr>
          <w:rFonts w:hint="eastAsia" w:ascii="宋体" w:hAnsi="宋体" w:eastAsia="宋体" w:cs="宋体"/>
          <w:spacing w:val="8"/>
          <w:sz w:val="23"/>
          <w:szCs w:val="23"/>
        </w:rPr>
        <w:t>四、各地区可以结合本地区实际，对监狱企业生产的办公用品、家具用具</w:t>
      </w:r>
      <w:r>
        <w:rPr>
          <w:rFonts w:hint="eastAsia" w:ascii="宋体" w:hAnsi="宋体" w:eastAsia="宋体" w:cs="宋体"/>
          <w:spacing w:val="2"/>
          <w:sz w:val="23"/>
          <w:szCs w:val="23"/>
        </w:rPr>
        <w:t>、</w:t>
      </w:r>
      <w:r>
        <w:rPr>
          <w:rFonts w:hint="eastAsia" w:ascii="宋体" w:hAnsi="宋体" w:eastAsia="宋体" w:cs="宋体"/>
          <w:sz w:val="23"/>
          <w:szCs w:val="23"/>
        </w:rPr>
        <w:t xml:space="preserve"> </w:t>
      </w:r>
      <w:r>
        <w:rPr>
          <w:rFonts w:hint="eastAsia" w:ascii="宋体" w:hAnsi="宋体" w:eastAsia="宋体" w:cs="宋体"/>
          <w:spacing w:val="16"/>
          <w:sz w:val="23"/>
          <w:szCs w:val="23"/>
        </w:rPr>
        <w:t>车辆</w:t>
      </w:r>
      <w:r>
        <w:rPr>
          <w:rFonts w:hint="eastAsia" w:ascii="宋体" w:hAnsi="宋体" w:eastAsia="宋体" w:cs="宋体"/>
          <w:spacing w:val="12"/>
          <w:sz w:val="23"/>
          <w:szCs w:val="23"/>
        </w:rPr>
        <w:t>维</w:t>
      </w:r>
      <w:r>
        <w:rPr>
          <w:rFonts w:hint="eastAsia" w:ascii="宋体" w:hAnsi="宋体" w:eastAsia="宋体" w:cs="宋体"/>
          <w:spacing w:val="8"/>
          <w:sz w:val="23"/>
          <w:szCs w:val="23"/>
        </w:rPr>
        <w:t>修和提供的保养服务、消防设备等，提出预留份额等政府采购支持措施，</w:t>
      </w:r>
      <w:r>
        <w:rPr>
          <w:rFonts w:hint="eastAsia" w:ascii="宋体" w:hAnsi="宋体" w:eastAsia="宋体" w:cs="宋体"/>
          <w:sz w:val="23"/>
          <w:szCs w:val="23"/>
        </w:rPr>
        <w:t xml:space="preserve"> </w:t>
      </w:r>
      <w:r>
        <w:rPr>
          <w:rFonts w:hint="eastAsia" w:ascii="宋体" w:hAnsi="宋体" w:eastAsia="宋体" w:cs="宋体"/>
          <w:spacing w:val="16"/>
          <w:sz w:val="23"/>
          <w:szCs w:val="23"/>
        </w:rPr>
        <w:t>加</w:t>
      </w:r>
      <w:r>
        <w:rPr>
          <w:rFonts w:hint="eastAsia" w:ascii="宋体" w:hAnsi="宋体" w:eastAsia="宋体" w:cs="宋体"/>
          <w:spacing w:val="10"/>
          <w:sz w:val="23"/>
          <w:szCs w:val="23"/>
        </w:rPr>
        <w:t>大</w:t>
      </w:r>
      <w:r>
        <w:rPr>
          <w:rFonts w:hint="eastAsia" w:ascii="宋体" w:hAnsi="宋体" w:eastAsia="宋体" w:cs="宋体"/>
          <w:spacing w:val="8"/>
          <w:sz w:val="23"/>
          <w:szCs w:val="23"/>
        </w:rPr>
        <w:t>对监狱企业产品的采购力度。</w:t>
      </w:r>
    </w:p>
    <w:p w14:paraId="6E441246">
      <w:pPr>
        <w:spacing w:before="2" w:line="392" w:lineRule="auto"/>
        <w:ind w:left="24" w:right="53" w:firstLine="482"/>
        <w:rPr>
          <w:rFonts w:hint="eastAsia" w:ascii="宋体" w:hAnsi="宋体" w:eastAsia="宋体" w:cs="宋体"/>
          <w:sz w:val="23"/>
          <w:szCs w:val="23"/>
        </w:rPr>
      </w:pPr>
      <w:r>
        <w:rPr>
          <w:rFonts w:hint="eastAsia" w:ascii="宋体" w:hAnsi="宋体" w:eastAsia="宋体" w:cs="宋体"/>
          <w:spacing w:val="12"/>
          <w:sz w:val="23"/>
          <w:szCs w:val="23"/>
        </w:rPr>
        <w:t>五、各地</w:t>
      </w:r>
      <w:r>
        <w:rPr>
          <w:rFonts w:hint="eastAsia" w:ascii="宋体" w:hAnsi="宋体" w:eastAsia="宋体" w:cs="宋体"/>
          <w:spacing w:val="7"/>
          <w:sz w:val="23"/>
          <w:szCs w:val="23"/>
        </w:rPr>
        <w:t>区</w:t>
      </w:r>
      <w:r>
        <w:rPr>
          <w:rFonts w:hint="eastAsia" w:ascii="宋体" w:hAnsi="宋体" w:eastAsia="宋体" w:cs="宋体"/>
          <w:spacing w:val="6"/>
          <w:sz w:val="23"/>
          <w:szCs w:val="23"/>
        </w:rPr>
        <w:t>、各部门要高度重视，加强组织管理和监督，做好政府采购支持</w:t>
      </w:r>
      <w:r>
        <w:rPr>
          <w:rFonts w:hint="eastAsia" w:ascii="宋体" w:hAnsi="宋体" w:eastAsia="宋体" w:cs="宋体"/>
          <w:sz w:val="23"/>
          <w:szCs w:val="23"/>
        </w:rPr>
        <w:t xml:space="preserve"> </w:t>
      </w:r>
      <w:r>
        <w:rPr>
          <w:rFonts w:hint="eastAsia" w:ascii="宋体" w:hAnsi="宋体" w:eastAsia="宋体" w:cs="宋体"/>
          <w:spacing w:val="8"/>
          <w:sz w:val="23"/>
          <w:szCs w:val="23"/>
        </w:rPr>
        <w:t>监</w:t>
      </w:r>
      <w:r>
        <w:rPr>
          <w:rFonts w:hint="eastAsia" w:ascii="宋体" w:hAnsi="宋体" w:eastAsia="宋体" w:cs="宋体"/>
          <w:spacing w:val="7"/>
          <w:sz w:val="23"/>
          <w:szCs w:val="23"/>
        </w:rPr>
        <w:t>狱企业发展的相关工作。有关部门要加强监管，确保面向监狱企业采购的工作</w:t>
      </w:r>
      <w:r>
        <w:rPr>
          <w:rFonts w:hint="eastAsia" w:ascii="宋体" w:hAnsi="宋体" w:eastAsia="宋体" w:cs="宋体"/>
          <w:sz w:val="23"/>
          <w:szCs w:val="23"/>
        </w:rPr>
        <w:t xml:space="preserve"> </w:t>
      </w:r>
      <w:r>
        <w:rPr>
          <w:rFonts w:hint="eastAsia" w:ascii="宋体" w:hAnsi="宋体" w:eastAsia="宋体" w:cs="宋体"/>
          <w:spacing w:val="8"/>
          <w:sz w:val="23"/>
          <w:szCs w:val="23"/>
        </w:rPr>
        <w:t>依</w:t>
      </w:r>
      <w:r>
        <w:rPr>
          <w:rFonts w:hint="eastAsia" w:ascii="宋体" w:hAnsi="宋体" w:eastAsia="宋体" w:cs="宋体"/>
          <w:spacing w:val="7"/>
          <w:sz w:val="23"/>
          <w:szCs w:val="23"/>
        </w:rPr>
        <w:t>法依规进行。各监狱企业要不断提高监狱企业产品的质量和服务水平，为做好</w:t>
      </w:r>
      <w:r>
        <w:rPr>
          <w:rFonts w:hint="eastAsia" w:ascii="宋体" w:hAnsi="宋体" w:eastAsia="宋体" w:cs="宋体"/>
          <w:sz w:val="23"/>
          <w:szCs w:val="23"/>
        </w:rPr>
        <w:t xml:space="preserve"> </w:t>
      </w:r>
      <w:r>
        <w:rPr>
          <w:rFonts w:hint="eastAsia" w:ascii="宋体" w:hAnsi="宋体" w:eastAsia="宋体" w:cs="宋体"/>
          <w:spacing w:val="9"/>
          <w:sz w:val="23"/>
          <w:szCs w:val="23"/>
        </w:rPr>
        <w:t>监狱企业产品政府采购工作提供有力保障</w:t>
      </w:r>
      <w:r>
        <w:rPr>
          <w:rFonts w:hint="eastAsia" w:ascii="宋体" w:hAnsi="宋体" w:eastAsia="宋体" w:cs="宋体"/>
          <w:spacing w:val="7"/>
          <w:sz w:val="23"/>
          <w:szCs w:val="23"/>
        </w:rPr>
        <w:t>。</w:t>
      </w:r>
    </w:p>
    <w:p w14:paraId="2AA00D37">
      <w:pPr>
        <w:spacing w:line="487" w:lineRule="exact"/>
        <w:ind w:left="46"/>
        <w:rPr>
          <w:rFonts w:hint="eastAsia" w:ascii="宋体" w:hAnsi="宋体" w:eastAsia="宋体" w:cs="宋体"/>
          <w:sz w:val="23"/>
          <w:szCs w:val="23"/>
        </w:rPr>
      </w:pPr>
      <w:r>
        <w:rPr>
          <w:rFonts w:hint="eastAsia" w:ascii="宋体" w:hAnsi="宋体" w:eastAsia="宋体" w:cs="宋体"/>
          <w:spacing w:val="7"/>
          <w:position w:val="19"/>
          <w:sz w:val="23"/>
          <w:szCs w:val="23"/>
        </w:rPr>
        <w:t>中华人民共和国财政</w:t>
      </w:r>
      <w:r>
        <w:rPr>
          <w:rFonts w:hint="eastAsia" w:ascii="宋体" w:hAnsi="宋体" w:eastAsia="宋体" w:cs="宋体"/>
          <w:spacing w:val="5"/>
          <w:position w:val="19"/>
          <w:sz w:val="23"/>
          <w:szCs w:val="23"/>
        </w:rPr>
        <w:t>部</w:t>
      </w:r>
    </w:p>
    <w:p w14:paraId="37C2C162">
      <w:pPr>
        <w:spacing w:line="227" w:lineRule="auto"/>
        <w:ind w:left="46"/>
        <w:rPr>
          <w:rFonts w:hint="eastAsia" w:ascii="宋体" w:hAnsi="宋体" w:eastAsia="宋体" w:cs="宋体"/>
          <w:sz w:val="23"/>
          <w:szCs w:val="23"/>
        </w:rPr>
      </w:pPr>
      <w:r>
        <w:rPr>
          <w:rFonts w:hint="eastAsia" w:ascii="宋体" w:hAnsi="宋体" w:eastAsia="宋体" w:cs="宋体"/>
          <w:spacing w:val="7"/>
          <w:sz w:val="23"/>
          <w:szCs w:val="23"/>
        </w:rPr>
        <w:t>中华人民共和国司法</w:t>
      </w:r>
      <w:r>
        <w:rPr>
          <w:rFonts w:hint="eastAsia" w:ascii="宋体" w:hAnsi="宋体" w:eastAsia="宋体" w:cs="宋体"/>
          <w:spacing w:val="5"/>
          <w:sz w:val="23"/>
          <w:szCs w:val="23"/>
        </w:rPr>
        <w:t>部</w:t>
      </w:r>
    </w:p>
    <w:p w14:paraId="4C82A3A8">
      <w:pPr>
        <w:spacing w:before="206" w:line="227" w:lineRule="auto"/>
        <w:ind w:right="219"/>
        <w:jc w:val="right"/>
        <w:rPr>
          <w:rFonts w:hint="eastAsia" w:ascii="宋体" w:hAnsi="宋体" w:eastAsia="宋体" w:cs="宋体"/>
          <w:sz w:val="23"/>
          <w:szCs w:val="23"/>
        </w:rPr>
      </w:pPr>
      <w:r>
        <w:rPr>
          <w:rFonts w:hint="eastAsia" w:ascii="宋体" w:hAnsi="宋体" w:eastAsia="宋体" w:cs="宋体"/>
          <w:spacing w:val="-14"/>
          <w:sz w:val="23"/>
          <w:szCs w:val="23"/>
        </w:rPr>
        <w:t>2</w:t>
      </w:r>
      <w:r>
        <w:rPr>
          <w:rFonts w:hint="eastAsia" w:ascii="宋体" w:hAnsi="宋体" w:eastAsia="宋体" w:cs="宋体"/>
          <w:spacing w:val="-12"/>
          <w:sz w:val="23"/>
          <w:szCs w:val="23"/>
        </w:rPr>
        <w:t>014 年 6 月 10 日</w:t>
      </w:r>
    </w:p>
    <w:p w14:paraId="5465FE92">
      <w:pPr>
        <w:spacing w:line="264" w:lineRule="auto"/>
        <w:rPr>
          <w:rFonts w:hint="eastAsia" w:ascii="宋体" w:hAnsi="宋体" w:eastAsia="宋体" w:cs="宋体"/>
          <w:sz w:val="21"/>
        </w:rPr>
      </w:pPr>
    </w:p>
    <w:p w14:paraId="5882A1B2">
      <w:pPr>
        <w:spacing w:line="265" w:lineRule="auto"/>
        <w:rPr>
          <w:rFonts w:hint="eastAsia" w:ascii="宋体" w:hAnsi="宋体" w:eastAsia="宋体" w:cs="宋体"/>
          <w:sz w:val="21"/>
        </w:rPr>
      </w:pPr>
    </w:p>
    <w:p w14:paraId="69B5C517">
      <w:pPr>
        <w:spacing w:line="265" w:lineRule="auto"/>
        <w:rPr>
          <w:rFonts w:hint="eastAsia" w:ascii="宋体" w:hAnsi="宋体" w:eastAsia="宋体" w:cs="宋体"/>
          <w:sz w:val="21"/>
        </w:rPr>
      </w:pPr>
    </w:p>
    <w:p w14:paraId="4237EC8C">
      <w:pPr>
        <w:spacing w:line="265" w:lineRule="auto"/>
        <w:rPr>
          <w:rFonts w:hint="eastAsia" w:ascii="宋体" w:hAnsi="宋体" w:eastAsia="宋体" w:cs="宋体"/>
          <w:sz w:val="21"/>
        </w:rPr>
      </w:pPr>
    </w:p>
    <w:p w14:paraId="59F2DCB9">
      <w:pPr>
        <w:spacing w:line="265" w:lineRule="auto"/>
        <w:rPr>
          <w:rFonts w:hint="eastAsia" w:ascii="宋体" w:hAnsi="宋体" w:eastAsia="宋体" w:cs="宋体"/>
          <w:sz w:val="21"/>
        </w:rPr>
      </w:pPr>
    </w:p>
    <w:p w14:paraId="61100139">
      <w:pPr>
        <w:spacing w:line="265" w:lineRule="auto"/>
        <w:rPr>
          <w:rFonts w:hint="eastAsia" w:ascii="宋体" w:hAnsi="宋体" w:eastAsia="宋体" w:cs="宋体"/>
          <w:sz w:val="21"/>
        </w:rPr>
      </w:pPr>
    </w:p>
    <w:p w14:paraId="3F148F0A">
      <w:pPr>
        <w:spacing w:line="265" w:lineRule="auto"/>
        <w:rPr>
          <w:rFonts w:hint="eastAsia" w:ascii="宋体" w:hAnsi="宋体" w:eastAsia="宋体" w:cs="宋体"/>
          <w:sz w:val="21"/>
        </w:rPr>
      </w:pPr>
    </w:p>
    <w:p w14:paraId="5272FC3C">
      <w:pPr>
        <w:spacing w:line="265" w:lineRule="auto"/>
        <w:rPr>
          <w:rFonts w:hint="eastAsia" w:ascii="宋体" w:hAnsi="宋体" w:eastAsia="宋体" w:cs="宋体"/>
          <w:sz w:val="21"/>
        </w:rPr>
      </w:pPr>
    </w:p>
    <w:p w14:paraId="35FDA023">
      <w:pPr>
        <w:spacing w:line="265" w:lineRule="auto"/>
        <w:rPr>
          <w:rFonts w:hint="eastAsia" w:ascii="宋体" w:hAnsi="宋体" w:eastAsia="宋体" w:cs="宋体"/>
          <w:sz w:val="21"/>
        </w:rPr>
      </w:pPr>
    </w:p>
    <w:p w14:paraId="7F8D9449">
      <w:pPr>
        <w:spacing w:before="75" w:line="490" w:lineRule="exact"/>
        <w:ind w:left="2019"/>
        <w:rPr>
          <w:rFonts w:hint="eastAsia" w:ascii="宋体" w:hAnsi="宋体" w:eastAsia="宋体" w:cs="宋体"/>
          <w:b/>
          <w:bCs/>
          <w:sz w:val="23"/>
          <w:szCs w:val="23"/>
        </w:rPr>
      </w:pPr>
      <w:r>
        <w:rPr>
          <w:rFonts w:hint="eastAsia" w:ascii="宋体" w:hAnsi="宋体" w:eastAsia="宋体" w:cs="宋体"/>
          <w:b/>
          <w:bCs/>
          <w:spacing w:val="13"/>
          <w:position w:val="19"/>
          <w:sz w:val="23"/>
          <w:szCs w:val="23"/>
        </w:rPr>
        <w:t>关</w:t>
      </w:r>
      <w:r>
        <w:rPr>
          <w:rFonts w:hint="eastAsia" w:ascii="宋体" w:hAnsi="宋体" w:eastAsia="宋体" w:cs="宋体"/>
          <w:b/>
          <w:bCs/>
          <w:spacing w:val="9"/>
          <w:position w:val="19"/>
          <w:sz w:val="23"/>
          <w:szCs w:val="23"/>
        </w:rPr>
        <w:t>于促进残疾人就业政府采购政策的通知</w:t>
      </w:r>
    </w:p>
    <w:p w14:paraId="7CD5D568">
      <w:pPr>
        <w:spacing w:line="227" w:lineRule="auto"/>
        <w:ind w:left="3127"/>
        <w:rPr>
          <w:rFonts w:hint="eastAsia" w:ascii="宋体" w:hAnsi="宋体" w:eastAsia="宋体" w:cs="宋体"/>
          <w:b/>
          <w:bCs/>
          <w:sz w:val="23"/>
          <w:szCs w:val="23"/>
        </w:rPr>
      </w:pPr>
      <w:r>
        <w:rPr>
          <w:rFonts w:hint="eastAsia" w:ascii="宋体" w:hAnsi="宋体" w:eastAsia="宋体" w:cs="宋体"/>
          <w:b/>
          <w:bCs/>
          <w:spacing w:val="2"/>
          <w:sz w:val="23"/>
          <w:szCs w:val="23"/>
        </w:rPr>
        <w:t xml:space="preserve">财库〔2017〕141 </w:t>
      </w:r>
      <w:r>
        <w:rPr>
          <w:rFonts w:hint="eastAsia" w:ascii="宋体" w:hAnsi="宋体" w:eastAsia="宋体" w:cs="宋体"/>
          <w:b/>
          <w:bCs/>
          <w:sz w:val="23"/>
          <w:szCs w:val="23"/>
        </w:rPr>
        <w:t>号</w:t>
      </w:r>
    </w:p>
    <w:p w14:paraId="3A954502">
      <w:pPr>
        <w:spacing w:before="204" w:line="393" w:lineRule="auto"/>
        <w:ind w:left="24"/>
        <w:rPr>
          <w:rFonts w:hint="eastAsia" w:ascii="宋体" w:hAnsi="宋体" w:eastAsia="宋体" w:cs="宋体"/>
          <w:sz w:val="23"/>
          <w:szCs w:val="23"/>
        </w:rPr>
      </w:pPr>
      <w:r>
        <w:rPr>
          <w:rFonts w:hint="eastAsia" w:ascii="宋体" w:hAnsi="宋体" w:eastAsia="宋体" w:cs="宋体"/>
          <w:spacing w:val="8"/>
          <w:sz w:val="23"/>
          <w:szCs w:val="23"/>
        </w:rPr>
        <w:t>党</w:t>
      </w:r>
      <w:r>
        <w:rPr>
          <w:rFonts w:hint="eastAsia" w:ascii="宋体" w:hAnsi="宋体" w:eastAsia="宋体" w:cs="宋体"/>
          <w:spacing w:val="7"/>
          <w:sz w:val="23"/>
          <w:szCs w:val="23"/>
        </w:rPr>
        <w:t>中央有关部门，国务院各部委、各直属机构，全国人大常委会办公厅，全国政</w:t>
      </w:r>
      <w:r>
        <w:rPr>
          <w:rFonts w:hint="eastAsia" w:ascii="宋体" w:hAnsi="宋体" w:eastAsia="宋体" w:cs="宋体"/>
          <w:sz w:val="23"/>
          <w:szCs w:val="23"/>
        </w:rPr>
        <w:t xml:space="preserve"> </w:t>
      </w:r>
      <w:r>
        <w:rPr>
          <w:rFonts w:hint="eastAsia" w:ascii="宋体" w:hAnsi="宋体" w:eastAsia="宋体" w:cs="宋体"/>
          <w:spacing w:val="9"/>
          <w:sz w:val="23"/>
          <w:szCs w:val="23"/>
        </w:rPr>
        <w:t>协</w:t>
      </w:r>
      <w:r>
        <w:rPr>
          <w:rFonts w:hint="eastAsia" w:ascii="宋体" w:hAnsi="宋体" w:eastAsia="宋体" w:cs="宋体"/>
          <w:spacing w:val="5"/>
          <w:sz w:val="23"/>
          <w:szCs w:val="23"/>
        </w:rPr>
        <w:t>办公厅，高法院，高检院，各民主党派中央，有关人民团体，各省、 自治区、</w:t>
      </w:r>
      <w:r>
        <w:rPr>
          <w:rFonts w:hint="eastAsia" w:ascii="宋体" w:hAnsi="宋体" w:eastAsia="宋体" w:cs="宋体"/>
          <w:sz w:val="23"/>
          <w:szCs w:val="23"/>
        </w:rPr>
        <w:t xml:space="preserve"> </w:t>
      </w:r>
      <w:r>
        <w:rPr>
          <w:rFonts w:hint="eastAsia" w:ascii="宋体" w:hAnsi="宋体" w:eastAsia="宋体" w:cs="宋体"/>
          <w:spacing w:val="12"/>
          <w:sz w:val="23"/>
          <w:szCs w:val="23"/>
        </w:rPr>
        <w:t>直辖</w:t>
      </w:r>
      <w:r>
        <w:rPr>
          <w:rFonts w:hint="eastAsia" w:ascii="宋体" w:hAnsi="宋体" w:eastAsia="宋体" w:cs="宋体"/>
          <w:spacing w:val="6"/>
          <w:sz w:val="23"/>
          <w:szCs w:val="23"/>
        </w:rPr>
        <w:t>市、计划单列市财政厅 (局) 、民政厅 (局) 、残疾人联合会，新疆生产建</w:t>
      </w:r>
      <w:r>
        <w:rPr>
          <w:rFonts w:hint="eastAsia" w:ascii="宋体" w:hAnsi="宋体" w:eastAsia="宋体" w:cs="宋体"/>
          <w:sz w:val="23"/>
          <w:szCs w:val="23"/>
        </w:rPr>
        <w:t xml:space="preserve"> </w:t>
      </w:r>
      <w:r>
        <w:rPr>
          <w:rFonts w:hint="eastAsia" w:ascii="宋体" w:hAnsi="宋体" w:eastAsia="宋体" w:cs="宋体"/>
          <w:spacing w:val="9"/>
          <w:sz w:val="23"/>
          <w:szCs w:val="23"/>
        </w:rPr>
        <w:t>设兵团财务局、民政局、残疾人联合会</w:t>
      </w:r>
      <w:r>
        <w:rPr>
          <w:rFonts w:hint="eastAsia" w:ascii="宋体" w:hAnsi="宋体" w:eastAsia="宋体" w:cs="宋体"/>
          <w:spacing w:val="6"/>
          <w:sz w:val="23"/>
          <w:szCs w:val="23"/>
        </w:rPr>
        <w:t>：</w:t>
      </w:r>
    </w:p>
    <w:p w14:paraId="195DF363">
      <w:pPr>
        <w:spacing w:before="2" w:line="392" w:lineRule="auto"/>
        <w:ind w:left="22" w:right="53" w:firstLine="3"/>
        <w:rPr>
          <w:rFonts w:hint="eastAsia" w:ascii="宋体" w:hAnsi="宋体" w:eastAsia="宋体" w:cs="宋体"/>
          <w:sz w:val="23"/>
          <w:szCs w:val="23"/>
        </w:rPr>
      </w:pPr>
      <w:r>
        <w:rPr>
          <w:rFonts w:hint="eastAsia" w:ascii="宋体" w:hAnsi="宋体" w:eastAsia="宋体" w:cs="宋体"/>
          <w:spacing w:val="7"/>
          <w:sz w:val="23"/>
          <w:szCs w:val="23"/>
        </w:rPr>
        <w:t>为了发挥政府采购促进残疾人就业的作用，进一步保障残疾人权益，依照《政</w:t>
      </w:r>
      <w:r>
        <w:rPr>
          <w:rFonts w:hint="eastAsia" w:ascii="宋体" w:hAnsi="宋体" w:eastAsia="宋体" w:cs="宋体"/>
          <w:spacing w:val="6"/>
          <w:sz w:val="23"/>
          <w:szCs w:val="23"/>
        </w:rPr>
        <w:t>府</w:t>
      </w:r>
      <w:r>
        <w:rPr>
          <w:rFonts w:hint="eastAsia" w:ascii="宋体" w:hAnsi="宋体" w:eastAsia="宋体" w:cs="宋体"/>
          <w:sz w:val="23"/>
          <w:szCs w:val="23"/>
        </w:rPr>
        <w:t xml:space="preserve"> </w:t>
      </w:r>
      <w:r>
        <w:rPr>
          <w:rFonts w:hint="eastAsia" w:ascii="宋体" w:hAnsi="宋体" w:eastAsia="宋体" w:cs="宋体"/>
          <w:spacing w:val="9"/>
          <w:sz w:val="23"/>
          <w:szCs w:val="23"/>
        </w:rPr>
        <w:t>采</w:t>
      </w:r>
      <w:r>
        <w:rPr>
          <w:rFonts w:hint="eastAsia" w:ascii="宋体" w:hAnsi="宋体" w:eastAsia="宋体" w:cs="宋体"/>
          <w:spacing w:val="7"/>
          <w:sz w:val="23"/>
          <w:szCs w:val="23"/>
        </w:rPr>
        <w:t>购法》、《残疾人保障法》等法律法规及相关规定，现就促进残疾人就业政府</w:t>
      </w:r>
      <w:r>
        <w:rPr>
          <w:rFonts w:hint="eastAsia" w:ascii="宋体" w:hAnsi="宋体" w:eastAsia="宋体" w:cs="宋体"/>
          <w:sz w:val="23"/>
          <w:szCs w:val="23"/>
        </w:rPr>
        <w:t xml:space="preserve"> </w:t>
      </w:r>
      <w:r>
        <w:rPr>
          <w:rFonts w:hint="eastAsia" w:ascii="宋体" w:hAnsi="宋体" w:eastAsia="宋体" w:cs="宋体"/>
          <w:spacing w:val="8"/>
          <w:sz w:val="23"/>
          <w:szCs w:val="23"/>
        </w:rPr>
        <w:t>采购政策通知如下</w:t>
      </w:r>
      <w:r>
        <w:rPr>
          <w:rFonts w:hint="eastAsia" w:ascii="宋体" w:hAnsi="宋体" w:eastAsia="宋体" w:cs="宋体"/>
          <w:spacing w:val="7"/>
          <w:sz w:val="23"/>
          <w:szCs w:val="23"/>
        </w:rPr>
        <w:t>：</w:t>
      </w:r>
    </w:p>
    <w:p w14:paraId="599ABF8F">
      <w:pPr>
        <w:spacing w:line="393" w:lineRule="exact"/>
        <w:ind w:left="27"/>
        <w:rPr>
          <w:rFonts w:hint="eastAsia" w:ascii="宋体" w:hAnsi="宋体" w:eastAsia="宋体" w:cs="宋体"/>
          <w:sz w:val="23"/>
          <w:szCs w:val="23"/>
        </w:rPr>
      </w:pPr>
      <w:r>
        <w:rPr>
          <w:rFonts w:hint="eastAsia" w:ascii="宋体" w:hAnsi="宋体" w:eastAsia="宋体" w:cs="宋体"/>
          <w:spacing w:val="17"/>
          <w:position w:val="2"/>
          <w:sz w:val="23"/>
          <w:szCs w:val="23"/>
        </w:rPr>
        <w:t>一</w:t>
      </w:r>
      <w:r>
        <w:rPr>
          <w:rFonts w:hint="eastAsia" w:ascii="宋体" w:hAnsi="宋体" w:eastAsia="宋体" w:cs="宋体"/>
          <w:spacing w:val="9"/>
          <w:position w:val="2"/>
          <w:sz w:val="23"/>
          <w:szCs w:val="23"/>
        </w:rPr>
        <w:t>、享受政府采购支持政策的残疾人福利性单位应当同时满足以下条件：</w:t>
      </w:r>
    </w:p>
    <w:p w14:paraId="38175DF0">
      <w:pPr>
        <w:spacing w:before="97" w:line="309" w:lineRule="auto"/>
        <w:ind w:left="28" w:right="53" w:firstLine="6"/>
        <w:rPr>
          <w:rFonts w:hint="eastAsia" w:ascii="宋体" w:hAnsi="宋体" w:eastAsia="宋体" w:cs="宋体"/>
          <w:sz w:val="23"/>
          <w:szCs w:val="23"/>
        </w:rPr>
      </w:pPr>
      <w:r>
        <w:rPr>
          <w:rFonts w:hint="eastAsia" w:ascii="宋体" w:hAnsi="宋体" w:eastAsia="宋体" w:cs="宋体"/>
          <w:spacing w:val="10"/>
          <w:sz w:val="23"/>
          <w:szCs w:val="23"/>
        </w:rPr>
        <w:t>( 一)</w:t>
      </w:r>
      <w:r>
        <w:rPr>
          <w:rFonts w:hint="eastAsia" w:ascii="宋体" w:hAnsi="宋体" w:eastAsia="宋体" w:cs="宋体"/>
          <w:spacing w:val="5"/>
          <w:sz w:val="23"/>
          <w:szCs w:val="23"/>
        </w:rPr>
        <w:t xml:space="preserve"> 安置的残疾人占本单位在职职工人数的比例不低于 25% (含 25%) ，并且</w:t>
      </w:r>
      <w:r>
        <w:rPr>
          <w:rFonts w:hint="eastAsia" w:ascii="宋体" w:hAnsi="宋体" w:eastAsia="宋体" w:cs="宋体"/>
          <w:sz w:val="23"/>
          <w:szCs w:val="23"/>
        </w:rPr>
        <w:t xml:space="preserve"> </w:t>
      </w:r>
      <w:r>
        <w:rPr>
          <w:rFonts w:hint="eastAsia" w:ascii="宋体" w:hAnsi="宋体" w:eastAsia="宋体" w:cs="宋体"/>
          <w:spacing w:val="-2"/>
          <w:sz w:val="23"/>
          <w:szCs w:val="23"/>
        </w:rPr>
        <w:t xml:space="preserve">安置的残疾人人数不少于 10 人 (含 10 人) </w:t>
      </w:r>
      <w:r>
        <w:rPr>
          <w:rFonts w:hint="eastAsia" w:ascii="宋体" w:hAnsi="宋体" w:eastAsia="宋体" w:cs="宋体"/>
          <w:spacing w:val="-1"/>
          <w:sz w:val="23"/>
          <w:szCs w:val="23"/>
        </w:rPr>
        <w:t>；</w:t>
      </w:r>
    </w:p>
    <w:p w14:paraId="3F4CE348">
      <w:pPr>
        <w:spacing w:before="205" w:line="311" w:lineRule="auto"/>
        <w:ind w:left="25" w:right="53" w:firstLine="9"/>
        <w:rPr>
          <w:rFonts w:hint="eastAsia" w:ascii="宋体" w:hAnsi="宋体" w:eastAsia="宋体" w:cs="宋体"/>
          <w:sz w:val="23"/>
          <w:szCs w:val="23"/>
        </w:rPr>
      </w:pPr>
      <w:r>
        <w:rPr>
          <w:rFonts w:hint="eastAsia" w:ascii="宋体" w:hAnsi="宋体" w:eastAsia="宋体" w:cs="宋体"/>
          <w:spacing w:val="17"/>
          <w:sz w:val="23"/>
          <w:szCs w:val="23"/>
        </w:rPr>
        <w:t>(</w:t>
      </w:r>
      <w:r>
        <w:rPr>
          <w:rFonts w:hint="eastAsia" w:ascii="宋体" w:hAnsi="宋体" w:eastAsia="宋体" w:cs="宋体"/>
          <w:spacing w:val="9"/>
          <w:sz w:val="23"/>
          <w:szCs w:val="23"/>
        </w:rPr>
        <w:t>二) 依法与安置的每位残疾人签订了一年以上 (含一年) 的劳动合同或服务协</w:t>
      </w:r>
      <w:r>
        <w:rPr>
          <w:rFonts w:hint="eastAsia" w:ascii="宋体" w:hAnsi="宋体" w:eastAsia="宋体" w:cs="宋体"/>
          <w:spacing w:val="-1"/>
          <w:sz w:val="23"/>
          <w:szCs w:val="23"/>
        </w:rPr>
        <w:t>议；</w:t>
      </w:r>
    </w:p>
    <w:p w14:paraId="76C83270">
      <w:pPr>
        <w:spacing w:before="80" w:line="427" w:lineRule="auto"/>
        <w:ind w:left="34"/>
        <w:rPr>
          <w:rFonts w:hint="eastAsia" w:ascii="宋体" w:hAnsi="宋体" w:eastAsia="宋体" w:cs="宋体"/>
          <w:sz w:val="23"/>
          <w:szCs w:val="23"/>
        </w:rPr>
      </w:pPr>
      <w:r>
        <w:rPr>
          <w:rFonts w:hint="eastAsia" w:ascii="宋体" w:hAnsi="宋体" w:eastAsia="宋体" w:cs="宋体"/>
          <w:spacing w:val="18"/>
          <w:sz w:val="23"/>
          <w:szCs w:val="23"/>
        </w:rPr>
        <w:t>(三</w:t>
      </w:r>
      <w:r>
        <w:rPr>
          <w:rFonts w:hint="eastAsia" w:ascii="宋体" w:hAnsi="宋体" w:eastAsia="宋体" w:cs="宋体"/>
          <w:spacing w:val="17"/>
          <w:sz w:val="23"/>
          <w:szCs w:val="23"/>
        </w:rPr>
        <w:t>)</w:t>
      </w:r>
      <w:r>
        <w:rPr>
          <w:rFonts w:hint="eastAsia" w:ascii="宋体" w:hAnsi="宋体" w:eastAsia="宋体" w:cs="宋体"/>
          <w:spacing w:val="9"/>
          <w:sz w:val="23"/>
          <w:szCs w:val="23"/>
        </w:rPr>
        <w:t xml:space="preserve"> 为安置的每位残疾人按月足额缴纳了基本养老</w:t>
      </w:r>
      <w:r>
        <w:rPr>
          <w:rFonts w:hint="eastAsia" w:ascii="宋体" w:hAnsi="宋体" w:eastAsia="宋体" w:cs="宋体"/>
        </w:rPr>
        <w:fldChar w:fldCharType="begin"/>
      </w:r>
      <w:r>
        <w:rPr>
          <w:rFonts w:hint="eastAsia" w:ascii="宋体" w:hAnsi="宋体" w:eastAsia="宋体" w:cs="宋体"/>
        </w:rPr>
        <w:instrText xml:space="preserve"> HYPERLINK "http://www.boztax.com/article/index/topic?topic=保险" </w:instrText>
      </w:r>
      <w:r>
        <w:rPr>
          <w:rFonts w:hint="eastAsia" w:ascii="宋体" w:hAnsi="宋体" w:eastAsia="宋体" w:cs="宋体"/>
        </w:rPr>
        <w:fldChar w:fldCharType="separate"/>
      </w:r>
      <w:r>
        <w:rPr>
          <w:rFonts w:hint="eastAsia" w:ascii="宋体" w:hAnsi="宋体" w:eastAsia="宋体" w:cs="宋体"/>
          <w:spacing w:val="9"/>
          <w:sz w:val="23"/>
          <w:szCs w:val="23"/>
          <w:u w:val="single" w:color="auto"/>
        </w:rPr>
        <w:t>保险</w:t>
      </w:r>
      <w:r>
        <w:rPr>
          <w:rFonts w:hint="eastAsia" w:ascii="宋体" w:hAnsi="宋体" w:eastAsia="宋体" w:cs="宋体"/>
          <w:spacing w:val="9"/>
          <w:sz w:val="23"/>
          <w:szCs w:val="23"/>
          <w:u w:val="single" w:color="auto"/>
        </w:rPr>
        <w:fldChar w:fldCharType="end"/>
      </w:r>
      <w:r>
        <w:rPr>
          <w:rFonts w:hint="eastAsia" w:ascii="宋体" w:hAnsi="宋体" w:eastAsia="宋体" w:cs="宋体"/>
          <w:spacing w:val="9"/>
          <w:sz w:val="23"/>
          <w:szCs w:val="23"/>
        </w:rPr>
        <w:t>、基本医疗保险、失业保险、工伤保险和生育保险等</w:t>
      </w:r>
      <w:r>
        <w:rPr>
          <w:rFonts w:hint="eastAsia" w:ascii="宋体" w:hAnsi="宋体" w:eastAsia="宋体" w:cs="宋体"/>
        </w:rPr>
        <w:fldChar w:fldCharType="begin"/>
      </w:r>
      <w:r>
        <w:rPr>
          <w:rFonts w:hint="eastAsia" w:ascii="宋体" w:hAnsi="宋体" w:eastAsia="宋体" w:cs="宋体"/>
        </w:rPr>
        <w:instrText xml:space="preserve"> HYPERLINK "http://www.boztax.com/article/index/topic?topic=社会保险费" </w:instrText>
      </w:r>
      <w:r>
        <w:rPr>
          <w:rFonts w:hint="eastAsia" w:ascii="宋体" w:hAnsi="宋体" w:eastAsia="宋体" w:cs="宋体"/>
        </w:rPr>
        <w:fldChar w:fldCharType="separate"/>
      </w:r>
      <w:r>
        <w:rPr>
          <w:rFonts w:hint="eastAsia" w:ascii="宋体" w:hAnsi="宋体" w:eastAsia="宋体" w:cs="宋体"/>
          <w:spacing w:val="9"/>
          <w:sz w:val="23"/>
          <w:szCs w:val="23"/>
          <w:u w:val="single" w:color="auto"/>
        </w:rPr>
        <w:t>社会保险费</w:t>
      </w:r>
      <w:r>
        <w:rPr>
          <w:rFonts w:hint="eastAsia" w:ascii="宋体" w:hAnsi="宋体" w:eastAsia="宋体" w:cs="宋体"/>
          <w:spacing w:val="9"/>
          <w:sz w:val="23"/>
          <w:szCs w:val="23"/>
          <w:u w:val="single" w:color="auto"/>
        </w:rPr>
        <w:fldChar w:fldCharType="end"/>
      </w:r>
      <w:r>
        <w:rPr>
          <w:rFonts w:hint="eastAsia" w:ascii="宋体" w:hAnsi="宋体" w:eastAsia="宋体" w:cs="宋体"/>
          <w:spacing w:val="7"/>
          <w:sz w:val="23"/>
          <w:szCs w:val="23"/>
        </w:rPr>
        <w:t>；</w:t>
      </w:r>
    </w:p>
    <w:p w14:paraId="2C204870">
      <w:pPr>
        <w:spacing w:before="206" w:line="310" w:lineRule="auto"/>
        <w:ind w:left="24" w:right="80" w:firstLine="10"/>
        <w:rPr>
          <w:rFonts w:hint="eastAsia" w:ascii="宋体" w:hAnsi="宋体" w:eastAsia="宋体" w:cs="宋体"/>
          <w:sz w:val="23"/>
          <w:szCs w:val="23"/>
        </w:rPr>
      </w:pPr>
      <w:r>
        <w:rPr>
          <w:rFonts w:hint="eastAsia" w:ascii="宋体" w:hAnsi="宋体" w:eastAsia="宋体" w:cs="宋体"/>
          <w:spacing w:val="18"/>
          <w:sz w:val="23"/>
          <w:szCs w:val="23"/>
        </w:rPr>
        <w:t>(四</w:t>
      </w:r>
      <w:r>
        <w:rPr>
          <w:rFonts w:hint="eastAsia" w:ascii="宋体" w:hAnsi="宋体" w:eastAsia="宋体" w:cs="宋体"/>
          <w:spacing w:val="17"/>
          <w:sz w:val="23"/>
          <w:szCs w:val="23"/>
        </w:rPr>
        <w:t>)</w:t>
      </w:r>
      <w:r>
        <w:rPr>
          <w:rFonts w:hint="eastAsia" w:ascii="宋体" w:hAnsi="宋体" w:eastAsia="宋体" w:cs="宋体"/>
          <w:spacing w:val="9"/>
          <w:sz w:val="23"/>
          <w:szCs w:val="23"/>
        </w:rPr>
        <w:t xml:space="preserve"> 通过银行等金融机构向安置的每位残疾人，按月支付了不低于单位所在区</w:t>
      </w:r>
      <w:r>
        <w:rPr>
          <w:rFonts w:hint="eastAsia" w:ascii="宋体" w:hAnsi="宋体" w:eastAsia="宋体" w:cs="宋体"/>
          <w:spacing w:val="13"/>
          <w:sz w:val="23"/>
          <w:szCs w:val="23"/>
        </w:rPr>
        <w:t>县</w:t>
      </w:r>
      <w:r>
        <w:rPr>
          <w:rFonts w:hint="eastAsia" w:ascii="宋体" w:hAnsi="宋体" w:eastAsia="宋体" w:cs="宋体"/>
          <w:spacing w:val="9"/>
          <w:sz w:val="23"/>
          <w:szCs w:val="23"/>
        </w:rPr>
        <w:t>适用的经省级人民政府批准的月最低工资标准的工资；</w:t>
      </w:r>
    </w:p>
    <w:p w14:paraId="1DA13CE3">
      <w:pPr>
        <w:spacing w:before="206" w:line="337" w:lineRule="auto"/>
        <w:ind w:left="23" w:right="80" w:firstLine="11"/>
        <w:rPr>
          <w:rFonts w:hint="eastAsia" w:ascii="宋体" w:hAnsi="宋体" w:eastAsia="宋体" w:cs="宋体"/>
          <w:sz w:val="23"/>
          <w:szCs w:val="23"/>
        </w:rPr>
      </w:pPr>
      <w:r>
        <w:rPr>
          <w:rFonts w:hint="eastAsia" w:ascii="宋体" w:hAnsi="宋体" w:eastAsia="宋体" w:cs="宋体"/>
          <w:spacing w:val="17"/>
          <w:sz w:val="23"/>
          <w:szCs w:val="23"/>
        </w:rPr>
        <w:t>(</w:t>
      </w:r>
      <w:r>
        <w:rPr>
          <w:rFonts w:hint="eastAsia" w:ascii="宋体" w:hAnsi="宋体" w:eastAsia="宋体" w:cs="宋体"/>
          <w:spacing w:val="9"/>
          <w:sz w:val="23"/>
          <w:szCs w:val="23"/>
        </w:rPr>
        <w:t>五) 提供本单位制造的货物、承担的工程或者服务 (以下简称产品) ，或者提</w:t>
      </w:r>
      <w:r>
        <w:rPr>
          <w:rFonts w:hint="eastAsia" w:ascii="宋体" w:hAnsi="宋体" w:eastAsia="宋体" w:cs="宋体"/>
          <w:sz w:val="23"/>
          <w:szCs w:val="23"/>
        </w:rPr>
        <w:t xml:space="preserve"> </w:t>
      </w:r>
      <w:r>
        <w:rPr>
          <w:rFonts w:hint="eastAsia" w:ascii="宋体" w:hAnsi="宋体" w:eastAsia="宋体" w:cs="宋体"/>
          <w:spacing w:val="20"/>
          <w:sz w:val="23"/>
          <w:szCs w:val="23"/>
        </w:rPr>
        <w:t>供</w:t>
      </w:r>
      <w:r>
        <w:rPr>
          <w:rFonts w:hint="eastAsia" w:ascii="宋体" w:hAnsi="宋体" w:eastAsia="宋体" w:cs="宋体"/>
          <w:spacing w:val="12"/>
          <w:sz w:val="23"/>
          <w:szCs w:val="23"/>
        </w:rPr>
        <w:t>其</w:t>
      </w:r>
      <w:r>
        <w:rPr>
          <w:rFonts w:hint="eastAsia" w:ascii="宋体" w:hAnsi="宋体" w:eastAsia="宋体" w:cs="宋体"/>
          <w:spacing w:val="10"/>
          <w:sz w:val="23"/>
          <w:szCs w:val="23"/>
        </w:rPr>
        <w:t>他残疾人福利性单位制造的货物(不包括使用非残疾人福利性单位注册商标</w:t>
      </w:r>
      <w:r>
        <w:rPr>
          <w:rFonts w:hint="eastAsia" w:ascii="宋体" w:hAnsi="宋体" w:eastAsia="宋体" w:cs="宋体"/>
          <w:sz w:val="23"/>
          <w:szCs w:val="23"/>
        </w:rPr>
        <w:t xml:space="preserve"> </w:t>
      </w:r>
      <w:r>
        <w:rPr>
          <w:rFonts w:hint="eastAsia" w:ascii="宋体" w:hAnsi="宋体" w:eastAsia="宋体" w:cs="宋体"/>
          <w:spacing w:val="7"/>
          <w:sz w:val="23"/>
          <w:szCs w:val="23"/>
        </w:rPr>
        <w:t>的</w:t>
      </w:r>
      <w:r>
        <w:rPr>
          <w:rFonts w:hint="eastAsia" w:ascii="宋体" w:hAnsi="宋体" w:eastAsia="宋体" w:cs="宋体"/>
          <w:spacing w:val="5"/>
          <w:sz w:val="23"/>
          <w:szCs w:val="23"/>
        </w:rPr>
        <w:t>货物) 。</w:t>
      </w:r>
    </w:p>
    <w:p w14:paraId="1E16AE51">
      <w:pPr>
        <w:spacing w:before="204" w:line="393" w:lineRule="auto"/>
        <w:ind w:left="24" w:right="80" w:firstLine="2"/>
        <w:rPr>
          <w:rFonts w:hint="eastAsia" w:ascii="宋体" w:hAnsi="宋体" w:eastAsia="宋体" w:cs="宋体"/>
          <w:sz w:val="23"/>
          <w:szCs w:val="23"/>
        </w:rPr>
      </w:pPr>
      <w:r>
        <w:rPr>
          <w:rFonts w:hint="eastAsia" w:ascii="宋体" w:hAnsi="宋体" w:eastAsia="宋体" w:cs="宋体"/>
          <w:spacing w:val="1"/>
          <w:sz w:val="23"/>
          <w:szCs w:val="23"/>
        </w:rPr>
        <w:t>前款所称残疾人是指法定劳动</w:t>
      </w:r>
      <w:r>
        <w:rPr>
          <w:rFonts w:hint="eastAsia" w:ascii="宋体" w:hAnsi="宋体" w:eastAsia="宋体" w:cs="宋体"/>
          <w:sz w:val="23"/>
          <w:szCs w:val="23"/>
        </w:rPr>
        <w:t xml:space="preserve">年龄内，持有《中华人民共和国残疾人证》或者《中 </w:t>
      </w:r>
      <w:r>
        <w:rPr>
          <w:rFonts w:hint="eastAsia" w:ascii="宋体" w:hAnsi="宋体" w:eastAsia="宋体" w:cs="宋体"/>
          <w:spacing w:val="12"/>
          <w:sz w:val="23"/>
          <w:szCs w:val="23"/>
        </w:rPr>
        <w:t>华人</w:t>
      </w:r>
      <w:r>
        <w:rPr>
          <w:rFonts w:hint="eastAsia" w:ascii="宋体" w:hAnsi="宋体" w:eastAsia="宋体" w:cs="宋体"/>
          <w:spacing w:val="6"/>
          <w:sz w:val="23"/>
          <w:szCs w:val="23"/>
        </w:rPr>
        <w:t>民共和国残疾军人证 (1至 8 级) 》的自然人，包括具有劳动条件和劳动意</w:t>
      </w:r>
      <w:r>
        <w:rPr>
          <w:rFonts w:hint="eastAsia" w:ascii="宋体" w:hAnsi="宋体" w:eastAsia="宋体" w:cs="宋体"/>
          <w:sz w:val="23"/>
          <w:szCs w:val="23"/>
        </w:rPr>
        <w:t xml:space="preserve"> </w:t>
      </w:r>
      <w:r>
        <w:rPr>
          <w:rFonts w:hint="eastAsia" w:ascii="宋体" w:hAnsi="宋体" w:eastAsia="宋体" w:cs="宋体"/>
          <w:spacing w:val="8"/>
          <w:sz w:val="23"/>
          <w:szCs w:val="23"/>
        </w:rPr>
        <w:t>愿</w:t>
      </w:r>
      <w:r>
        <w:rPr>
          <w:rFonts w:hint="eastAsia" w:ascii="宋体" w:hAnsi="宋体" w:eastAsia="宋体" w:cs="宋体"/>
          <w:spacing w:val="7"/>
          <w:sz w:val="23"/>
          <w:szCs w:val="23"/>
        </w:rPr>
        <w:t>的精神残疾人。在职职工人数是指与残疾人福利性单位建立劳动关系并依法签</w:t>
      </w:r>
      <w:r>
        <w:rPr>
          <w:rFonts w:hint="eastAsia" w:ascii="宋体" w:hAnsi="宋体" w:eastAsia="宋体" w:cs="宋体"/>
          <w:sz w:val="23"/>
          <w:szCs w:val="23"/>
        </w:rPr>
        <w:t xml:space="preserve"> </w:t>
      </w:r>
      <w:r>
        <w:rPr>
          <w:rFonts w:hint="eastAsia" w:ascii="宋体" w:hAnsi="宋体" w:eastAsia="宋体" w:cs="宋体"/>
          <w:spacing w:val="9"/>
          <w:sz w:val="23"/>
          <w:szCs w:val="23"/>
        </w:rPr>
        <w:t>订劳动合同或者服务协议的雇员人数</w:t>
      </w:r>
      <w:r>
        <w:rPr>
          <w:rFonts w:hint="eastAsia" w:ascii="宋体" w:hAnsi="宋体" w:eastAsia="宋体" w:cs="宋体"/>
          <w:spacing w:val="5"/>
          <w:sz w:val="23"/>
          <w:szCs w:val="23"/>
        </w:rPr>
        <w:t>。</w:t>
      </w:r>
    </w:p>
    <w:p w14:paraId="7E680E37">
      <w:pPr>
        <w:spacing w:before="3" w:line="392" w:lineRule="auto"/>
        <w:ind w:left="26" w:right="80"/>
        <w:rPr>
          <w:rFonts w:hint="eastAsia" w:ascii="宋体" w:hAnsi="宋体" w:eastAsia="宋体" w:cs="宋体"/>
          <w:sz w:val="23"/>
          <w:szCs w:val="23"/>
        </w:rPr>
      </w:pPr>
      <w:r>
        <w:rPr>
          <w:rFonts w:hint="eastAsia" w:ascii="宋体" w:hAnsi="宋体" w:eastAsia="宋体" w:cs="宋体"/>
          <w:spacing w:val="7"/>
          <w:sz w:val="23"/>
          <w:szCs w:val="23"/>
        </w:rPr>
        <w:t>二、符合条件的残疾人福利性单位在参加政府采购活动时，应当提供本通知规</w:t>
      </w:r>
      <w:r>
        <w:rPr>
          <w:rFonts w:hint="eastAsia" w:ascii="宋体" w:hAnsi="宋体" w:eastAsia="宋体" w:cs="宋体"/>
          <w:spacing w:val="5"/>
          <w:sz w:val="23"/>
          <w:szCs w:val="23"/>
        </w:rPr>
        <w:t>定</w:t>
      </w:r>
      <w:r>
        <w:rPr>
          <w:rFonts w:hint="eastAsia" w:ascii="宋体" w:hAnsi="宋体" w:eastAsia="宋体" w:cs="宋体"/>
          <w:sz w:val="23"/>
          <w:szCs w:val="23"/>
        </w:rPr>
        <w:t xml:space="preserve"> </w:t>
      </w:r>
      <w:r>
        <w:rPr>
          <w:rFonts w:hint="eastAsia" w:ascii="宋体" w:hAnsi="宋体" w:eastAsia="宋体" w:cs="宋体"/>
          <w:spacing w:val="6"/>
          <w:sz w:val="23"/>
          <w:szCs w:val="23"/>
        </w:rPr>
        <w:t>的《残疾人</w:t>
      </w:r>
      <w:r>
        <w:rPr>
          <w:rFonts w:hint="eastAsia" w:ascii="宋体" w:hAnsi="宋体" w:eastAsia="宋体" w:cs="宋体"/>
          <w:spacing w:val="3"/>
          <w:sz w:val="23"/>
          <w:szCs w:val="23"/>
        </w:rPr>
        <w:t>福利性单位声明函》  (见附件) ，并对声明的真实性负责。任何单位</w:t>
      </w:r>
      <w:r>
        <w:rPr>
          <w:rFonts w:hint="eastAsia" w:ascii="宋体" w:hAnsi="宋体" w:eastAsia="宋体" w:cs="宋体"/>
          <w:sz w:val="23"/>
          <w:szCs w:val="23"/>
        </w:rPr>
        <w:t xml:space="preserve"> </w:t>
      </w:r>
      <w:r>
        <w:rPr>
          <w:rFonts w:hint="eastAsia" w:ascii="宋体" w:hAnsi="宋体" w:eastAsia="宋体" w:cs="宋体"/>
          <w:spacing w:val="14"/>
          <w:sz w:val="23"/>
          <w:szCs w:val="23"/>
        </w:rPr>
        <w:t>或者个人在政府采购活动中均不得要求残疾人福利性单位提供其他证明声明</w:t>
      </w:r>
      <w:r>
        <w:rPr>
          <w:rFonts w:hint="eastAsia" w:ascii="宋体" w:hAnsi="宋体" w:eastAsia="宋体" w:cs="宋体"/>
          <w:spacing w:val="12"/>
          <w:sz w:val="23"/>
          <w:szCs w:val="23"/>
        </w:rPr>
        <w:t>函</w:t>
      </w:r>
      <w:r>
        <w:rPr>
          <w:rFonts w:hint="eastAsia" w:ascii="宋体" w:hAnsi="宋体" w:eastAsia="宋体" w:cs="宋体"/>
          <w:sz w:val="23"/>
          <w:szCs w:val="23"/>
        </w:rPr>
        <w:t xml:space="preserve"> </w:t>
      </w:r>
      <w:r>
        <w:rPr>
          <w:rFonts w:hint="eastAsia" w:ascii="宋体" w:hAnsi="宋体" w:eastAsia="宋体" w:cs="宋体"/>
          <w:spacing w:val="7"/>
          <w:sz w:val="23"/>
          <w:szCs w:val="23"/>
        </w:rPr>
        <w:t>内</w:t>
      </w:r>
      <w:r>
        <w:rPr>
          <w:rFonts w:hint="eastAsia" w:ascii="宋体" w:hAnsi="宋体" w:eastAsia="宋体" w:cs="宋体"/>
          <w:spacing w:val="6"/>
          <w:sz w:val="23"/>
          <w:szCs w:val="23"/>
        </w:rPr>
        <w:t>容的材料。</w:t>
      </w:r>
    </w:p>
    <w:p w14:paraId="6CBF035E">
      <w:pPr>
        <w:spacing w:before="3" w:line="392" w:lineRule="auto"/>
        <w:ind w:left="23" w:firstLine="22"/>
        <w:rPr>
          <w:rFonts w:hint="eastAsia" w:ascii="宋体" w:hAnsi="宋体" w:eastAsia="宋体" w:cs="宋体"/>
          <w:sz w:val="23"/>
          <w:szCs w:val="23"/>
        </w:rPr>
      </w:pPr>
      <w:r>
        <w:rPr>
          <w:rFonts w:hint="eastAsia" w:ascii="宋体" w:hAnsi="宋体" w:eastAsia="宋体" w:cs="宋体"/>
          <w:spacing w:val="12"/>
          <w:sz w:val="23"/>
          <w:szCs w:val="23"/>
        </w:rPr>
        <w:t>中标</w:t>
      </w:r>
      <w:r>
        <w:rPr>
          <w:rFonts w:hint="eastAsia" w:ascii="宋体" w:hAnsi="宋体" w:eastAsia="宋体" w:cs="宋体"/>
          <w:spacing w:val="8"/>
          <w:sz w:val="23"/>
          <w:szCs w:val="23"/>
        </w:rPr>
        <w:t>、</w:t>
      </w:r>
      <w:r>
        <w:rPr>
          <w:rFonts w:hint="eastAsia" w:ascii="宋体" w:hAnsi="宋体" w:eastAsia="宋体" w:cs="宋体"/>
          <w:spacing w:val="6"/>
          <w:sz w:val="23"/>
          <w:szCs w:val="23"/>
        </w:rPr>
        <w:t>成交供应商为残疾人福利性单位的，采购人或者其委托的采购代理机构应</w:t>
      </w:r>
      <w:r>
        <w:rPr>
          <w:rFonts w:hint="eastAsia" w:ascii="宋体" w:hAnsi="宋体" w:eastAsia="宋体" w:cs="宋体"/>
          <w:sz w:val="23"/>
          <w:szCs w:val="23"/>
        </w:rPr>
        <w:t xml:space="preserve"> </w:t>
      </w:r>
      <w:r>
        <w:rPr>
          <w:rFonts w:hint="eastAsia" w:ascii="宋体" w:hAnsi="宋体" w:eastAsia="宋体" w:cs="宋体"/>
          <w:spacing w:val="18"/>
          <w:sz w:val="23"/>
          <w:szCs w:val="23"/>
        </w:rPr>
        <w:t>当</w:t>
      </w:r>
      <w:r>
        <w:rPr>
          <w:rFonts w:hint="eastAsia" w:ascii="宋体" w:hAnsi="宋体" w:eastAsia="宋体" w:cs="宋体"/>
          <w:spacing w:val="11"/>
          <w:sz w:val="23"/>
          <w:szCs w:val="23"/>
        </w:rPr>
        <w:t>随</w:t>
      </w:r>
      <w:r>
        <w:rPr>
          <w:rFonts w:hint="eastAsia" w:ascii="宋体" w:hAnsi="宋体" w:eastAsia="宋体" w:cs="宋体"/>
          <w:spacing w:val="9"/>
          <w:sz w:val="23"/>
          <w:szCs w:val="23"/>
        </w:rPr>
        <w:t>中标、成交结果同时公告其《残疾人福利性单位声明函》，接受社会监督。</w:t>
      </w:r>
      <w:r>
        <w:rPr>
          <w:rFonts w:hint="eastAsia" w:ascii="宋体" w:hAnsi="宋体" w:eastAsia="宋体" w:cs="宋体"/>
          <w:sz w:val="23"/>
          <w:szCs w:val="23"/>
        </w:rPr>
        <w:t xml:space="preserve"> </w:t>
      </w:r>
      <w:r>
        <w:rPr>
          <w:rFonts w:hint="eastAsia" w:ascii="宋体" w:hAnsi="宋体" w:eastAsia="宋体" w:cs="宋体"/>
          <w:spacing w:val="18"/>
          <w:sz w:val="23"/>
          <w:szCs w:val="23"/>
        </w:rPr>
        <w:t>供</w:t>
      </w:r>
      <w:r>
        <w:rPr>
          <w:rFonts w:hint="eastAsia" w:ascii="宋体" w:hAnsi="宋体" w:eastAsia="宋体" w:cs="宋体"/>
          <w:spacing w:val="11"/>
          <w:sz w:val="23"/>
          <w:szCs w:val="23"/>
        </w:rPr>
        <w:t>应</w:t>
      </w:r>
      <w:r>
        <w:rPr>
          <w:rFonts w:hint="eastAsia" w:ascii="宋体" w:hAnsi="宋体" w:eastAsia="宋体" w:cs="宋体"/>
          <w:spacing w:val="9"/>
          <w:sz w:val="23"/>
          <w:szCs w:val="23"/>
        </w:rPr>
        <w:t>商提供的《残疾人福利性单位声明函》与事实不符的，依照《政府采购法》</w:t>
      </w:r>
      <w:r>
        <w:rPr>
          <w:rFonts w:hint="eastAsia" w:ascii="宋体" w:hAnsi="宋体" w:eastAsia="宋体" w:cs="宋体"/>
          <w:sz w:val="23"/>
          <w:szCs w:val="23"/>
        </w:rPr>
        <w:t xml:space="preserve"> </w:t>
      </w:r>
      <w:r>
        <w:rPr>
          <w:rFonts w:hint="eastAsia" w:ascii="宋体" w:hAnsi="宋体" w:eastAsia="宋体" w:cs="宋体"/>
          <w:spacing w:val="9"/>
          <w:sz w:val="23"/>
          <w:szCs w:val="23"/>
        </w:rPr>
        <w:t>第七十七条第一款的规定追究法律责任</w:t>
      </w:r>
      <w:r>
        <w:rPr>
          <w:rFonts w:hint="eastAsia" w:ascii="宋体" w:hAnsi="宋体" w:eastAsia="宋体" w:cs="宋体"/>
          <w:spacing w:val="7"/>
          <w:sz w:val="23"/>
          <w:szCs w:val="23"/>
        </w:rPr>
        <w:t>。</w:t>
      </w:r>
    </w:p>
    <w:p w14:paraId="037B2D7E">
      <w:pPr>
        <w:spacing w:before="4" w:line="351" w:lineRule="auto"/>
        <w:ind w:left="22"/>
        <w:rPr>
          <w:rFonts w:hint="eastAsia" w:ascii="宋体" w:hAnsi="宋体" w:eastAsia="宋体" w:cs="宋体"/>
          <w:sz w:val="23"/>
          <w:szCs w:val="23"/>
        </w:rPr>
      </w:pPr>
      <w:r>
        <w:rPr>
          <w:rFonts w:hint="eastAsia" w:ascii="宋体" w:hAnsi="宋体" w:eastAsia="宋体" w:cs="宋体"/>
          <w:spacing w:val="4"/>
          <w:sz w:val="23"/>
          <w:szCs w:val="23"/>
        </w:rPr>
        <w:t>三、在政府采购活动中，残</w:t>
      </w:r>
      <w:r>
        <w:rPr>
          <w:rFonts w:hint="eastAsia" w:ascii="宋体" w:hAnsi="宋体" w:eastAsia="宋体" w:cs="宋体"/>
          <w:spacing w:val="3"/>
          <w:sz w:val="23"/>
          <w:szCs w:val="23"/>
        </w:rPr>
        <w:t>疾</w:t>
      </w:r>
      <w:r>
        <w:rPr>
          <w:rFonts w:hint="eastAsia" w:ascii="宋体" w:hAnsi="宋体" w:eastAsia="宋体" w:cs="宋体"/>
          <w:spacing w:val="2"/>
          <w:sz w:val="23"/>
          <w:szCs w:val="23"/>
        </w:rPr>
        <w:t>人福利性单位视同小型、微型企业，享受预留份额、</w:t>
      </w:r>
      <w:r>
        <w:rPr>
          <w:rFonts w:hint="eastAsia" w:ascii="宋体" w:hAnsi="宋体" w:eastAsia="宋体" w:cs="宋体"/>
          <w:sz w:val="23"/>
          <w:szCs w:val="23"/>
        </w:rPr>
        <w:t xml:space="preserve"> </w:t>
      </w:r>
      <w:r>
        <w:rPr>
          <w:rFonts w:hint="eastAsia" w:ascii="宋体" w:hAnsi="宋体" w:eastAsia="宋体" w:cs="宋体"/>
          <w:spacing w:val="9"/>
          <w:sz w:val="23"/>
          <w:szCs w:val="23"/>
        </w:rPr>
        <w:t>评</w:t>
      </w:r>
      <w:r>
        <w:rPr>
          <w:rFonts w:hint="eastAsia" w:ascii="宋体" w:hAnsi="宋体" w:eastAsia="宋体" w:cs="宋体"/>
          <w:spacing w:val="7"/>
          <w:sz w:val="23"/>
          <w:szCs w:val="23"/>
        </w:rPr>
        <w:t>审中价格扣除等促进中小企业发展的政府采购政策。向残疾人福利性单位采购</w:t>
      </w:r>
      <w:r>
        <w:rPr>
          <w:rFonts w:hint="eastAsia" w:ascii="宋体" w:hAnsi="宋体" w:eastAsia="宋体" w:cs="宋体"/>
          <w:sz w:val="23"/>
          <w:szCs w:val="23"/>
        </w:rPr>
        <w:t xml:space="preserve"> </w:t>
      </w:r>
      <w:r>
        <w:rPr>
          <w:rFonts w:hint="eastAsia" w:ascii="宋体" w:hAnsi="宋体" w:eastAsia="宋体" w:cs="宋体"/>
          <w:spacing w:val="9"/>
          <w:sz w:val="23"/>
          <w:szCs w:val="23"/>
        </w:rPr>
        <w:t>的</w:t>
      </w:r>
      <w:r>
        <w:rPr>
          <w:rFonts w:hint="eastAsia" w:ascii="宋体" w:hAnsi="宋体" w:eastAsia="宋体" w:cs="宋体"/>
          <w:spacing w:val="7"/>
          <w:sz w:val="23"/>
          <w:szCs w:val="23"/>
        </w:rPr>
        <w:t>金额，计入面向中小企业采购的统计数据。残疾人福利性单位属于小型、微型</w:t>
      </w:r>
      <w:r>
        <w:rPr>
          <w:rFonts w:hint="eastAsia" w:ascii="宋体" w:hAnsi="宋体" w:eastAsia="宋体" w:cs="宋体"/>
          <w:sz w:val="23"/>
          <w:szCs w:val="23"/>
        </w:rPr>
        <w:t xml:space="preserve"> </w:t>
      </w:r>
      <w:r>
        <w:rPr>
          <w:rFonts w:hint="eastAsia" w:ascii="宋体" w:hAnsi="宋体" w:eastAsia="宋体" w:cs="宋体"/>
          <w:spacing w:val="13"/>
          <w:sz w:val="23"/>
          <w:szCs w:val="23"/>
        </w:rPr>
        <w:t>企</w:t>
      </w:r>
      <w:r>
        <w:rPr>
          <w:rFonts w:hint="eastAsia" w:ascii="宋体" w:hAnsi="宋体" w:eastAsia="宋体" w:cs="宋体"/>
          <w:spacing w:val="8"/>
          <w:sz w:val="23"/>
          <w:szCs w:val="23"/>
        </w:rPr>
        <w:t>业的，不重复享受政策。</w:t>
      </w:r>
    </w:p>
    <w:p w14:paraId="5C181064">
      <w:pPr>
        <w:spacing w:before="201" w:line="311" w:lineRule="auto"/>
        <w:ind w:left="22" w:right="80" w:firstLine="23"/>
        <w:rPr>
          <w:rFonts w:hint="eastAsia" w:ascii="宋体" w:hAnsi="宋体" w:eastAsia="宋体" w:cs="宋体"/>
          <w:sz w:val="23"/>
          <w:szCs w:val="23"/>
        </w:rPr>
      </w:pPr>
      <w:r>
        <w:rPr>
          <w:rFonts w:hint="eastAsia" w:ascii="宋体" w:hAnsi="宋体" w:eastAsia="宋体" w:cs="宋体"/>
          <w:spacing w:val="12"/>
          <w:sz w:val="23"/>
          <w:szCs w:val="23"/>
        </w:rPr>
        <w:t>四、</w:t>
      </w:r>
      <w:r>
        <w:rPr>
          <w:rFonts w:hint="eastAsia" w:ascii="宋体" w:hAnsi="宋体" w:eastAsia="宋体" w:cs="宋体"/>
          <w:spacing w:val="8"/>
          <w:sz w:val="23"/>
          <w:szCs w:val="23"/>
        </w:rPr>
        <w:t>采</w:t>
      </w:r>
      <w:r>
        <w:rPr>
          <w:rFonts w:hint="eastAsia" w:ascii="宋体" w:hAnsi="宋体" w:eastAsia="宋体" w:cs="宋体"/>
          <w:spacing w:val="6"/>
          <w:sz w:val="23"/>
          <w:szCs w:val="23"/>
        </w:rPr>
        <w:t>购人采购公开招标数额标准以上的货物或者服务，因落实促进残疾人就业</w:t>
      </w:r>
      <w:r>
        <w:rPr>
          <w:rFonts w:hint="eastAsia" w:ascii="宋体" w:hAnsi="宋体" w:eastAsia="宋体" w:cs="宋体"/>
          <w:sz w:val="23"/>
          <w:szCs w:val="23"/>
        </w:rPr>
        <w:t xml:space="preserve"> </w:t>
      </w:r>
      <w:r>
        <w:rPr>
          <w:rFonts w:hint="eastAsia" w:ascii="宋体" w:hAnsi="宋体" w:eastAsia="宋体" w:cs="宋体"/>
          <w:spacing w:val="18"/>
          <w:sz w:val="23"/>
          <w:szCs w:val="23"/>
        </w:rPr>
        <w:t>政</w:t>
      </w:r>
      <w:r>
        <w:rPr>
          <w:rFonts w:hint="eastAsia" w:ascii="宋体" w:hAnsi="宋体" w:eastAsia="宋体" w:cs="宋体"/>
          <w:spacing w:val="14"/>
          <w:sz w:val="23"/>
          <w:szCs w:val="23"/>
        </w:rPr>
        <w:t>策</w:t>
      </w:r>
      <w:r>
        <w:rPr>
          <w:rFonts w:hint="eastAsia" w:ascii="宋体" w:hAnsi="宋体" w:eastAsia="宋体" w:cs="宋体"/>
          <w:spacing w:val="9"/>
          <w:sz w:val="23"/>
          <w:szCs w:val="23"/>
        </w:rPr>
        <w:t>的需要，依法履行有关报批程序后，可采用公开招标以外的采购方式。</w:t>
      </w:r>
    </w:p>
    <w:p w14:paraId="55542627">
      <w:pPr>
        <w:spacing w:before="202" w:line="353" w:lineRule="auto"/>
        <w:ind w:left="26" w:right="80"/>
        <w:rPr>
          <w:rFonts w:hint="eastAsia" w:ascii="宋体" w:hAnsi="宋体" w:eastAsia="宋体" w:cs="宋体"/>
          <w:sz w:val="21"/>
        </w:rPr>
      </w:pPr>
      <w:r>
        <w:rPr>
          <w:rFonts w:hint="eastAsia" w:ascii="宋体" w:hAnsi="宋体" w:eastAsia="宋体" w:cs="宋体"/>
          <w:spacing w:val="7"/>
          <w:sz w:val="23"/>
          <w:szCs w:val="23"/>
        </w:rPr>
        <w:t>五、对于满足要求的残疾人福利性单位产品，集中采购机构可直接纳入协议供</w:t>
      </w:r>
      <w:r>
        <w:rPr>
          <w:rFonts w:hint="eastAsia" w:ascii="宋体" w:hAnsi="宋体" w:eastAsia="宋体" w:cs="宋体"/>
          <w:spacing w:val="5"/>
          <w:sz w:val="23"/>
          <w:szCs w:val="23"/>
        </w:rPr>
        <w:t>货</w:t>
      </w:r>
      <w:r>
        <w:rPr>
          <w:rFonts w:hint="eastAsia" w:ascii="宋体" w:hAnsi="宋体" w:eastAsia="宋体" w:cs="宋体"/>
          <w:sz w:val="23"/>
          <w:szCs w:val="23"/>
        </w:rPr>
        <w:t xml:space="preserve"> </w:t>
      </w:r>
      <w:r>
        <w:rPr>
          <w:rFonts w:hint="eastAsia" w:ascii="宋体" w:hAnsi="宋体" w:eastAsia="宋体" w:cs="宋体"/>
          <w:spacing w:val="7"/>
          <w:sz w:val="23"/>
          <w:szCs w:val="23"/>
        </w:rPr>
        <w:t>或者定点采购范围。各地区建设的政府采购电子卖场、电子商城、网上超市等</w:t>
      </w:r>
      <w:r>
        <w:rPr>
          <w:rFonts w:hint="eastAsia" w:ascii="宋体" w:hAnsi="宋体" w:eastAsia="宋体" w:cs="宋体"/>
          <w:spacing w:val="6"/>
          <w:sz w:val="23"/>
          <w:szCs w:val="23"/>
        </w:rPr>
        <w:t>应</w:t>
      </w:r>
      <w:r>
        <w:rPr>
          <w:rFonts w:hint="eastAsia" w:ascii="宋体" w:hAnsi="宋体" w:eastAsia="宋体" w:cs="宋体"/>
          <w:sz w:val="23"/>
          <w:szCs w:val="23"/>
        </w:rPr>
        <w:t xml:space="preserve"> </w:t>
      </w:r>
      <w:r>
        <w:rPr>
          <w:rFonts w:hint="eastAsia" w:ascii="宋体" w:hAnsi="宋体" w:eastAsia="宋体" w:cs="宋体"/>
          <w:spacing w:val="7"/>
          <w:sz w:val="23"/>
          <w:szCs w:val="23"/>
        </w:rPr>
        <w:t>当设立残疾人福利性单位产品专栏。鼓励采购人优先选择残疾人福利性单位的</w:t>
      </w:r>
      <w:r>
        <w:rPr>
          <w:rFonts w:hint="eastAsia" w:ascii="宋体" w:hAnsi="宋体" w:eastAsia="宋体" w:cs="宋体"/>
          <w:spacing w:val="6"/>
          <w:sz w:val="23"/>
          <w:szCs w:val="23"/>
        </w:rPr>
        <w:t>产</w:t>
      </w:r>
      <w:r>
        <w:rPr>
          <w:rFonts w:hint="eastAsia" w:ascii="宋体" w:hAnsi="宋体" w:eastAsia="宋体" w:cs="宋体"/>
          <w:sz w:val="23"/>
          <w:szCs w:val="23"/>
        </w:rPr>
        <w:t xml:space="preserve"> </w:t>
      </w:r>
      <w:r>
        <w:rPr>
          <w:rFonts w:hint="eastAsia" w:ascii="宋体" w:hAnsi="宋体" w:eastAsia="宋体" w:cs="宋体"/>
          <w:spacing w:val="-2"/>
          <w:sz w:val="23"/>
          <w:szCs w:val="23"/>
        </w:rPr>
        <w:t>品</w:t>
      </w:r>
      <w:r>
        <w:rPr>
          <w:rFonts w:hint="eastAsia" w:ascii="宋体" w:hAnsi="宋体" w:eastAsia="宋体" w:cs="宋体"/>
          <w:spacing w:val="-1"/>
          <w:sz w:val="23"/>
          <w:szCs w:val="23"/>
        </w:rPr>
        <w:t>。</w:t>
      </w:r>
    </w:p>
    <w:p w14:paraId="43D99935">
      <w:pPr>
        <w:spacing w:before="75" w:line="338" w:lineRule="auto"/>
        <w:ind w:left="23" w:right="13" w:firstLine="1"/>
        <w:rPr>
          <w:rFonts w:hint="eastAsia" w:ascii="宋体" w:hAnsi="宋体" w:eastAsia="宋体" w:cs="宋体"/>
          <w:sz w:val="23"/>
          <w:szCs w:val="23"/>
        </w:rPr>
      </w:pPr>
      <w:r>
        <w:rPr>
          <w:rFonts w:hint="eastAsia" w:ascii="宋体" w:hAnsi="宋体" w:eastAsia="宋体" w:cs="宋体"/>
          <w:spacing w:val="7"/>
          <w:sz w:val="23"/>
          <w:szCs w:val="23"/>
        </w:rPr>
        <w:t>六、省级财政部门可以结合本地区残疾人生产、经营的实际情况，细化政府采购</w:t>
      </w:r>
      <w:r>
        <w:rPr>
          <w:rFonts w:hint="eastAsia" w:ascii="宋体" w:hAnsi="宋体" w:eastAsia="宋体" w:cs="宋体"/>
          <w:sz w:val="23"/>
          <w:szCs w:val="23"/>
        </w:rPr>
        <w:t xml:space="preserve"> </w:t>
      </w:r>
      <w:r>
        <w:rPr>
          <w:rFonts w:hint="eastAsia" w:ascii="宋体" w:hAnsi="宋体" w:eastAsia="宋体" w:cs="宋体"/>
          <w:spacing w:val="9"/>
          <w:sz w:val="23"/>
          <w:szCs w:val="23"/>
        </w:rPr>
        <w:t>支</w:t>
      </w:r>
      <w:r>
        <w:rPr>
          <w:rFonts w:hint="eastAsia" w:ascii="宋体" w:hAnsi="宋体" w:eastAsia="宋体" w:cs="宋体"/>
          <w:spacing w:val="7"/>
          <w:sz w:val="23"/>
          <w:szCs w:val="23"/>
        </w:rPr>
        <w:t>持措施。对符合国家有关部门规定条件的残疾人辅助性就业机构，可通过上述</w:t>
      </w:r>
      <w:r>
        <w:rPr>
          <w:rFonts w:hint="eastAsia" w:ascii="宋体" w:hAnsi="宋体" w:eastAsia="宋体" w:cs="宋体"/>
          <w:sz w:val="23"/>
          <w:szCs w:val="23"/>
        </w:rPr>
        <w:t xml:space="preserve"> </w:t>
      </w:r>
      <w:r>
        <w:rPr>
          <w:rFonts w:hint="eastAsia" w:ascii="宋体" w:hAnsi="宋体" w:eastAsia="宋体" w:cs="宋体"/>
          <w:spacing w:val="14"/>
          <w:sz w:val="23"/>
          <w:szCs w:val="23"/>
        </w:rPr>
        <w:t>措</w:t>
      </w:r>
      <w:r>
        <w:rPr>
          <w:rFonts w:hint="eastAsia" w:ascii="宋体" w:hAnsi="宋体" w:eastAsia="宋体" w:cs="宋体"/>
          <w:spacing w:val="9"/>
          <w:sz w:val="23"/>
          <w:szCs w:val="23"/>
        </w:rPr>
        <w:t>施予以支持。各地制定的有关文件应当报财政部备案。</w:t>
      </w:r>
    </w:p>
    <w:p w14:paraId="2D4F1EEB">
      <w:pPr>
        <w:spacing w:before="206" w:line="227" w:lineRule="auto"/>
        <w:ind w:left="22"/>
        <w:rPr>
          <w:rFonts w:hint="eastAsia" w:ascii="宋体" w:hAnsi="宋体" w:eastAsia="宋体" w:cs="宋体"/>
          <w:sz w:val="23"/>
          <w:szCs w:val="23"/>
        </w:rPr>
      </w:pPr>
      <w:r>
        <w:rPr>
          <w:rFonts w:hint="eastAsia" w:ascii="宋体" w:hAnsi="宋体" w:eastAsia="宋体" w:cs="宋体"/>
          <w:spacing w:val="-9"/>
          <w:sz w:val="23"/>
          <w:szCs w:val="23"/>
        </w:rPr>
        <w:t>七</w:t>
      </w:r>
      <w:r>
        <w:rPr>
          <w:rFonts w:hint="eastAsia" w:ascii="宋体" w:hAnsi="宋体" w:eastAsia="宋体" w:cs="宋体"/>
          <w:spacing w:val="-7"/>
          <w:sz w:val="23"/>
          <w:szCs w:val="23"/>
        </w:rPr>
        <w:t>、本通知自 2017 年 10 月 1 日起执行。</w:t>
      </w:r>
    </w:p>
    <w:p w14:paraId="28FC394B">
      <w:pPr>
        <w:spacing w:before="203" w:line="490" w:lineRule="exact"/>
        <w:ind w:left="24"/>
        <w:rPr>
          <w:rFonts w:hint="eastAsia" w:ascii="宋体" w:hAnsi="宋体" w:eastAsia="宋体" w:cs="宋体"/>
          <w:sz w:val="23"/>
          <w:szCs w:val="23"/>
        </w:rPr>
      </w:pPr>
      <w:r>
        <w:rPr>
          <w:rFonts w:hint="eastAsia" w:ascii="宋体" w:hAnsi="宋体" w:eastAsia="宋体" w:cs="宋体"/>
          <w:spacing w:val="7"/>
          <w:position w:val="19"/>
          <w:sz w:val="23"/>
          <w:szCs w:val="23"/>
        </w:rPr>
        <w:t>财</w:t>
      </w:r>
      <w:r>
        <w:rPr>
          <w:rFonts w:hint="eastAsia" w:ascii="宋体" w:hAnsi="宋体" w:eastAsia="宋体" w:cs="宋体"/>
          <w:spacing w:val="6"/>
          <w:position w:val="19"/>
          <w:sz w:val="23"/>
          <w:szCs w:val="23"/>
        </w:rPr>
        <w:t>政部</w:t>
      </w:r>
    </w:p>
    <w:p w14:paraId="7817DC94">
      <w:pPr>
        <w:spacing w:line="227" w:lineRule="auto"/>
        <w:ind w:left="46"/>
        <w:rPr>
          <w:rFonts w:hint="eastAsia" w:ascii="宋体" w:hAnsi="宋体" w:eastAsia="宋体" w:cs="宋体"/>
          <w:sz w:val="23"/>
          <w:szCs w:val="23"/>
        </w:rPr>
      </w:pPr>
      <w:r>
        <w:rPr>
          <w:rFonts w:hint="eastAsia" w:ascii="宋体" w:hAnsi="宋体" w:eastAsia="宋体" w:cs="宋体"/>
          <w:spacing w:val="-1"/>
          <w:sz w:val="23"/>
          <w:szCs w:val="23"/>
        </w:rPr>
        <w:t>民政部</w:t>
      </w:r>
    </w:p>
    <w:p w14:paraId="04BDC7E0">
      <w:pPr>
        <w:spacing w:before="206" w:line="489" w:lineRule="exact"/>
        <w:ind w:left="46"/>
        <w:rPr>
          <w:rFonts w:hint="eastAsia" w:ascii="宋体" w:hAnsi="宋体" w:eastAsia="宋体" w:cs="宋体"/>
          <w:sz w:val="23"/>
          <w:szCs w:val="23"/>
        </w:rPr>
      </w:pPr>
      <w:r>
        <w:rPr>
          <w:rFonts w:hint="eastAsia" w:ascii="宋体" w:hAnsi="宋体" w:eastAsia="宋体" w:cs="宋体"/>
          <w:spacing w:val="6"/>
          <w:position w:val="19"/>
          <w:sz w:val="23"/>
          <w:szCs w:val="23"/>
        </w:rPr>
        <w:t>中国残疾人联合会</w:t>
      </w:r>
    </w:p>
    <w:p w14:paraId="368B54E7">
      <w:pPr>
        <w:spacing w:before="1" w:line="227" w:lineRule="auto"/>
        <w:ind w:left="26"/>
        <w:rPr>
          <w:rFonts w:hint="eastAsia" w:ascii="宋体" w:hAnsi="宋体" w:eastAsia="宋体" w:cs="宋体"/>
          <w:sz w:val="23"/>
          <w:szCs w:val="23"/>
        </w:rPr>
      </w:pPr>
      <w:r>
        <w:rPr>
          <w:rFonts w:hint="eastAsia" w:ascii="宋体" w:hAnsi="宋体" w:eastAsia="宋体" w:cs="宋体"/>
          <w:spacing w:val="-14"/>
          <w:sz w:val="23"/>
          <w:szCs w:val="23"/>
        </w:rPr>
        <w:t>2</w:t>
      </w:r>
      <w:r>
        <w:rPr>
          <w:rFonts w:hint="eastAsia" w:ascii="宋体" w:hAnsi="宋体" w:eastAsia="宋体" w:cs="宋体"/>
          <w:spacing w:val="-12"/>
          <w:sz w:val="23"/>
          <w:szCs w:val="23"/>
        </w:rPr>
        <w:t>017 年 9 月 22 日</w:t>
      </w:r>
    </w:p>
    <w:p w14:paraId="128D26F7">
      <w:pPr>
        <w:spacing w:before="204" w:line="227" w:lineRule="auto"/>
        <w:ind w:left="2855"/>
        <w:rPr>
          <w:rFonts w:hint="eastAsia" w:ascii="宋体" w:hAnsi="宋体" w:eastAsia="宋体" w:cs="宋体"/>
          <w:spacing w:val="10"/>
          <w:sz w:val="23"/>
          <w:szCs w:val="23"/>
        </w:rPr>
      </w:pPr>
    </w:p>
    <w:p w14:paraId="6CDF1AFC">
      <w:pPr>
        <w:spacing w:before="204" w:line="227" w:lineRule="auto"/>
        <w:ind w:left="2855"/>
        <w:rPr>
          <w:rFonts w:hint="eastAsia" w:ascii="宋体" w:hAnsi="宋体" w:eastAsia="宋体" w:cs="宋体"/>
          <w:spacing w:val="10"/>
          <w:sz w:val="23"/>
          <w:szCs w:val="23"/>
        </w:rPr>
      </w:pPr>
    </w:p>
    <w:p w14:paraId="6CCE48AC">
      <w:pPr>
        <w:spacing w:before="204" w:line="227" w:lineRule="auto"/>
        <w:ind w:left="2855"/>
        <w:rPr>
          <w:rFonts w:hint="eastAsia" w:ascii="宋体" w:hAnsi="宋体" w:eastAsia="宋体" w:cs="宋体"/>
          <w:spacing w:val="10"/>
          <w:sz w:val="23"/>
          <w:szCs w:val="23"/>
        </w:rPr>
      </w:pPr>
    </w:p>
    <w:p w14:paraId="47E481CC">
      <w:pPr>
        <w:spacing w:before="204" w:line="227" w:lineRule="auto"/>
        <w:ind w:left="2855"/>
        <w:rPr>
          <w:rFonts w:hint="eastAsia" w:ascii="宋体" w:hAnsi="宋体" w:eastAsia="宋体" w:cs="宋体"/>
          <w:spacing w:val="10"/>
          <w:sz w:val="23"/>
          <w:szCs w:val="23"/>
        </w:rPr>
      </w:pPr>
    </w:p>
    <w:p w14:paraId="7011B75E">
      <w:pPr>
        <w:spacing w:before="204" w:line="227" w:lineRule="auto"/>
        <w:ind w:left="2855"/>
        <w:rPr>
          <w:rFonts w:hint="eastAsia" w:ascii="宋体" w:hAnsi="宋体" w:eastAsia="宋体" w:cs="宋体"/>
          <w:spacing w:val="10"/>
          <w:sz w:val="23"/>
          <w:szCs w:val="23"/>
        </w:rPr>
      </w:pPr>
    </w:p>
    <w:p w14:paraId="61DA3497">
      <w:pPr>
        <w:spacing w:before="204" w:line="227" w:lineRule="auto"/>
        <w:ind w:left="2855"/>
        <w:rPr>
          <w:rFonts w:hint="eastAsia" w:ascii="宋体" w:hAnsi="宋体" w:eastAsia="宋体" w:cs="宋体"/>
          <w:spacing w:val="10"/>
          <w:sz w:val="23"/>
          <w:szCs w:val="23"/>
        </w:rPr>
      </w:pPr>
    </w:p>
    <w:p w14:paraId="7AB53CAB">
      <w:pPr>
        <w:spacing w:before="204" w:line="227" w:lineRule="auto"/>
        <w:ind w:left="2855"/>
        <w:rPr>
          <w:rFonts w:hint="eastAsia" w:ascii="宋体" w:hAnsi="宋体" w:eastAsia="宋体" w:cs="宋体"/>
          <w:spacing w:val="10"/>
          <w:sz w:val="23"/>
          <w:szCs w:val="23"/>
        </w:rPr>
      </w:pPr>
    </w:p>
    <w:p w14:paraId="02486EC2">
      <w:pPr>
        <w:spacing w:before="204" w:line="227" w:lineRule="auto"/>
        <w:rPr>
          <w:rFonts w:hint="eastAsia" w:ascii="宋体" w:hAnsi="宋体" w:eastAsia="宋体" w:cs="宋体"/>
          <w:spacing w:val="10"/>
          <w:sz w:val="23"/>
          <w:szCs w:val="23"/>
        </w:rPr>
      </w:pPr>
    </w:p>
    <w:p w14:paraId="7A13CEAD">
      <w:pPr>
        <w:spacing w:before="91" w:line="219" w:lineRule="auto"/>
        <w:ind w:left="33"/>
        <w:rPr>
          <w:rFonts w:hint="eastAsia" w:ascii="宋体" w:hAnsi="宋体" w:eastAsia="宋体" w:cs="宋体"/>
          <w:sz w:val="28"/>
          <w:szCs w:val="28"/>
          <w:lang w:eastAsia="zh-CN"/>
        </w:rPr>
      </w:pPr>
      <w:r>
        <w:rPr>
          <w:rFonts w:hint="eastAsia" w:ascii="宋体" w:hAnsi="宋体" w:eastAsia="宋体" w:cs="宋体"/>
          <w:spacing w:val="-11"/>
          <w:sz w:val="28"/>
          <w:szCs w:val="28"/>
        </w:rPr>
        <w:t>附件</w:t>
      </w:r>
      <w:r>
        <w:rPr>
          <w:rFonts w:hint="eastAsia" w:ascii="宋体" w:hAnsi="宋体" w:eastAsia="宋体" w:cs="宋体"/>
          <w:spacing w:val="-11"/>
          <w:sz w:val="28"/>
          <w:szCs w:val="28"/>
          <w:lang w:eastAsia="zh-CN"/>
        </w:rPr>
        <w:t>：</w:t>
      </w:r>
    </w:p>
    <w:p w14:paraId="3978A671">
      <w:pPr>
        <w:spacing w:before="212" w:line="219" w:lineRule="auto"/>
        <w:ind w:left="1332"/>
        <w:rPr>
          <w:rFonts w:hint="eastAsia" w:ascii="宋体" w:hAnsi="宋体" w:eastAsia="宋体" w:cs="宋体"/>
          <w:sz w:val="28"/>
          <w:szCs w:val="28"/>
        </w:rPr>
      </w:pPr>
      <w:r>
        <w:rPr>
          <w:rFonts w:hint="eastAsia" w:ascii="宋体" w:hAnsi="宋体" w:eastAsia="宋体" w:cs="宋体"/>
          <w:color w:val="383940"/>
          <w:spacing w:val="-2"/>
          <w:sz w:val="28"/>
          <w:szCs w:val="28"/>
        </w:rPr>
        <w:t>陇南市财政局关于进一步推进 “政采贷</w:t>
      </w:r>
      <w:r>
        <w:rPr>
          <w:rFonts w:hint="eastAsia" w:ascii="宋体" w:hAnsi="宋体" w:eastAsia="宋体" w:cs="宋体"/>
          <w:color w:val="383940"/>
          <w:spacing w:val="-97"/>
          <w:sz w:val="28"/>
          <w:szCs w:val="28"/>
        </w:rPr>
        <w:t xml:space="preserve"> </w:t>
      </w:r>
      <w:r>
        <w:rPr>
          <w:rFonts w:hint="eastAsia" w:ascii="宋体" w:hAnsi="宋体" w:eastAsia="宋体" w:cs="宋体"/>
          <w:color w:val="383940"/>
          <w:spacing w:val="-2"/>
          <w:sz w:val="28"/>
          <w:szCs w:val="28"/>
        </w:rPr>
        <w:t>”工作的通知</w:t>
      </w:r>
    </w:p>
    <w:p w14:paraId="3DFC486D">
      <w:pPr>
        <w:spacing w:line="219" w:lineRule="auto"/>
        <w:rPr>
          <w:rFonts w:hint="eastAsia" w:ascii="宋体" w:hAnsi="宋体" w:eastAsia="宋体" w:cs="宋体"/>
          <w:sz w:val="28"/>
          <w:szCs w:val="28"/>
        </w:rPr>
        <w:sectPr>
          <w:footerReference r:id="rId12" w:type="default"/>
          <w:pgSz w:w="11906" w:h="16840"/>
          <w:pgMar w:top="1409" w:right="1272" w:bottom="1308" w:left="1418" w:header="1171" w:footer="1139" w:gutter="0"/>
          <w:pgNumType w:fmt="decimal"/>
          <w:cols w:space="720" w:num="1"/>
        </w:sectPr>
      </w:pPr>
    </w:p>
    <w:p w14:paraId="139FBF3F">
      <w:pPr>
        <w:pStyle w:val="16"/>
        <w:spacing w:line="14" w:lineRule="auto"/>
        <w:rPr>
          <w:rFonts w:hint="eastAsia" w:ascii="宋体" w:hAnsi="宋体" w:eastAsia="宋体" w:cs="宋体"/>
          <w:sz w:val="2"/>
        </w:rPr>
      </w:pPr>
      <w:r>
        <w:rPr>
          <w:rFonts w:hint="eastAsia" w:ascii="宋体" w:hAnsi="宋体" w:eastAsia="宋体" w:cs="宋体"/>
          <w:sz w:val="2"/>
          <w:szCs w:val="2"/>
        </w:rPr>
        <w:br w:type="column"/>
      </w:r>
    </w:p>
    <w:p w14:paraId="4109D2FE">
      <w:pPr>
        <w:spacing w:line="193" w:lineRule="auto"/>
        <w:rPr>
          <w:rFonts w:hint="eastAsia" w:ascii="宋体" w:hAnsi="宋体" w:eastAsia="宋体" w:cs="宋体"/>
          <w:sz w:val="19"/>
          <w:szCs w:val="19"/>
        </w:rPr>
        <w:sectPr>
          <w:headerReference r:id="rId13" w:type="default"/>
          <w:footerReference r:id="rId14" w:type="default"/>
          <w:type w:val="continuous"/>
          <w:pgSz w:w="11906" w:h="16840"/>
          <w:pgMar w:top="400" w:right="1272" w:bottom="1307" w:left="1418" w:header="0" w:footer="1140" w:gutter="0"/>
          <w:pgNumType w:fmt="decimal"/>
          <w:cols w:equalWidth="0" w:num="2">
            <w:col w:w="7337" w:space="100"/>
            <w:col w:w="1779"/>
          </w:cols>
        </w:sectPr>
      </w:pPr>
    </w:p>
    <w:p w14:paraId="3B24BD90">
      <w:pPr>
        <w:spacing w:before="40" w:line="12763" w:lineRule="exact"/>
        <w:rPr>
          <w:rFonts w:hint="eastAsia" w:ascii="宋体" w:hAnsi="宋体" w:eastAsia="宋体" w:cs="宋体"/>
        </w:rPr>
      </w:pPr>
      <w:r>
        <w:rPr>
          <w:rFonts w:hint="eastAsia" w:ascii="宋体" w:hAnsi="宋体" w:eastAsia="宋体" w:cs="宋体"/>
          <w:position w:val="-255"/>
        </w:rPr>
        <w:drawing>
          <wp:inline distT="0" distB="0" distL="114300" distR="114300">
            <wp:extent cx="5731510" cy="8104505"/>
            <wp:effectExtent l="0" t="0" r="2540" b="10795"/>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23"/>
                    <a:stretch>
                      <a:fillRect/>
                    </a:stretch>
                  </pic:blipFill>
                  <pic:spPr>
                    <a:xfrm>
                      <a:off x="0" y="0"/>
                      <a:ext cx="5731510" cy="8104505"/>
                    </a:xfrm>
                    <a:prstGeom prst="rect">
                      <a:avLst/>
                    </a:prstGeom>
                    <a:noFill/>
                    <a:ln>
                      <a:noFill/>
                    </a:ln>
                  </pic:spPr>
                </pic:pic>
              </a:graphicData>
            </a:graphic>
          </wp:inline>
        </w:drawing>
      </w:r>
    </w:p>
    <w:p w14:paraId="2E17344E">
      <w:pPr>
        <w:spacing w:line="12763" w:lineRule="exact"/>
        <w:rPr>
          <w:rFonts w:hint="eastAsia" w:ascii="宋体" w:hAnsi="宋体" w:eastAsia="宋体" w:cs="宋体"/>
        </w:rPr>
        <w:sectPr>
          <w:type w:val="continuous"/>
          <w:pgSz w:w="11906" w:h="16840"/>
          <w:pgMar w:top="400" w:right="1272" w:bottom="1307" w:left="1418" w:header="0" w:footer="1140" w:gutter="0"/>
          <w:pgNumType w:fmt="decimal"/>
          <w:cols w:space="720" w:num="1"/>
        </w:sectPr>
      </w:pPr>
    </w:p>
    <w:p w14:paraId="7130ADAB">
      <w:pPr>
        <w:spacing w:before="2"/>
        <w:rPr>
          <w:rFonts w:hint="eastAsia" w:ascii="宋体" w:hAnsi="宋体" w:eastAsia="宋体" w:cs="宋体"/>
        </w:rPr>
      </w:pPr>
    </w:p>
    <w:p w14:paraId="08F837F8">
      <w:pPr>
        <w:rPr>
          <w:rFonts w:hint="eastAsia" w:ascii="宋体" w:hAnsi="宋体" w:eastAsia="宋体" w:cs="宋体"/>
        </w:rPr>
        <w:sectPr>
          <w:footerReference r:id="rId15" w:type="default"/>
          <w:pgSz w:w="11906" w:h="16840"/>
          <w:pgMar w:top="400" w:right="1272" w:bottom="1309" w:left="1418" w:header="0" w:footer="1140" w:gutter="0"/>
          <w:pgNumType w:fmt="decimal"/>
          <w:cols w:space="720" w:num="1"/>
        </w:sectPr>
      </w:pPr>
    </w:p>
    <w:p w14:paraId="4CF7128E">
      <w:pPr>
        <w:spacing w:line="193" w:lineRule="auto"/>
        <w:rPr>
          <w:rFonts w:hint="eastAsia" w:ascii="宋体" w:hAnsi="宋体" w:eastAsia="宋体" w:cs="宋体"/>
          <w:sz w:val="19"/>
          <w:szCs w:val="19"/>
        </w:rPr>
        <w:sectPr>
          <w:type w:val="continuous"/>
          <w:pgSz w:w="11906" w:h="16840"/>
          <w:pgMar w:top="400" w:right="1272" w:bottom="1309" w:left="1418" w:header="0" w:footer="1140" w:gutter="0"/>
          <w:pgNumType w:fmt="decimal"/>
          <w:cols w:equalWidth="0" w:num="2">
            <w:col w:w="7337" w:space="100"/>
            <w:col w:w="1779"/>
          </w:cols>
        </w:sectPr>
      </w:pPr>
    </w:p>
    <w:p w14:paraId="0DFF486C">
      <w:pPr>
        <w:spacing w:before="40" w:line="13018" w:lineRule="exact"/>
        <w:rPr>
          <w:rFonts w:hint="eastAsia" w:ascii="宋体" w:hAnsi="宋体" w:eastAsia="宋体" w:cs="宋体"/>
        </w:rPr>
      </w:pPr>
      <w:r>
        <w:rPr>
          <w:rFonts w:hint="eastAsia" w:ascii="宋体" w:hAnsi="宋体" w:eastAsia="宋体" w:cs="宋体"/>
          <w:position w:val="-260"/>
        </w:rPr>
        <w:drawing>
          <wp:inline distT="0" distB="0" distL="114300" distR="114300">
            <wp:extent cx="5845810" cy="8265795"/>
            <wp:effectExtent l="0" t="0" r="2540" b="1905"/>
            <wp:docPr id="16" name="图片 4"/>
            <wp:cNvGraphicFramePr/>
            <a:graphic xmlns:a="http://schemas.openxmlformats.org/drawingml/2006/main">
              <a:graphicData uri="http://schemas.openxmlformats.org/drawingml/2006/picture">
                <pic:pic xmlns:pic="http://schemas.openxmlformats.org/drawingml/2006/picture">
                  <pic:nvPicPr>
                    <pic:cNvPr id="16" name="图片 4"/>
                    <pic:cNvPicPr/>
                  </pic:nvPicPr>
                  <pic:blipFill>
                    <a:blip r:embed="rId24"/>
                    <a:stretch>
                      <a:fillRect/>
                    </a:stretch>
                  </pic:blipFill>
                  <pic:spPr>
                    <a:xfrm>
                      <a:off x="0" y="0"/>
                      <a:ext cx="5845810" cy="8265795"/>
                    </a:xfrm>
                    <a:prstGeom prst="rect">
                      <a:avLst/>
                    </a:prstGeom>
                    <a:noFill/>
                    <a:ln>
                      <a:noFill/>
                    </a:ln>
                  </pic:spPr>
                </pic:pic>
              </a:graphicData>
            </a:graphic>
          </wp:inline>
        </w:drawing>
      </w:r>
    </w:p>
    <w:p w14:paraId="22806CF3">
      <w:pPr>
        <w:spacing w:line="13018" w:lineRule="exact"/>
        <w:rPr>
          <w:rFonts w:hint="eastAsia" w:ascii="宋体" w:hAnsi="宋体" w:eastAsia="宋体" w:cs="宋体"/>
        </w:rPr>
        <w:sectPr>
          <w:type w:val="continuous"/>
          <w:pgSz w:w="11906" w:h="16840"/>
          <w:pgMar w:top="400" w:right="1272" w:bottom="1309" w:left="1418" w:header="0" w:footer="1140" w:gutter="0"/>
          <w:pgNumType w:fmt="decimal"/>
          <w:cols w:space="720" w:num="1"/>
        </w:sectPr>
      </w:pPr>
    </w:p>
    <w:p w14:paraId="75588151">
      <w:pPr>
        <w:spacing w:line="13017" w:lineRule="exact"/>
        <w:rPr>
          <w:rFonts w:hint="eastAsia" w:ascii="宋体" w:hAnsi="宋体" w:eastAsia="宋体" w:cs="宋体"/>
        </w:rPr>
      </w:pPr>
      <w:r>
        <w:rPr>
          <w:rFonts w:hint="eastAsia" w:ascii="宋体" w:hAnsi="宋体" w:eastAsia="宋体" w:cs="宋体"/>
          <w:position w:val="-260"/>
        </w:rPr>
        <w:drawing>
          <wp:inline distT="0" distB="0" distL="114300" distR="114300">
            <wp:extent cx="5845810" cy="8265795"/>
            <wp:effectExtent l="0" t="0" r="2540" b="1905"/>
            <wp:docPr id="9" name="图片 5"/>
            <wp:cNvGraphicFramePr/>
            <a:graphic xmlns:a="http://schemas.openxmlformats.org/drawingml/2006/main">
              <a:graphicData uri="http://schemas.openxmlformats.org/drawingml/2006/picture">
                <pic:pic xmlns:pic="http://schemas.openxmlformats.org/drawingml/2006/picture">
                  <pic:nvPicPr>
                    <pic:cNvPr id="9" name="图片 5"/>
                    <pic:cNvPicPr/>
                  </pic:nvPicPr>
                  <pic:blipFill>
                    <a:blip r:embed="rId25"/>
                    <a:stretch>
                      <a:fillRect/>
                    </a:stretch>
                  </pic:blipFill>
                  <pic:spPr>
                    <a:xfrm>
                      <a:off x="0" y="0"/>
                      <a:ext cx="5845810" cy="8265795"/>
                    </a:xfrm>
                    <a:prstGeom prst="rect">
                      <a:avLst/>
                    </a:prstGeom>
                    <a:noFill/>
                    <a:ln>
                      <a:noFill/>
                    </a:ln>
                  </pic:spPr>
                </pic:pic>
              </a:graphicData>
            </a:graphic>
          </wp:inline>
        </w:drawing>
      </w:r>
    </w:p>
    <w:p w14:paraId="25A156DB">
      <w:pPr>
        <w:spacing w:line="13017" w:lineRule="exact"/>
        <w:rPr>
          <w:rFonts w:hint="eastAsia" w:ascii="宋体" w:hAnsi="宋体" w:eastAsia="宋体" w:cs="宋体"/>
        </w:rPr>
        <w:sectPr>
          <w:headerReference r:id="rId16" w:type="default"/>
          <w:footerReference r:id="rId17" w:type="default"/>
          <w:pgSz w:w="11906" w:h="16840"/>
          <w:pgMar w:top="1409" w:right="1272" w:bottom="1307" w:left="1418" w:header="1171" w:footer="1139" w:gutter="0"/>
          <w:pgNumType w:fmt="decimal"/>
          <w:cols w:space="720" w:num="1"/>
        </w:sectPr>
      </w:pPr>
    </w:p>
    <w:p w14:paraId="7D3D1893">
      <w:pPr>
        <w:spacing w:line="13018" w:lineRule="exact"/>
        <w:rPr>
          <w:rFonts w:hint="eastAsia" w:ascii="宋体" w:hAnsi="宋体" w:eastAsia="宋体" w:cs="宋体"/>
        </w:rPr>
      </w:pPr>
      <w:r>
        <w:rPr>
          <w:rFonts w:hint="eastAsia" w:ascii="宋体" w:hAnsi="宋体" w:eastAsia="宋体" w:cs="宋体"/>
          <w:position w:val="-260"/>
        </w:rPr>
        <w:drawing>
          <wp:inline distT="0" distB="0" distL="114300" distR="114300">
            <wp:extent cx="5845810" cy="8265795"/>
            <wp:effectExtent l="0" t="0" r="2540" b="1905"/>
            <wp:docPr id="3" name="图片 6"/>
            <wp:cNvGraphicFramePr/>
            <a:graphic xmlns:a="http://schemas.openxmlformats.org/drawingml/2006/main">
              <a:graphicData uri="http://schemas.openxmlformats.org/drawingml/2006/picture">
                <pic:pic xmlns:pic="http://schemas.openxmlformats.org/drawingml/2006/picture">
                  <pic:nvPicPr>
                    <pic:cNvPr id="3" name="图片 6"/>
                    <pic:cNvPicPr/>
                  </pic:nvPicPr>
                  <pic:blipFill>
                    <a:blip r:embed="rId26"/>
                    <a:stretch>
                      <a:fillRect/>
                    </a:stretch>
                  </pic:blipFill>
                  <pic:spPr>
                    <a:xfrm>
                      <a:off x="0" y="0"/>
                      <a:ext cx="5845810" cy="8265795"/>
                    </a:xfrm>
                    <a:prstGeom prst="rect">
                      <a:avLst/>
                    </a:prstGeom>
                    <a:noFill/>
                    <a:ln>
                      <a:noFill/>
                    </a:ln>
                  </pic:spPr>
                </pic:pic>
              </a:graphicData>
            </a:graphic>
          </wp:inline>
        </w:drawing>
      </w:r>
    </w:p>
    <w:p w14:paraId="2E190A3F">
      <w:pPr>
        <w:spacing w:line="13018" w:lineRule="exact"/>
        <w:rPr>
          <w:rFonts w:hint="eastAsia" w:ascii="宋体" w:hAnsi="宋体" w:eastAsia="宋体" w:cs="宋体"/>
        </w:rPr>
        <w:sectPr>
          <w:footerReference r:id="rId18" w:type="default"/>
          <w:pgSz w:w="11906" w:h="16840"/>
          <w:pgMar w:top="1409" w:right="1272" w:bottom="1309" w:left="1418" w:header="1171" w:footer="1140" w:gutter="0"/>
          <w:pgNumType w:fmt="decimal"/>
          <w:cols w:space="720" w:num="1"/>
        </w:sectPr>
      </w:pPr>
    </w:p>
    <w:p w14:paraId="6B556DDF">
      <w:pPr>
        <w:spacing w:line="13018" w:lineRule="exact"/>
        <w:rPr>
          <w:rFonts w:hint="eastAsia" w:ascii="宋体" w:hAnsi="宋体" w:eastAsia="宋体" w:cs="宋体"/>
        </w:rPr>
      </w:pPr>
      <w:r>
        <w:rPr>
          <w:rFonts w:hint="eastAsia" w:ascii="宋体" w:hAnsi="宋体" w:eastAsia="宋体" w:cs="宋体"/>
          <w:position w:val="-260"/>
        </w:rPr>
        <w:drawing>
          <wp:inline distT="0" distB="0" distL="114300" distR="114300">
            <wp:extent cx="5845810" cy="8265795"/>
            <wp:effectExtent l="0" t="0" r="2540" b="1905"/>
            <wp:docPr id="18" name="图片 7"/>
            <wp:cNvGraphicFramePr/>
            <a:graphic xmlns:a="http://schemas.openxmlformats.org/drawingml/2006/main">
              <a:graphicData uri="http://schemas.openxmlformats.org/drawingml/2006/picture">
                <pic:pic xmlns:pic="http://schemas.openxmlformats.org/drawingml/2006/picture">
                  <pic:nvPicPr>
                    <pic:cNvPr id="18" name="图片 7"/>
                    <pic:cNvPicPr/>
                  </pic:nvPicPr>
                  <pic:blipFill>
                    <a:blip r:embed="rId27"/>
                    <a:stretch>
                      <a:fillRect/>
                    </a:stretch>
                  </pic:blipFill>
                  <pic:spPr>
                    <a:xfrm>
                      <a:off x="0" y="0"/>
                      <a:ext cx="5845810" cy="8265795"/>
                    </a:xfrm>
                    <a:prstGeom prst="rect">
                      <a:avLst/>
                    </a:prstGeom>
                    <a:noFill/>
                    <a:ln>
                      <a:noFill/>
                    </a:ln>
                  </pic:spPr>
                </pic:pic>
              </a:graphicData>
            </a:graphic>
          </wp:inline>
        </w:drawing>
      </w:r>
    </w:p>
    <w:p w14:paraId="3E40D902">
      <w:pPr>
        <w:spacing w:line="13018" w:lineRule="exact"/>
        <w:rPr>
          <w:rFonts w:hint="eastAsia" w:ascii="宋体" w:hAnsi="宋体" w:eastAsia="宋体" w:cs="宋体"/>
        </w:rPr>
        <w:sectPr>
          <w:footerReference r:id="rId19" w:type="default"/>
          <w:pgSz w:w="11906" w:h="16840"/>
          <w:pgMar w:top="1409" w:right="1272" w:bottom="1309" w:left="1418" w:header="1171" w:footer="1140" w:gutter="0"/>
          <w:pgNumType w:fmt="decimal"/>
          <w:cols w:space="720" w:num="1"/>
        </w:sectPr>
      </w:pPr>
    </w:p>
    <w:p w14:paraId="1DE32FF0">
      <w:pPr>
        <w:spacing w:line="360" w:lineRule="auto"/>
        <w:rPr>
          <w:rFonts w:hint="eastAsia" w:ascii="宋体" w:hAnsi="宋体" w:eastAsia="宋体" w:cs="宋体"/>
          <w:color w:val="000000"/>
          <w:kern w:val="0"/>
          <w:sz w:val="28"/>
          <w:szCs w:val="28"/>
        </w:rPr>
      </w:pPr>
      <w:r>
        <w:rPr>
          <w:rFonts w:hint="eastAsia" w:ascii="宋体" w:hAnsi="宋体" w:eastAsia="宋体" w:cs="宋体"/>
          <w:position w:val="-260"/>
        </w:rPr>
        <w:drawing>
          <wp:inline distT="0" distB="0" distL="114300" distR="114300">
            <wp:extent cx="5845810" cy="7853680"/>
            <wp:effectExtent l="0" t="0" r="2540" b="13970"/>
            <wp:docPr id="5" name="图片 8"/>
            <wp:cNvGraphicFramePr/>
            <a:graphic xmlns:a="http://schemas.openxmlformats.org/drawingml/2006/main">
              <a:graphicData uri="http://schemas.openxmlformats.org/drawingml/2006/picture">
                <pic:pic xmlns:pic="http://schemas.openxmlformats.org/drawingml/2006/picture">
                  <pic:nvPicPr>
                    <pic:cNvPr id="5" name="图片 8"/>
                    <pic:cNvPicPr/>
                  </pic:nvPicPr>
                  <pic:blipFill>
                    <a:blip r:embed="rId28"/>
                    <a:stretch>
                      <a:fillRect/>
                    </a:stretch>
                  </pic:blipFill>
                  <pic:spPr>
                    <a:xfrm>
                      <a:off x="0" y="0"/>
                      <a:ext cx="5845810" cy="7853680"/>
                    </a:xfrm>
                    <a:prstGeom prst="rect">
                      <a:avLst/>
                    </a:prstGeom>
                    <a:noFill/>
                    <a:ln>
                      <a:noFill/>
                    </a:ln>
                  </pic:spPr>
                </pic:pic>
              </a:graphicData>
            </a:graphic>
          </wp:inline>
        </w:drawing>
      </w:r>
    </w:p>
    <w:p w14:paraId="2E6ED7EA">
      <w:pPr>
        <w:widowControl/>
        <w:shd w:val="clear" w:color="auto" w:fill="FFFFFF"/>
        <w:spacing w:line="540" w:lineRule="exact"/>
        <w:jc w:val="right"/>
        <w:rPr>
          <w:rFonts w:hint="eastAsia" w:ascii="宋体" w:hAnsi="宋体" w:eastAsia="宋体" w:cs="宋体"/>
          <w:color w:val="000000"/>
          <w:kern w:val="0"/>
          <w:sz w:val="28"/>
          <w:szCs w:val="28"/>
        </w:rPr>
      </w:pPr>
    </w:p>
    <w:p w14:paraId="58B98095">
      <w:pPr>
        <w:widowControl/>
        <w:shd w:val="clear" w:color="auto" w:fill="FFFFFF"/>
        <w:spacing w:line="540" w:lineRule="exact"/>
        <w:jc w:val="right"/>
        <w:rPr>
          <w:rFonts w:hint="eastAsia" w:ascii="宋体" w:hAnsi="宋体" w:eastAsia="宋体" w:cs="宋体"/>
          <w:color w:val="000000"/>
          <w:kern w:val="0"/>
          <w:sz w:val="28"/>
          <w:szCs w:val="28"/>
        </w:rPr>
      </w:pPr>
    </w:p>
    <w:p w14:paraId="6A8221BE">
      <w:pPr>
        <w:rPr>
          <w:rFonts w:hint="eastAsia" w:ascii="宋体" w:hAnsi="宋体" w:eastAsia="宋体" w:cs="宋体"/>
          <w:color w:val="000000" w:themeColor="text1"/>
          <w:sz w:val="24"/>
          <w:szCs w:val="24"/>
          <w14:textFill>
            <w14:solidFill>
              <w14:schemeClr w14:val="tx1"/>
            </w14:solidFill>
          </w14:textFill>
        </w:rPr>
      </w:pPr>
    </w:p>
    <w:sectPr>
      <w:pgSz w:w="11906" w:h="16838"/>
      <w:pgMar w:top="1440" w:right="1274"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微软雅黑"/>
    <w:panose1 w:val="02010609030101010101"/>
    <w:charset w:val="86"/>
    <w:family w:val="swiss"/>
    <w:pitch w:val="default"/>
    <w:sig w:usb0="00000000" w:usb1="00000000" w:usb2="00000000" w:usb3="00000000" w:csb0="00040000" w:csb1="00000000"/>
  </w:font>
  <w:font w:name="楷体">
    <w:altName w:val="宋体"/>
    <w:panose1 w:val="02010609060101010101"/>
    <w:charset w:val="86"/>
    <w:family w:val="auto"/>
    <w:pitch w:val="default"/>
    <w:sig w:usb0="00000000" w:usb1="00000000" w:usb2="00000016" w:usb3="00000000" w:csb0="00040001" w:csb1="00000000"/>
  </w:font>
  <w:font w:name="Cambria">
    <w:altName w:val="DejaVu Math TeX Gyre"/>
    <w:panose1 w:val="02040503050406030204"/>
    <w:charset w:val="00"/>
    <w:family w:val="roman"/>
    <w:pitch w:val="default"/>
    <w:sig w:usb0="00000000" w:usb1="00000000" w:usb2="02000000" w:usb3="00000000" w:csb0="2000019F" w:csb1="00000000"/>
  </w:font>
  <w:font w:name="monospace">
    <w:altName w:val="MingLiU"/>
    <w:panose1 w:val="00000000000000000000"/>
    <w:charset w:val="00"/>
    <w:family w:val="auto"/>
    <w:pitch w:val="default"/>
    <w:sig w:usb0="00000000" w:usb1="00000000" w:usb2="00000000" w:usb3="00000000" w:csb0="00000000" w:csb1="00000000"/>
  </w:font>
  <w:font w:name="AMGDT">
    <w:altName w:val="Segoe UI Symbol"/>
    <w:panose1 w:val="020004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Syntax">
    <w:altName w:val="MingLiU"/>
    <w:panose1 w:val="00000000000000000000"/>
    <w:charset w:val="00"/>
    <w:family w:val="swiss"/>
    <w:pitch w:val="default"/>
    <w:sig w:usb0="00000000" w:usb1="00000000" w:usb2="00000000" w:usb3="00000000" w:csb0="00000001" w:csb1="00000000"/>
  </w:font>
  <w:font w:name="Verdana">
    <w:altName w:val="Tahoma"/>
    <w:panose1 w:val="020B0604030504040204"/>
    <w:charset w:val="00"/>
    <w:family w:val="swiss"/>
    <w:pitch w:val="default"/>
    <w:sig w:usb0="00000000" w:usb1="00000000" w:usb2="00000010" w:usb3="00000000" w:csb0="2000019F" w:csb1="0000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swiss"/>
    <w:pitch w:val="default"/>
    <w:sig w:usb0="80000287" w:usb1="28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29C8F">
    <w:pPr>
      <w:pStyle w:val="2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5608">
    <w:pPr>
      <w:pStyle w:val="16"/>
      <w:spacing w:line="184" w:lineRule="auto"/>
      <w:ind w:left="4516"/>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75D2B">
                          <w:pPr>
                            <w:pStyle w:val="24"/>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14:paraId="28575D2B">
                    <w:pPr>
                      <w:pStyle w:val="24"/>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r>
      <w:rPr>
        <w:spacing w:val="-4"/>
        <w:sz w:val="18"/>
        <w:szCs w:val="18"/>
      </w:rPr>
      <w:t>76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BBEC">
    <w:pPr>
      <w:pStyle w:val="16"/>
      <w:spacing w:line="182" w:lineRule="auto"/>
      <w:ind w:left="4516"/>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59730">
                          <w:pPr>
                            <w:pStyle w:val="24"/>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35359730">
                    <w:pPr>
                      <w:pStyle w:val="24"/>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r>
      <w:rPr>
        <w:spacing w:val="-4"/>
        <w:sz w:val="18"/>
        <w:szCs w:val="18"/>
      </w:rPr>
      <w:t>77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3EAC">
    <w:pPr>
      <w:pStyle w:val="16"/>
      <w:spacing w:line="184" w:lineRule="auto"/>
      <w:ind w:left="4516"/>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16E7D3">
                          <w:pPr>
                            <w:pStyle w:val="24"/>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2D16E7D3">
                    <w:pPr>
                      <w:pStyle w:val="24"/>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r>
      <w:rPr>
        <w:spacing w:val="-4"/>
        <w:sz w:val="18"/>
        <w:szCs w:val="18"/>
      </w:rPr>
      <w:t>78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E9E2">
    <w:pPr>
      <w:pStyle w:val="16"/>
      <w:spacing w:line="184" w:lineRule="auto"/>
      <w:ind w:left="451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E289AA">
                          <w:pPr>
                            <w:pStyle w:val="24"/>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5E289AA">
                    <w:pPr>
                      <w:pStyle w:val="24"/>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AC6FA">
    <w:pPr>
      <w:pStyle w:val="24"/>
      <w:ind w:firstLine="3870" w:firstLineChars="2150"/>
    </w:pPr>
    <w:r>
      <w:fldChar w:fldCharType="begin"/>
    </w:r>
    <w:r>
      <w:instrText xml:space="preserve"> PAGE   \* MERGEFORMAT </w:instrText>
    </w:r>
    <w:r>
      <w:fldChar w:fldCharType="separate"/>
    </w:r>
    <w:r>
      <w:t>99</w:t>
    </w:r>
    <w:r>
      <w:fldChar w:fldCharType="end"/>
    </w:r>
  </w:p>
  <w:p w14:paraId="26C624F3">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A4FC">
    <w:pPr>
      <w:pStyle w:val="16"/>
      <w:spacing w:line="184" w:lineRule="auto"/>
      <w:ind w:left="407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D0B699">
                          <w:pPr>
                            <w:pStyle w:val="24"/>
                          </w:pPr>
                          <w:r>
                            <w:t xml:space="preserve">第 </w:t>
                          </w:r>
                          <w:r>
                            <w:fldChar w:fldCharType="begin"/>
                          </w:r>
                          <w:r>
                            <w:instrText xml:space="preserve"> PAGE  \* MERGEFORMAT </w:instrText>
                          </w:r>
                          <w:r>
                            <w:fldChar w:fldCharType="separate"/>
                          </w:r>
                          <w:r>
                            <w:t>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65D0B699">
                    <w:pPr>
                      <w:pStyle w:val="24"/>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35F05">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3F2705">
                          <w:pPr>
                            <w:pStyle w:val="24"/>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14:paraId="0D3F2705">
                    <w:pPr>
                      <w:pStyle w:val="24"/>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F80D">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F3EC1C">
                          <w:pPr>
                            <w:pStyle w:val="24"/>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62F3EC1C">
                    <w:pPr>
                      <w:pStyle w:val="24"/>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D638">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545D3F">
                          <w:pPr>
                            <w:pStyle w:val="24"/>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11545D3F">
                    <w:pPr>
                      <w:pStyle w:val="24"/>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B6744">
    <w:pPr>
      <w:pStyle w:val="2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60AC9">
                          <w:pPr>
                            <w:pStyle w:val="24"/>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A260AC9">
                    <w:pPr>
                      <w:pStyle w:val="24"/>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5334">
    <w:pPr>
      <w:pStyle w:val="16"/>
      <w:spacing w:line="184" w:lineRule="auto"/>
      <w:ind w:left="4516"/>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D0ABAC">
                          <w:pPr>
                            <w:pStyle w:val="24"/>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1DD0ABAC">
                    <w:pPr>
                      <w:pStyle w:val="24"/>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r>
      <w:rPr>
        <w:spacing w:val="-4"/>
        <w:sz w:val="18"/>
        <w:szCs w:val="18"/>
      </w:rPr>
      <w:t>74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F8FF2">
    <w:pPr>
      <w:pStyle w:val="16"/>
      <w:spacing w:line="182" w:lineRule="auto"/>
      <w:ind w:left="4516"/>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871285">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7871285">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spacing w:val="-4"/>
        <w:sz w:val="18"/>
        <w:szCs w:val="18"/>
      </w:rPr>
      <w:t>75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2A6B">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5B65">
    <w:pPr>
      <w:spacing w:line="220" w:lineRule="auto"/>
      <w:ind w:left="21"/>
      <w:rPr>
        <w:rFonts w:ascii="宋体" w:hAnsi="宋体" w:eastAsia="宋体" w:cs="宋体"/>
        <w:sz w:val="19"/>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A263">
    <w:pPr>
      <w:pStyle w:val="1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4797B">
    <w:pPr>
      <w:spacing w:line="240" w:lineRule="auto"/>
      <w:ind w:left="7"/>
      <w:rPr>
        <w:rFonts w:ascii="宋体" w:hAnsi="宋体" w:eastAsia="宋体" w:cs="宋体"/>
        <w:sz w:val="19"/>
        <w:szCs w:val="19"/>
      </w:rPr>
    </w:pPr>
    <w:r>
      <w:rPr>
        <w:rFonts w:hint="eastAsia" w:ascii="宋体" w:hAnsi="宋体" w:cs="宋体"/>
        <w:spacing w:val="-1"/>
        <w:sz w:val="24"/>
        <w:szCs w:val="24"/>
        <w:u w:val="single" w:color="auto"/>
        <w:lang w:eastAsia="zh-CN"/>
      </w:rPr>
      <w:t>甘肃荣都工程咨询有限公司</w:t>
    </w:r>
    <w:r>
      <w:rPr>
        <w:rFonts w:hint="eastAsia" w:ascii="宋体" w:hAnsi="宋体" w:eastAsia="宋体" w:cs="宋体"/>
        <w:spacing w:val="-1"/>
        <w:sz w:val="24"/>
        <w:szCs w:val="24"/>
        <w:u w:val="single" w:color="auto"/>
        <w:lang w:val="en-US" w:eastAsia="zh-CN"/>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20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YWVjMTliZTgwM2E3YWZjMzcxNTAyYjE4OGQ0ODgifQ=="/>
  </w:docVars>
  <w:rsids>
    <w:rsidRoot w:val="00BD2915"/>
    <w:rsid w:val="00000697"/>
    <w:rsid w:val="000132C8"/>
    <w:rsid w:val="00013C27"/>
    <w:rsid w:val="00015EFD"/>
    <w:rsid w:val="00022DE3"/>
    <w:rsid w:val="00030C51"/>
    <w:rsid w:val="00031F2B"/>
    <w:rsid w:val="00036DAE"/>
    <w:rsid w:val="00037918"/>
    <w:rsid w:val="00042D51"/>
    <w:rsid w:val="00046C1C"/>
    <w:rsid w:val="000530AC"/>
    <w:rsid w:val="00057985"/>
    <w:rsid w:val="000617AA"/>
    <w:rsid w:val="00064973"/>
    <w:rsid w:val="00074ACA"/>
    <w:rsid w:val="00080F97"/>
    <w:rsid w:val="000A139D"/>
    <w:rsid w:val="000A67A9"/>
    <w:rsid w:val="000B05CB"/>
    <w:rsid w:val="000B67C1"/>
    <w:rsid w:val="000C2F00"/>
    <w:rsid w:val="000C5357"/>
    <w:rsid w:val="000E115C"/>
    <w:rsid w:val="000E2901"/>
    <w:rsid w:val="001021A3"/>
    <w:rsid w:val="00113313"/>
    <w:rsid w:val="00116A2E"/>
    <w:rsid w:val="00116CE5"/>
    <w:rsid w:val="00120EE5"/>
    <w:rsid w:val="001261A2"/>
    <w:rsid w:val="00132C9A"/>
    <w:rsid w:val="00137910"/>
    <w:rsid w:val="001447A3"/>
    <w:rsid w:val="0015056E"/>
    <w:rsid w:val="001528C1"/>
    <w:rsid w:val="001557E2"/>
    <w:rsid w:val="00162B6D"/>
    <w:rsid w:val="001709EE"/>
    <w:rsid w:val="00171D35"/>
    <w:rsid w:val="0017217A"/>
    <w:rsid w:val="00182472"/>
    <w:rsid w:val="00183CF0"/>
    <w:rsid w:val="0019187F"/>
    <w:rsid w:val="00192D6B"/>
    <w:rsid w:val="001930DE"/>
    <w:rsid w:val="001A1A8F"/>
    <w:rsid w:val="001A42F2"/>
    <w:rsid w:val="001B1534"/>
    <w:rsid w:val="001B2837"/>
    <w:rsid w:val="001B3355"/>
    <w:rsid w:val="001B3B8D"/>
    <w:rsid w:val="001C4BDB"/>
    <w:rsid w:val="001C4D47"/>
    <w:rsid w:val="001C51A6"/>
    <w:rsid w:val="001D1DAA"/>
    <w:rsid w:val="001D5D8A"/>
    <w:rsid w:val="001D768D"/>
    <w:rsid w:val="001E3DFD"/>
    <w:rsid w:val="001E5570"/>
    <w:rsid w:val="001E6E98"/>
    <w:rsid w:val="001F0E58"/>
    <w:rsid w:val="001F49ED"/>
    <w:rsid w:val="001F7E07"/>
    <w:rsid w:val="00204795"/>
    <w:rsid w:val="00206014"/>
    <w:rsid w:val="002060FE"/>
    <w:rsid w:val="002073B4"/>
    <w:rsid w:val="0021041D"/>
    <w:rsid w:val="0021473C"/>
    <w:rsid w:val="00217C87"/>
    <w:rsid w:val="00220601"/>
    <w:rsid w:val="00236A9E"/>
    <w:rsid w:val="00244722"/>
    <w:rsid w:val="00251158"/>
    <w:rsid w:val="00252C6C"/>
    <w:rsid w:val="00256043"/>
    <w:rsid w:val="00257630"/>
    <w:rsid w:val="00257DC9"/>
    <w:rsid w:val="002637DF"/>
    <w:rsid w:val="00263C77"/>
    <w:rsid w:val="00270B52"/>
    <w:rsid w:val="002715AE"/>
    <w:rsid w:val="002802F2"/>
    <w:rsid w:val="00291383"/>
    <w:rsid w:val="002965BE"/>
    <w:rsid w:val="002A186A"/>
    <w:rsid w:val="002B2CB8"/>
    <w:rsid w:val="002B4D37"/>
    <w:rsid w:val="002C3D71"/>
    <w:rsid w:val="002D1930"/>
    <w:rsid w:val="00300D36"/>
    <w:rsid w:val="00306B2F"/>
    <w:rsid w:val="003205ED"/>
    <w:rsid w:val="00320FE9"/>
    <w:rsid w:val="00321754"/>
    <w:rsid w:val="003239E9"/>
    <w:rsid w:val="00332C70"/>
    <w:rsid w:val="00346B47"/>
    <w:rsid w:val="00350A38"/>
    <w:rsid w:val="00352EAF"/>
    <w:rsid w:val="00353AE3"/>
    <w:rsid w:val="00356386"/>
    <w:rsid w:val="00360354"/>
    <w:rsid w:val="003620D1"/>
    <w:rsid w:val="00367770"/>
    <w:rsid w:val="00370AC5"/>
    <w:rsid w:val="00374870"/>
    <w:rsid w:val="0037655B"/>
    <w:rsid w:val="00385ED9"/>
    <w:rsid w:val="00387587"/>
    <w:rsid w:val="00391F47"/>
    <w:rsid w:val="003927FD"/>
    <w:rsid w:val="00392957"/>
    <w:rsid w:val="003A0B35"/>
    <w:rsid w:val="003A3B1B"/>
    <w:rsid w:val="003B6D58"/>
    <w:rsid w:val="003D38E9"/>
    <w:rsid w:val="003D523F"/>
    <w:rsid w:val="003D71F2"/>
    <w:rsid w:val="003E39C5"/>
    <w:rsid w:val="003F1A19"/>
    <w:rsid w:val="003F7CD4"/>
    <w:rsid w:val="00407A57"/>
    <w:rsid w:val="00407BF3"/>
    <w:rsid w:val="004116AC"/>
    <w:rsid w:val="0042093A"/>
    <w:rsid w:val="00420D5C"/>
    <w:rsid w:val="00423FE3"/>
    <w:rsid w:val="004241BF"/>
    <w:rsid w:val="00424B85"/>
    <w:rsid w:val="004325EF"/>
    <w:rsid w:val="00440F26"/>
    <w:rsid w:val="00452181"/>
    <w:rsid w:val="00453EB2"/>
    <w:rsid w:val="004575EF"/>
    <w:rsid w:val="00470194"/>
    <w:rsid w:val="004A719C"/>
    <w:rsid w:val="004B1ACC"/>
    <w:rsid w:val="004B7B57"/>
    <w:rsid w:val="004C088A"/>
    <w:rsid w:val="004E1A3D"/>
    <w:rsid w:val="004E43E8"/>
    <w:rsid w:val="004F2CA9"/>
    <w:rsid w:val="004F44C3"/>
    <w:rsid w:val="004F5E8C"/>
    <w:rsid w:val="004F6A8C"/>
    <w:rsid w:val="00510317"/>
    <w:rsid w:val="005220C0"/>
    <w:rsid w:val="00535C96"/>
    <w:rsid w:val="0054009E"/>
    <w:rsid w:val="00545BDE"/>
    <w:rsid w:val="0056115B"/>
    <w:rsid w:val="0057629E"/>
    <w:rsid w:val="00577410"/>
    <w:rsid w:val="005805CA"/>
    <w:rsid w:val="00583089"/>
    <w:rsid w:val="00584F69"/>
    <w:rsid w:val="005925C3"/>
    <w:rsid w:val="005A1C6C"/>
    <w:rsid w:val="005A409F"/>
    <w:rsid w:val="005A5154"/>
    <w:rsid w:val="005B3B9D"/>
    <w:rsid w:val="005C7376"/>
    <w:rsid w:val="005E062C"/>
    <w:rsid w:val="005E0A8C"/>
    <w:rsid w:val="005E3DE7"/>
    <w:rsid w:val="005E4648"/>
    <w:rsid w:val="005F54E3"/>
    <w:rsid w:val="005F6316"/>
    <w:rsid w:val="006005D1"/>
    <w:rsid w:val="006032D5"/>
    <w:rsid w:val="00612108"/>
    <w:rsid w:val="00612BF6"/>
    <w:rsid w:val="006132C8"/>
    <w:rsid w:val="00633F1D"/>
    <w:rsid w:val="00634B7F"/>
    <w:rsid w:val="0063625E"/>
    <w:rsid w:val="006453F2"/>
    <w:rsid w:val="00647C85"/>
    <w:rsid w:val="00650CC5"/>
    <w:rsid w:val="00651B0E"/>
    <w:rsid w:val="00652B37"/>
    <w:rsid w:val="00653D8C"/>
    <w:rsid w:val="00660A3B"/>
    <w:rsid w:val="00671947"/>
    <w:rsid w:val="006735A3"/>
    <w:rsid w:val="006849E7"/>
    <w:rsid w:val="00696AB4"/>
    <w:rsid w:val="006A33BA"/>
    <w:rsid w:val="006A5966"/>
    <w:rsid w:val="006A5CB2"/>
    <w:rsid w:val="006A736A"/>
    <w:rsid w:val="006C0E1A"/>
    <w:rsid w:val="006D1E9E"/>
    <w:rsid w:val="006D407D"/>
    <w:rsid w:val="006D4678"/>
    <w:rsid w:val="006D75D7"/>
    <w:rsid w:val="006E50E4"/>
    <w:rsid w:val="006F3D79"/>
    <w:rsid w:val="00702645"/>
    <w:rsid w:val="00703D5C"/>
    <w:rsid w:val="00714D6B"/>
    <w:rsid w:val="00715F98"/>
    <w:rsid w:val="00717AF0"/>
    <w:rsid w:val="0073520D"/>
    <w:rsid w:val="0074145C"/>
    <w:rsid w:val="0074493E"/>
    <w:rsid w:val="007569F8"/>
    <w:rsid w:val="00764673"/>
    <w:rsid w:val="00764D01"/>
    <w:rsid w:val="00767E44"/>
    <w:rsid w:val="00771120"/>
    <w:rsid w:val="007744B5"/>
    <w:rsid w:val="007761CA"/>
    <w:rsid w:val="007837C2"/>
    <w:rsid w:val="007852FA"/>
    <w:rsid w:val="00790A2B"/>
    <w:rsid w:val="007922A8"/>
    <w:rsid w:val="00797733"/>
    <w:rsid w:val="007A03FB"/>
    <w:rsid w:val="007A0CCB"/>
    <w:rsid w:val="007A4E7F"/>
    <w:rsid w:val="007A6CCA"/>
    <w:rsid w:val="007A701D"/>
    <w:rsid w:val="007A7757"/>
    <w:rsid w:val="007C0314"/>
    <w:rsid w:val="007C7B13"/>
    <w:rsid w:val="007E1617"/>
    <w:rsid w:val="007E40F9"/>
    <w:rsid w:val="007F0947"/>
    <w:rsid w:val="00802F3E"/>
    <w:rsid w:val="008063BD"/>
    <w:rsid w:val="00812616"/>
    <w:rsid w:val="008212E8"/>
    <w:rsid w:val="0082685B"/>
    <w:rsid w:val="0082752B"/>
    <w:rsid w:val="00827F50"/>
    <w:rsid w:val="0085759C"/>
    <w:rsid w:val="00860CFF"/>
    <w:rsid w:val="00862F48"/>
    <w:rsid w:val="008644B9"/>
    <w:rsid w:val="00877BA0"/>
    <w:rsid w:val="00882148"/>
    <w:rsid w:val="00887381"/>
    <w:rsid w:val="0089594D"/>
    <w:rsid w:val="008A31DF"/>
    <w:rsid w:val="008A4060"/>
    <w:rsid w:val="008A58DF"/>
    <w:rsid w:val="008A6A0C"/>
    <w:rsid w:val="008B3A3A"/>
    <w:rsid w:val="008B3B42"/>
    <w:rsid w:val="008F1307"/>
    <w:rsid w:val="008F23BC"/>
    <w:rsid w:val="008F6BC2"/>
    <w:rsid w:val="009001F0"/>
    <w:rsid w:val="00900DFF"/>
    <w:rsid w:val="00920EC8"/>
    <w:rsid w:val="0095431A"/>
    <w:rsid w:val="0095621A"/>
    <w:rsid w:val="00964ACF"/>
    <w:rsid w:val="0097625E"/>
    <w:rsid w:val="009765E0"/>
    <w:rsid w:val="00977CDB"/>
    <w:rsid w:val="00982796"/>
    <w:rsid w:val="00984214"/>
    <w:rsid w:val="00991392"/>
    <w:rsid w:val="00991F76"/>
    <w:rsid w:val="009A663B"/>
    <w:rsid w:val="009C24CD"/>
    <w:rsid w:val="009C787F"/>
    <w:rsid w:val="009D18DE"/>
    <w:rsid w:val="009D3097"/>
    <w:rsid w:val="009E0E71"/>
    <w:rsid w:val="009E6F08"/>
    <w:rsid w:val="009F0115"/>
    <w:rsid w:val="009F2A69"/>
    <w:rsid w:val="009F5965"/>
    <w:rsid w:val="009F63FF"/>
    <w:rsid w:val="00A008A6"/>
    <w:rsid w:val="00A10FDE"/>
    <w:rsid w:val="00A17E8E"/>
    <w:rsid w:val="00A20CE4"/>
    <w:rsid w:val="00A244C8"/>
    <w:rsid w:val="00A33984"/>
    <w:rsid w:val="00A36CC8"/>
    <w:rsid w:val="00A37E98"/>
    <w:rsid w:val="00A4163F"/>
    <w:rsid w:val="00A4524A"/>
    <w:rsid w:val="00A47B4A"/>
    <w:rsid w:val="00A52DE0"/>
    <w:rsid w:val="00A5339D"/>
    <w:rsid w:val="00A55886"/>
    <w:rsid w:val="00A57F2B"/>
    <w:rsid w:val="00A64EF5"/>
    <w:rsid w:val="00A8061E"/>
    <w:rsid w:val="00A82F61"/>
    <w:rsid w:val="00A838F6"/>
    <w:rsid w:val="00A912D8"/>
    <w:rsid w:val="00A95C2F"/>
    <w:rsid w:val="00A97230"/>
    <w:rsid w:val="00AA44C6"/>
    <w:rsid w:val="00AB0FA0"/>
    <w:rsid w:val="00AB6E33"/>
    <w:rsid w:val="00AD2E1D"/>
    <w:rsid w:val="00AE06B4"/>
    <w:rsid w:val="00AE3362"/>
    <w:rsid w:val="00AF2362"/>
    <w:rsid w:val="00B00A80"/>
    <w:rsid w:val="00B00D32"/>
    <w:rsid w:val="00B0162E"/>
    <w:rsid w:val="00B0176A"/>
    <w:rsid w:val="00B03410"/>
    <w:rsid w:val="00B125ED"/>
    <w:rsid w:val="00B33BF3"/>
    <w:rsid w:val="00B47B0E"/>
    <w:rsid w:val="00B52052"/>
    <w:rsid w:val="00B60269"/>
    <w:rsid w:val="00B711E0"/>
    <w:rsid w:val="00B943EA"/>
    <w:rsid w:val="00B96619"/>
    <w:rsid w:val="00B97898"/>
    <w:rsid w:val="00BA2BC1"/>
    <w:rsid w:val="00BB3A80"/>
    <w:rsid w:val="00BC08D6"/>
    <w:rsid w:val="00BC1275"/>
    <w:rsid w:val="00BC640B"/>
    <w:rsid w:val="00BC6823"/>
    <w:rsid w:val="00BD17DB"/>
    <w:rsid w:val="00BD2915"/>
    <w:rsid w:val="00BD3C85"/>
    <w:rsid w:val="00BD719B"/>
    <w:rsid w:val="00BE0135"/>
    <w:rsid w:val="00BE34F9"/>
    <w:rsid w:val="00BE3DC5"/>
    <w:rsid w:val="00BE42A3"/>
    <w:rsid w:val="00BE4670"/>
    <w:rsid w:val="00BF5974"/>
    <w:rsid w:val="00C01A61"/>
    <w:rsid w:val="00C051A4"/>
    <w:rsid w:val="00C10DE9"/>
    <w:rsid w:val="00C12C6B"/>
    <w:rsid w:val="00C134AE"/>
    <w:rsid w:val="00C15345"/>
    <w:rsid w:val="00C1621A"/>
    <w:rsid w:val="00C24839"/>
    <w:rsid w:val="00C33E40"/>
    <w:rsid w:val="00C4060F"/>
    <w:rsid w:val="00C4126B"/>
    <w:rsid w:val="00C42171"/>
    <w:rsid w:val="00C4499E"/>
    <w:rsid w:val="00C44B28"/>
    <w:rsid w:val="00C65129"/>
    <w:rsid w:val="00C65136"/>
    <w:rsid w:val="00C65A8F"/>
    <w:rsid w:val="00C66B73"/>
    <w:rsid w:val="00C66F7A"/>
    <w:rsid w:val="00C676BB"/>
    <w:rsid w:val="00C73B12"/>
    <w:rsid w:val="00C74673"/>
    <w:rsid w:val="00C825B9"/>
    <w:rsid w:val="00C93635"/>
    <w:rsid w:val="00C93D5E"/>
    <w:rsid w:val="00C952B6"/>
    <w:rsid w:val="00CA4A74"/>
    <w:rsid w:val="00CB42A0"/>
    <w:rsid w:val="00CB51B4"/>
    <w:rsid w:val="00CD116B"/>
    <w:rsid w:val="00CD2504"/>
    <w:rsid w:val="00CD4566"/>
    <w:rsid w:val="00CD52B3"/>
    <w:rsid w:val="00CE13F7"/>
    <w:rsid w:val="00CE17F6"/>
    <w:rsid w:val="00CE3678"/>
    <w:rsid w:val="00CE534F"/>
    <w:rsid w:val="00CE5E5B"/>
    <w:rsid w:val="00CF11C8"/>
    <w:rsid w:val="00CF4296"/>
    <w:rsid w:val="00D24132"/>
    <w:rsid w:val="00D246F7"/>
    <w:rsid w:val="00D25F5C"/>
    <w:rsid w:val="00D263F8"/>
    <w:rsid w:val="00D31F0C"/>
    <w:rsid w:val="00D321C0"/>
    <w:rsid w:val="00D332A6"/>
    <w:rsid w:val="00D37D9F"/>
    <w:rsid w:val="00D465E9"/>
    <w:rsid w:val="00D51968"/>
    <w:rsid w:val="00D5585C"/>
    <w:rsid w:val="00D601E8"/>
    <w:rsid w:val="00D67607"/>
    <w:rsid w:val="00D715CA"/>
    <w:rsid w:val="00D71C4B"/>
    <w:rsid w:val="00D755BA"/>
    <w:rsid w:val="00D94E08"/>
    <w:rsid w:val="00D97C75"/>
    <w:rsid w:val="00DA4063"/>
    <w:rsid w:val="00DB38C6"/>
    <w:rsid w:val="00DC0EAB"/>
    <w:rsid w:val="00DD4792"/>
    <w:rsid w:val="00DE4D70"/>
    <w:rsid w:val="00DF22C8"/>
    <w:rsid w:val="00DF481E"/>
    <w:rsid w:val="00DF712A"/>
    <w:rsid w:val="00E12F10"/>
    <w:rsid w:val="00E20632"/>
    <w:rsid w:val="00E32C53"/>
    <w:rsid w:val="00E361F9"/>
    <w:rsid w:val="00E45CA2"/>
    <w:rsid w:val="00E461A0"/>
    <w:rsid w:val="00E562DF"/>
    <w:rsid w:val="00E848BC"/>
    <w:rsid w:val="00E8771E"/>
    <w:rsid w:val="00E87DA0"/>
    <w:rsid w:val="00E91C41"/>
    <w:rsid w:val="00E94ECC"/>
    <w:rsid w:val="00E97E0B"/>
    <w:rsid w:val="00EA1783"/>
    <w:rsid w:val="00EA1983"/>
    <w:rsid w:val="00EB1273"/>
    <w:rsid w:val="00EC161B"/>
    <w:rsid w:val="00ED25E8"/>
    <w:rsid w:val="00ED3180"/>
    <w:rsid w:val="00EF7166"/>
    <w:rsid w:val="00F0282B"/>
    <w:rsid w:val="00F049D1"/>
    <w:rsid w:val="00F04B96"/>
    <w:rsid w:val="00F0632C"/>
    <w:rsid w:val="00F0657A"/>
    <w:rsid w:val="00F13E2B"/>
    <w:rsid w:val="00F14E0E"/>
    <w:rsid w:val="00F16300"/>
    <w:rsid w:val="00F21077"/>
    <w:rsid w:val="00F41DA0"/>
    <w:rsid w:val="00F43D4A"/>
    <w:rsid w:val="00F43DA1"/>
    <w:rsid w:val="00F4444D"/>
    <w:rsid w:val="00F45A0D"/>
    <w:rsid w:val="00F616A2"/>
    <w:rsid w:val="00F666A7"/>
    <w:rsid w:val="00F72519"/>
    <w:rsid w:val="00F7346F"/>
    <w:rsid w:val="00F749F6"/>
    <w:rsid w:val="00F7521D"/>
    <w:rsid w:val="00F76CAA"/>
    <w:rsid w:val="00F77905"/>
    <w:rsid w:val="00F81417"/>
    <w:rsid w:val="00F8407F"/>
    <w:rsid w:val="00F847FB"/>
    <w:rsid w:val="00F91430"/>
    <w:rsid w:val="00F97B92"/>
    <w:rsid w:val="00FA4728"/>
    <w:rsid w:val="00FA6305"/>
    <w:rsid w:val="00FB00AF"/>
    <w:rsid w:val="00FB4385"/>
    <w:rsid w:val="00FB4942"/>
    <w:rsid w:val="00FC70F7"/>
    <w:rsid w:val="00FD1086"/>
    <w:rsid w:val="00FD2F2A"/>
    <w:rsid w:val="00FD66B0"/>
    <w:rsid w:val="00FE059A"/>
    <w:rsid w:val="00FE72E5"/>
    <w:rsid w:val="010A05FE"/>
    <w:rsid w:val="0159074B"/>
    <w:rsid w:val="021A57A8"/>
    <w:rsid w:val="021E5E6B"/>
    <w:rsid w:val="02434C7E"/>
    <w:rsid w:val="02842203"/>
    <w:rsid w:val="02B74B92"/>
    <w:rsid w:val="03374316"/>
    <w:rsid w:val="04093E1E"/>
    <w:rsid w:val="04617F85"/>
    <w:rsid w:val="053E4524"/>
    <w:rsid w:val="057512D0"/>
    <w:rsid w:val="05A56300"/>
    <w:rsid w:val="05F52913"/>
    <w:rsid w:val="06C47B9A"/>
    <w:rsid w:val="06CE7D0F"/>
    <w:rsid w:val="07C815E6"/>
    <w:rsid w:val="07EF4B3B"/>
    <w:rsid w:val="08A74FB5"/>
    <w:rsid w:val="08E17950"/>
    <w:rsid w:val="091F42A3"/>
    <w:rsid w:val="09220B1C"/>
    <w:rsid w:val="096E363B"/>
    <w:rsid w:val="09BE7D1D"/>
    <w:rsid w:val="09C04B46"/>
    <w:rsid w:val="0A781F3E"/>
    <w:rsid w:val="0AF41EA8"/>
    <w:rsid w:val="0B572FEF"/>
    <w:rsid w:val="0B85799F"/>
    <w:rsid w:val="0C176243"/>
    <w:rsid w:val="0D575D9A"/>
    <w:rsid w:val="0D7F3BC3"/>
    <w:rsid w:val="0DD43CA7"/>
    <w:rsid w:val="0EA04BAF"/>
    <w:rsid w:val="0EE228A3"/>
    <w:rsid w:val="0F7F6343"/>
    <w:rsid w:val="0FD61C00"/>
    <w:rsid w:val="100111F3"/>
    <w:rsid w:val="105248E6"/>
    <w:rsid w:val="107A3812"/>
    <w:rsid w:val="10A342B4"/>
    <w:rsid w:val="116555F0"/>
    <w:rsid w:val="11A02491"/>
    <w:rsid w:val="11ED59E0"/>
    <w:rsid w:val="124A7E49"/>
    <w:rsid w:val="12A80226"/>
    <w:rsid w:val="12AD0BF8"/>
    <w:rsid w:val="133833D9"/>
    <w:rsid w:val="13453400"/>
    <w:rsid w:val="13FA41EA"/>
    <w:rsid w:val="1437703A"/>
    <w:rsid w:val="14540C97"/>
    <w:rsid w:val="14C543E1"/>
    <w:rsid w:val="150073DE"/>
    <w:rsid w:val="15353C26"/>
    <w:rsid w:val="15731E9B"/>
    <w:rsid w:val="16231680"/>
    <w:rsid w:val="16502A4E"/>
    <w:rsid w:val="16765941"/>
    <w:rsid w:val="16787C44"/>
    <w:rsid w:val="169609C4"/>
    <w:rsid w:val="16FB124F"/>
    <w:rsid w:val="17114305"/>
    <w:rsid w:val="172E3E14"/>
    <w:rsid w:val="17755884"/>
    <w:rsid w:val="180142D6"/>
    <w:rsid w:val="18A77441"/>
    <w:rsid w:val="18B7354C"/>
    <w:rsid w:val="18C41BB5"/>
    <w:rsid w:val="18D93664"/>
    <w:rsid w:val="191A5A1A"/>
    <w:rsid w:val="19736F5E"/>
    <w:rsid w:val="199B453F"/>
    <w:rsid w:val="1A023CF5"/>
    <w:rsid w:val="1A203980"/>
    <w:rsid w:val="1AD25BCE"/>
    <w:rsid w:val="1AE206EE"/>
    <w:rsid w:val="1B6746CF"/>
    <w:rsid w:val="1BDD75E2"/>
    <w:rsid w:val="1C0F539F"/>
    <w:rsid w:val="1C24245E"/>
    <w:rsid w:val="1DF0343A"/>
    <w:rsid w:val="1E2962CA"/>
    <w:rsid w:val="1E5E12B4"/>
    <w:rsid w:val="1EB966E6"/>
    <w:rsid w:val="1F554CDB"/>
    <w:rsid w:val="1FB46199"/>
    <w:rsid w:val="20106E33"/>
    <w:rsid w:val="202A22FB"/>
    <w:rsid w:val="20A85AD5"/>
    <w:rsid w:val="20FC0744"/>
    <w:rsid w:val="211E3C98"/>
    <w:rsid w:val="2183555F"/>
    <w:rsid w:val="21CF435E"/>
    <w:rsid w:val="237D1751"/>
    <w:rsid w:val="239D06CA"/>
    <w:rsid w:val="23B8373A"/>
    <w:rsid w:val="240272E5"/>
    <w:rsid w:val="243E450B"/>
    <w:rsid w:val="25894B57"/>
    <w:rsid w:val="25B213EA"/>
    <w:rsid w:val="26007467"/>
    <w:rsid w:val="26806204"/>
    <w:rsid w:val="26F67678"/>
    <w:rsid w:val="277270A0"/>
    <w:rsid w:val="27CE703E"/>
    <w:rsid w:val="2808303D"/>
    <w:rsid w:val="2895052E"/>
    <w:rsid w:val="28B464C9"/>
    <w:rsid w:val="28EE5E33"/>
    <w:rsid w:val="28F82F2C"/>
    <w:rsid w:val="29707248"/>
    <w:rsid w:val="298844DF"/>
    <w:rsid w:val="29B71EE2"/>
    <w:rsid w:val="29D943AB"/>
    <w:rsid w:val="29F63F02"/>
    <w:rsid w:val="2A2D1B2F"/>
    <w:rsid w:val="2A3D2C2B"/>
    <w:rsid w:val="2A73010D"/>
    <w:rsid w:val="2AA452E7"/>
    <w:rsid w:val="2B0D26F8"/>
    <w:rsid w:val="2B4116B0"/>
    <w:rsid w:val="2B4A6A12"/>
    <w:rsid w:val="2B7B56D7"/>
    <w:rsid w:val="2B8625B1"/>
    <w:rsid w:val="2BBF5FEE"/>
    <w:rsid w:val="2BD26F8C"/>
    <w:rsid w:val="2BFD337B"/>
    <w:rsid w:val="2C3F5733"/>
    <w:rsid w:val="2CD86C18"/>
    <w:rsid w:val="2CE27604"/>
    <w:rsid w:val="2CE97AAB"/>
    <w:rsid w:val="2D445B44"/>
    <w:rsid w:val="2D447ECB"/>
    <w:rsid w:val="2DC32264"/>
    <w:rsid w:val="2DEA30CA"/>
    <w:rsid w:val="2DEC13D1"/>
    <w:rsid w:val="2E43372A"/>
    <w:rsid w:val="2E757CBB"/>
    <w:rsid w:val="2ECF1A2B"/>
    <w:rsid w:val="2F3A5066"/>
    <w:rsid w:val="2F8841E0"/>
    <w:rsid w:val="31765FFB"/>
    <w:rsid w:val="32113FF9"/>
    <w:rsid w:val="32545F2C"/>
    <w:rsid w:val="327F58EB"/>
    <w:rsid w:val="33011FC5"/>
    <w:rsid w:val="33637370"/>
    <w:rsid w:val="33EB42C1"/>
    <w:rsid w:val="344057F2"/>
    <w:rsid w:val="34A93E3C"/>
    <w:rsid w:val="34EA0E29"/>
    <w:rsid w:val="3526220C"/>
    <w:rsid w:val="35535D07"/>
    <w:rsid w:val="36334B24"/>
    <w:rsid w:val="36BA5D2F"/>
    <w:rsid w:val="36D07877"/>
    <w:rsid w:val="3702394F"/>
    <w:rsid w:val="373B380F"/>
    <w:rsid w:val="380718B1"/>
    <w:rsid w:val="381C47C8"/>
    <w:rsid w:val="38C8326D"/>
    <w:rsid w:val="390079B7"/>
    <w:rsid w:val="3A100FA3"/>
    <w:rsid w:val="3AD96AF9"/>
    <w:rsid w:val="3AFF6C4C"/>
    <w:rsid w:val="3BB7038F"/>
    <w:rsid w:val="3BD91464"/>
    <w:rsid w:val="3C0E6BA5"/>
    <w:rsid w:val="3C7E15AD"/>
    <w:rsid w:val="3DE32DB8"/>
    <w:rsid w:val="3DE51159"/>
    <w:rsid w:val="3E2E0DB1"/>
    <w:rsid w:val="3E836293"/>
    <w:rsid w:val="3EBF74F2"/>
    <w:rsid w:val="3F042695"/>
    <w:rsid w:val="3F4A2FB7"/>
    <w:rsid w:val="3F634A8A"/>
    <w:rsid w:val="3F744033"/>
    <w:rsid w:val="3F8948FC"/>
    <w:rsid w:val="3F96510E"/>
    <w:rsid w:val="3FA10CED"/>
    <w:rsid w:val="3FD0307E"/>
    <w:rsid w:val="40063536"/>
    <w:rsid w:val="402B4145"/>
    <w:rsid w:val="406B1E48"/>
    <w:rsid w:val="40BE5450"/>
    <w:rsid w:val="40C10FC0"/>
    <w:rsid w:val="416F61AA"/>
    <w:rsid w:val="41933181"/>
    <w:rsid w:val="41FC7704"/>
    <w:rsid w:val="42052DF8"/>
    <w:rsid w:val="42C45840"/>
    <w:rsid w:val="434C384E"/>
    <w:rsid w:val="435C46B1"/>
    <w:rsid w:val="43980E0E"/>
    <w:rsid w:val="43A143FC"/>
    <w:rsid w:val="440A02F0"/>
    <w:rsid w:val="441A4743"/>
    <w:rsid w:val="448B4DA5"/>
    <w:rsid w:val="44FC34C2"/>
    <w:rsid w:val="45714BF4"/>
    <w:rsid w:val="458601DF"/>
    <w:rsid w:val="45CA0D21"/>
    <w:rsid w:val="46062DC4"/>
    <w:rsid w:val="460A5C60"/>
    <w:rsid w:val="46795BC6"/>
    <w:rsid w:val="46B12C8F"/>
    <w:rsid w:val="475E44B5"/>
    <w:rsid w:val="47855964"/>
    <w:rsid w:val="47A66C13"/>
    <w:rsid w:val="47C268A7"/>
    <w:rsid w:val="483758F8"/>
    <w:rsid w:val="49520D52"/>
    <w:rsid w:val="495C3B00"/>
    <w:rsid w:val="49A63177"/>
    <w:rsid w:val="49E07403"/>
    <w:rsid w:val="4A8C25ED"/>
    <w:rsid w:val="4AEE6A4A"/>
    <w:rsid w:val="4B19129D"/>
    <w:rsid w:val="4B8F4230"/>
    <w:rsid w:val="4BE05A0C"/>
    <w:rsid w:val="4D5C3A47"/>
    <w:rsid w:val="4D7B5AF2"/>
    <w:rsid w:val="4D872071"/>
    <w:rsid w:val="4DD903ED"/>
    <w:rsid w:val="4DDC795C"/>
    <w:rsid w:val="4E315604"/>
    <w:rsid w:val="4EA932B9"/>
    <w:rsid w:val="4EF24D50"/>
    <w:rsid w:val="4F0F2539"/>
    <w:rsid w:val="4F1D6A04"/>
    <w:rsid w:val="4F307F6C"/>
    <w:rsid w:val="4FCE2324"/>
    <w:rsid w:val="4FE707F9"/>
    <w:rsid w:val="51331F1F"/>
    <w:rsid w:val="51B7095D"/>
    <w:rsid w:val="520815E4"/>
    <w:rsid w:val="526346BF"/>
    <w:rsid w:val="53047A1F"/>
    <w:rsid w:val="530B31AE"/>
    <w:rsid w:val="530E05A0"/>
    <w:rsid w:val="531B7E68"/>
    <w:rsid w:val="53CE2088"/>
    <w:rsid w:val="53CF2943"/>
    <w:rsid w:val="544D47A7"/>
    <w:rsid w:val="5455096B"/>
    <w:rsid w:val="54720D32"/>
    <w:rsid w:val="54DA0EF3"/>
    <w:rsid w:val="54F21A00"/>
    <w:rsid w:val="54F4648C"/>
    <w:rsid w:val="5526271C"/>
    <w:rsid w:val="55645003"/>
    <w:rsid w:val="564129CC"/>
    <w:rsid w:val="56AD63C9"/>
    <w:rsid w:val="57082B07"/>
    <w:rsid w:val="57760D48"/>
    <w:rsid w:val="57E7257E"/>
    <w:rsid w:val="59323856"/>
    <w:rsid w:val="59AF3113"/>
    <w:rsid w:val="5ADE6119"/>
    <w:rsid w:val="5AE158C2"/>
    <w:rsid w:val="5AEA2330"/>
    <w:rsid w:val="5B03285B"/>
    <w:rsid w:val="5B364597"/>
    <w:rsid w:val="5B7C0F56"/>
    <w:rsid w:val="5BE142CD"/>
    <w:rsid w:val="5BEF16F8"/>
    <w:rsid w:val="5BF8682E"/>
    <w:rsid w:val="5C3453E8"/>
    <w:rsid w:val="5C71213D"/>
    <w:rsid w:val="5C853516"/>
    <w:rsid w:val="5C9E313B"/>
    <w:rsid w:val="5CAA074D"/>
    <w:rsid w:val="5CC75551"/>
    <w:rsid w:val="5D2F0A42"/>
    <w:rsid w:val="5D8946F3"/>
    <w:rsid w:val="5E2A10B8"/>
    <w:rsid w:val="5E330C7C"/>
    <w:rsid w:val="5E3D29C1"/>
    <w:rsid w:val="5E4B66E9"/>
    <w:rsid w:val="5E6E2DD8"/>
    <w:rsid w:val="5ED3379D"/>
    <w:rsid w:val="5F246134"/>
    <w:rsid w:val="5F2A5D1B"/>
    <w:rsid w:val="5F3C2EE3"/>
    <w:rsid w:val="5F634FD8"/>
    <w:rsid w:val="601D7222"/>
    <w:rsid w:val="601E04D7"/>
    <w:rsid w:val="60416D94"/>
    <w:rsid w:val="61406A95"/>
    <w:rsid w:val="62107D22"/>
    <w:rsid w:val="62943029"/>
    <w:rsid w:val="62F91BEB"/>
    <w:rsid w:val="630D6DDB"/>
    <w:rsid w:val="636547FD"/>
    <w:rsid w:val="638554FB"/>
    <w:rsid w:val="63AD1D2B"/>
    <w:rsid w:val="63D62F33"/>
    <w:rsid w:val="6446775D"/>
    <w:rsid w:val="652945C9"/>
    <w:rsid w:val="657A6506"/>
    <w:rsid w:val="658E5FF6"/>
    <w:rsid w:val="65BD600B"/>
    <w:rsid w:val="65D33FFC"/>
    <w:rsid w:val="65D463E1"/>
    <w:rsid w:val="66922D9F"/>
    <w:rsid w:val="66D93119"/>
    <w:rsid w:val="679E1478"/>
    <w:rsid w:val="68394457"/>
    <w:rsid w:val="68633281"/>
    <w:rsid w:val="68EC0E71"/>
    <w:rsid w:val="69230474"/>
    <w:rsid w:val="698113CF"/>
    <w:rsid w:val="6A415A06"/>
    <w:rsid w:val="6A577A5F"/>
    <w:rsid w:val="6AF11D9A"/>
    <w:rsid w:val="6AF908C5"/>
    <w:rsid w:val="6B127920"/>
    <w:rsid w:val="6B555E80"/>
    <w:rsid w:val="6B8C1D16"/>
    <w:rsid w:val="6BEC49C1"/>
    <w:rsid w:val="6BFE0D39"/>
    <w:rsid w:val="6CAE61F8"/>
    <w:rsid w:val="6DAF2BF4"/>
    <w:rsid w:val="6DFA6436"/>
    <w:rsid w:val="6E034AAE"/>
    <w:rsid w:val="6E75553E"/>
    <w:rsid w:val="6E956B93"/>
    <w:rsid w:val="70297718"/>
    <w:rsid w:val="704F62F3"/>
    <w:rsid w:val="705B6F34"/>
    <w:rsid w:val="707324D0"/>
    <w:rsid w:val="70737F0D"/>
    <w:rsid w:val="70B928CD"/>
    <w:rsid w:val="71A861A9"/>
    <w:rsid w:val="723F6B5E"/>
    <w:rsid w:val="72AB261F"/>
    <w:rsid w:val="72AC0082"/>
    <w:rsid w:val="73EC3BFF"/>
    <w:rsid w:val="746A425C"/>
    <w:rsid w:val="74B872DC"/>
    <w:rsid w:val="75270B84"/>
    <w:rsid w:val="759206C7"/>
    <w:rsid w:val="75DB1165"/>
    <w:rsid w:val="76623E60"/>
    <w:rsid w:val="76831EA7"/>
    <w:rsid w:val="772624BD"/>
    <w:rsid w:val="77A23D6D"/>
    <w:rsid w:val="788112DC"/>
    <w:rsid w:val="78890449"/>
    <w:rsid w:val="789631FF"/>
    <w:rsid w:val="78D24205"/>
    <w:rsid w:val="79344625"/>
    <w:rsid w:val="796241B3"/>
    <w:rsid w:val="79830840"/>
    <w:rsid w:val="79BC663E"/>
    <w:rsid w:val="7A1A3E38"/>
    <w:rsid w:val="7A371522"/>
    <w:rsid w:val="7B0E0510"/>
    <w:rsid w:val="7B201228"/>
    <w:rsid w:val="7CA06605"/>
    <w:rsid w:val="7D431498"/>
    <w:rsid w:val="7E21296E"/>
    <w:rsid w:val="7E443788"/>
    <w:rsid w:val="7F121F46"/>
    <w:rsid w:val="7FF9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99" w:semiHidden="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9"/>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7"/>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74"/>
    <w:qFormat/>
    <w:uiPriority w:val="0"/>
    <w:pPr>
      <w:keepNext/>
      <w:keepLines/>
      <w:adjustRightInd w:val="0"/>
      <w:spacing w:before="280" w:after="290" w:line="376" w:lineRule="atLeast"/>
      <w:textAlignment w:val="baseline"/>
      <w:outlineLvl w:val="3"/>
    </w:pPr>
    <w:rPr>
      <w:rFonts w:ascii="Arial" w:hAnsi="Arial"/>
      <w:b/>
      <w:spacing w:val="20"/>
      <w:kern w:val="0"/>
      <w:sz w:val="28"/>
      <w:szCs w:val="20"/>
    </w:rPr>
  </w:style>
  <w:style w:type="paragraph" w:styleId="6">
    <w:name w:val="heading 5"/>
    <w:basedOn w:val="1"/>
    <w:next w:val="1"/>
    <w:link w:val="84"/>
    <w:qFormat/>
    <w:uiPriority w:val="0"/>
    <w:pPr>
      <w:keepNext/>
      <w:keepLines/>
      <w:adjustRightInd w:val="0"/>
      <w:spacing w:before="280" w:after="290" w:line="376" w:lineRule="atLeast"/>
      <w:textAlignment w:val="baseline"/>
      <w:outlineLvl w:val="4"/>
    </w:pPr>
    <w:rPr>
      <w:rFonts w:ascii="Times New Roman" w:hAnsi="Times New Roman"/>
      <w:b/>
      <w:spacing w:val="20"/>
      <w:kern w:val="0"/>
      <w:sz w:val="28"/>
      <w:szCs w:val="20"/>
    </w:rPr>
  </w:style>
  <w:style w:type="paragraph" w:styleId="7">
    <w:name w:val="heading 6"/>
    <w:basedOn w:val="1"/>
    <w:next w:val="1"/>
    <w:link w:val="80"/>
    <w:qFormat/>
    <w:uiPriority w:val="0"/>
    <w:pPr>
      <w:widowControl/>
      <w:tabs>
        <w:tab w:val="left" w:pos="567"/>
        <w:tab w:val="left" w:pos="1418"/>
        <w:tab w:val="left" w:pos="2268"/>
        <w:tab w:val="left" w:pos="3402"/>
        <w:tab w:val="left" w:pos="4536"/>
        <w:tab w:val="left" w:pos="5954"/>
      </w:tabs>
      <w:overflowPunct w:val="0"/>
      <w:autoSpaceDE w:val="0"/>
      <w:autoSpaceDN w:val="0"/>
      <w:adjustRightInd w:val="0"/>
      <w:textAlignment w:val="baseline"/>
      <w:outlineLvl w:val="5"/>
    </w:pPr>
    <w:rPr>
      <w:rFonts w:ascii="Helvetica" w:hAnsi="Helvetica" w:eastAsia="楷体_GB2312"/>
      <w:b/>
      <w:i/>
      <w:kern w:val="0"/>
      <w:position w:val="-6"/>
      <w:sz w:val="22"/>
      <w:szCs w:val="20"/>
      <w:lang w:val="en-GB"/>
    </w:rPr>
  </w:style>
  <w:style w:type="paragraph" w:styleId="8">
    <w:name w:val="heading 7"/>
    <w:basedOn w:val="1"/>
    <w:next w:val="1"/>
    <w:link w:val="69"/>
    <w:qFormat/>
    <w:uiPriority w:val="0"/>
    <w:pPr>
      <w:widowControl/>
      <w:overflowPunct w:val="0"/>
      <w:autoSpaceDE w:val="0"/>
      <w:autoSpaceDN w:val="0"/>
      <w:adjustRightInd w:val="0"/>
      <w:textAlignment w:val="baseline"/>
      <w:outlineLvl w:val="6"/>
    </w:pPr>
    <w:rPr>
      <w:rFonts w:ascii="Times New Roman" w:hAnsi="Times New Roman" w:eastAsia="楷体_GB2312"/>
      <w:i/>
      <w:kern w:val="0"/>
      <w:position w:val="-6"/>
      <w:sz w:val="22"/>
      <w:szCs w:val="20"/>
      <w:lang w:val="en-GB"/>
    </w:rPr>
  </w:style>
  <w:style w:type="paragraph" w:styleId="9">
    <w:name w:val="heading 8"/>
    <w:basedOn w:val="1"/>
    <w:next w:val="1"/>
    <w:link w:val="111"/>
    <w:qFormat/>
    <w:uiPriority w:val="0"/>
    <w:pPr>
      <w:widowControl/>
      <w:overflowPunct w:val="0"/>
      <w:autoSpaceDE w:val="0"/>
      <w:autoSpaceDN w:val="0"/>
      <w:adjustRightInd w:val="0"/>
      <w:textAlignment w:val="baseline"/>
      <w:outlineLvl w:val="7"/>
    </w:pPr>
    <w:rPr>
      <w:rFonts w:ascii="Times New Roman" w:hAnsi="Times New Roman" w:eastAsia="楷体_GB2312"/>
      <w:i/>
      <w:kern w:val="0"/>
      <w:position w:val="-6"/>
      <w:sz w:val="22"/>
      <w:szCs w:val="20"/>
      <w:lang w:val="en-GB"/>
    </w:rPr>
  </w:style>
  <w:style w:type="paragraph" w:styleId="10">
    <w:name w:val="heading 9"/>
    <w:basedOn w:val="1"/>
    <w:next w:val="1"/>
    <w:link w:val="82"/>
    <w:qFormat/>
    <w:uiPriority w:val="0"/>
    <w:pPr>
      <w:widowControl/>
      <w:overflowPunct w:val="0"/>
      <w:autoSpaceDE w:val="0"/>
      <w:autoSpaceDN w:val="0"/>
      <w:adjustRightInd w:val="0"/>
      <w:textAlignment w:val="baseline"/>
      <w:outlineLvl w:val="8"/>
    </w:pPr>
    <w:rPr>
      <w:rFonts w:ascii="Times New Roman" w:hAnsi="Times New Roman" w:eastAsia="楷体_GB2312"/>
      <w:i/>
      <w:kern w:val="0"/>
      <w:position w:val="-6"/>
      <w:sz w:val="22"/>
      <w:szCs w:val="20"/>
      <w:lang w:val="en-GB"/>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qFormat/>
    <w:uiPriority w:val="0"/>
    <w:pPr>
      <w:spacing w:line="360" w:lineRule="exact"/>
      <w:ind w:left="525" w:firstLine="420"/>
    </w:pPr>
    <w:rPr>
      <w:rFonts w:ascii="宋体" w:hAnsi="Times New Roman"/>
      <w:szCs w:val="20"/>
    </w:rPr>
  </w:style>
  <w:style w:type="paragraph" w:styleId="13">
    <w:name w:val="Document Map"/>
    <w:basedOn w:val="1"/>
    <w:link w:val="88"/>
    <w:qFormat/>
    <w:uiPriority w:val="99"/>
    <w:pPr>
      <w:shd w:val="clear" w:color="auto" w:fill="000080"/>
    </w:pPr>
    <w:rPr>
      <w:rFonts w:ascii="宋体"/>
      <w:sz w:val="18"/>
      <w:szCs w:val="18"/>
    </w:rPr>
  </w:style>
  <w:style w:type="paragraph" w:styleId="14">
    <w:name w:val="annotation text"/>
    <w:basedOn w:val="1"/>
    <w:link w:val="95"/>
    <w:unhideWhenUsed/>
    <w:qFormat/>
    <w:uiPriority w:val="0"/>
    <w:pPr>
      <w:jc w:val="left"/>
    </w:pPr>
    <w:rPr>
      <w:kern w:val="0"/>
      <w:sz w:val="20"/>
      <w:szCs w:val="20"/>
    </w:rPr>
  </w:style>
  <w:style w:type="paragraph" w:styleId="15">
    <w:name w:val="Body Text 3"/>
    <w:basedOn w:val="1"/>
    <w:link w:val="90"/>
    <w:qFormat/>
    <w:uiPriority w:val="99"/>
    <w:rPr>
      <w:kern w:val="0"/>
      <w:sz w:val="16"/>
      <w:szCs w:val="16"/>
    </w:rPr>
  </w:style>
  <w:style w:type="paragraph" w:styleId="16">
    <w:name w:val="Body Text"/>
    <w:basedOn w:val="1"/>
    <w:link w:val="94"/>
    <w:qFormat/>
    <w:uiPriority w:val="0"/>
    <w:pPr>
      <w:spacing w:after="120"/>
    </w:pPr>
  </w:style>
  <w:style w:type="paragraph" w:styleId="17">
    <w:name w:val="Body Text Indent"/>
    <w:basedOn w:val="1"/>
    <w:link w:val="101"/>
    <w:qFormat/>
    <w:uiPriority w:val="99"/>
    <w:pPr>
      <w:spacing w:after="120"/>
      <w:ind w:left="420" w:leftChars="200"/>
    </w:pPr>
  </w:style>
  <w:style w:type="paragraph" w:styleId="18">
    <w:name w:val="List 2"/>
    <w:basedOn w:val="1"/>
    <w:qFormat/>
    <w:uiPriority w:val="0"/>
    <w:pPr>
      <w:ind w:left="840" w:hanging="420"/>
    </w:pPr>
    <w:rPr>
      <w:rFonts w:ascii="Times New Roman" w:hAnsi="Times New Roman"/>
      <w:sz w:val="24"/>
      <w:szCs w:val="20"/>
    </w:rPr>
  </w:style>
  <w:style w:type="paragraph" w:styleId="19">
    <w:name w:val="toc 3"/>
    <w:basedOn w:val="1"/>
    <w:next w:val="1"/>
    <w:semiHidden/>
    <w:unhideWhenUsed/>
    <w:qFormat/>
    <w:uiPriority w:val="39"/>
    <w:pPr>
      <w:ind w:left="840" w:leftChars="400"/>
    </w:pPr>
  </w:style>
  <w:style w:type="paragraph" w:styleId="20">
    <w:name w:val="Plain Text"/>
    <w:basedOn w:val="1"/>
    <w:link w:val="53"/>
    <w:qFormat/>
    <w:uiPriority w:val="99"/>
    <w:rPr>
      <w:rFonts w:ascii="宋体" w:hAnsi="Courier New"/>
      <w:szCs w:val="21"/>
    </w:rPr>
  </w:style>
  <w:style w:type="paragraph" w:styleId="21">
    <w:name w:val="Date"/>
    <w:basedOn w:val="1"/>
    <w:next w:val="1"/>
    <w:link w:val="73"/>
    <w:qFormat/>
    <w:uiPriority w:val="0"/>
    <w:pPr>
      <w:ind w:left="100" w:leftChars="2500"/>
    </w:pPr>
    <w:rPr>
      <w:kern w:val="0"/>
      <w:sz w:val="20"/>
      <w:szCs w:val="20"/>
    </w:rPr>
  </w:style>
  <w:style w:type="paragraph" w:styleId="22">
    <w:name w:val="Body Text Indent 2"/>
    <w:basedOn w:val="1"/>
    <w:link w:val="54"/>
    <w:qFormat/>
    <w:uiPriority w:val="99"/>
    <w:pPr>
      <w:spacing w:after="120" w:line="480" w:lineRule="auto"/>
      <w:ind w:left="420" w:leftChars="200"/>
    </w:pPr>
  </w:style>
  <w:style w:type="paragraph" w:styleId="23">
    <w:name w:val="Balloon Text"/>
    <w:basedOn w:val="1"/>
    <w:link w:val="115"/>
    <w:qFormat/>
    <w:uiPriority w:val="99"/>
    <w:rPr>
      <w:sz w:val="18"/>
      <w:szCs w:val="18"/>
    </w:rPr>
  </w:style>
  <w:style w:type="paragraph" w:styleId="24">
    <w:name w:val="footer"/>
    <w:basedOn w:val="1"/>
    <w:link w:val="97"/>
    <w:qFormat/>
    <w:uiPriority w:val="99"/>
    <w:pPr>
      <w:tabs>
        <w:tab w:val="center" w:pos="4153"/>
        <w:tab w:val="right" w:pos="8306"/>
      </w:tabs>
      <w:snapToGrid w:val="0"/>
      <w:jc w:val="left"/>
    </w:pPr>
    <w:rPr>
      <w:kern w:val="0"/>
      <w:sz w:val="18"/>
      <w:szCs w:val="18"/>
    </w:rPr>
  </w:style>
  <w:style w:type="paragraph" w:styleId="25">
    <w:name w:val="header"/>
    <w:basedOn w:val="1"/>
    <w:link w:val="86"/>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link w:val="67"/>
    <w:qFormat/>
    <w:uiPriority w:val="0"/>
    <w:rPr>
      <w:szCs w:val="24"/>
    </w:rPr>
  </w:style>
  <w:style w:type="paragraph" w:styleId="27">
    <w:name w:val="Body Text Indent 3"/>
    <w:basedOn w:val="1"/>
    <w:link w:val="113"/>
    <w:qFormat/>
    <w:uiPriority w:val="99"/>
    <w:pPr>
      <w:spacing w:after="120"/>
      <w:ind w:left="420" w:leftChars="200"/>
    </w:pPr>
    <w:rPr>
      <w:sz w:val="16"/>
      <w:szCs w:val="16"/>
    </w:rPr>
  </w:style>
  <w:style w:type="paragraph" w:styleId="28">
    <w:name w:val="toc 2"/>
    <w:basedOn w:val="1"/>
    <w:next w:val="1"/>
    <w:semiHidden/>
    <w:unhideWhenUsed/>
    <w:uiPriority w:val="39"/>
    <w:pPr>
      <w:ind w:left="420" w:leftChars="200"/>
    </w:pPr>
  </w:style>
  <w:style w:type="paragraph" w:styleId="29">
    <w:name w:val="Body Text 2"/>
    <w:basedOn w:val="1"/>
    <w:link w:val="71"/>
    <w:qFormat/>
    <w:uiPriority w:val="99"/>
    <w:pPr>
      <w:spacing w:line="400" w:lineRule="exact"/>
      <w:jc w:val="center"/>
    </w:pPr>
  </w:style>
  <w:style w:type="paragraph" w:styleId="30">
    <w:name w:val="HTML Preformatted"/>
    <w:basedOn w:val="1"/>
    <w:link w:val="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31">
    <w:name w:val="Normal (Web)"/>
    <w:basedOn w:val="1"/>
    <w:qFormat/>
    <w:uiPriority w:val="99"/>
    <w:pPr>
      <w:widowControl/>
      <w:jc w:val="left"/>
    </w:pPr>
    <w:rPr>
      <w:rFonts w:ascii="宋体" w:hAnsi="宋体" w:cs="宋体"/>
      <w:kern w:val="0"/>
      <w:sz w:val="24"/>
      <w:szCs w:val="24"/>
    </w:rPr>
  </w:style>
  <w:style w:type="paragraph" w:styleId="32">
    <w:name w:val="Title"/>
    <w:basedOn w:val="1"/>
    <w:link w:val="127"/>
    <w:qFormat/>
    <w:uiPriority w:val="10"/>
    <w:pPr>
      <w:spacing w:line="360" w:lineRule="auto"/>
      <w:jc w:val="center"/>
    </w:pPr>
    <w:rPr>
      <w:rFonts w:ascii="Cambria" w:hAnsi="Cambria"/>
      <w:b/>
      <w:bCs/>
      <w:sz w:val="32"/>
      <w:szCs w:val="32"/>
    </w:rPr>
  </w:style>
  <w:style w:type="paragraph" w:styleId="33">
    <w:name w:val="Body Text First Indent"/>
    <w:basedOn w:val="1"/>
    <w:link w:val="125"/>
    <w:qFormat/>
    <w:uiPriority w:val="0"/>
    <w:pPr>
      <w:ind w:firstLine="420" w:firstLineChars="100"/>
    </w:pPr>
  </w:style>
  <w:style w:type="paragraph" w:styleId="34">
    <w:name w:val="Body Text First Indent 2"/>
    <w:basedOn w:val="17"/>
    <w:link w:val="100"/>
    <w:qFormat/>
    <w:uiPriority w:val="0"/>
    <w:pPr>
      <w:ind w:firstLine="420" w:firstLineChars="200"/>
    </w:pPr>
  </w:style>
  <w:style w:type="table" w:styleId="36">
    <w:name w:val="Table Grid"/>
    <w:basedOn w:val="3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b/>
      <w:bCs/>
    </w:rPr>
  </w:style>
  <w:style w:type="character" w:styleId="39">
    <w:name w:val="page number"/>
    <w:qFormat/>
    <w:uiPriority w:val="0"/>
  </w:style>
  <w:style w:type="character" w:styleId="40">
    <w:name w:val="FollowedHyperlink"/>
    <w:unhideWhenUsed/>
    <w:qFormat/>
    <w:uiPriority w:val="99"/>
    <w:rPr>
      <w:color w:val="800080"/>
      <w:u w:val="none"/>
    </w:rPr>
  </w:style>
  <w:style w:type="character" w:styleId="41">
    <w:name w:val="Emphasis"/>
    <w:basedOn w:val="37"/>
    <w:qFormat/>
    <w:uiPriority w:val="20"/>
    <w:rPr>
      <w:b/>
    </w:rPr>
  </w:style>
  <w:style w:type="character" w:styleId="42">
    <w:name w:val="HTML Definition"/>
    <w:basedOn w:val="37"/>
    <w:semiHidden/>
    <w:unhideWhenUsed/>
    <w:qFormat/>
    <w:uiPriority w:val="0"/>
  </w:style>
  <w:style w:type="character" w:styleId="43">
    <w:name w:val="HTML Typewriter"/>
    <w:basedOn w:val="37"/>
    <w:semiHidden/>
    <w:unhideWhenUsed/>
    <w:qFormat/>
    <w:uiPriority w:val="0"/>
    <w:rPr>
      <w:rFonts w:hint="default" w:ascii="monospace" w:hAnsi="monospace" w:eastAsia="monospace" w:cs="monospace"/>
      <w:sz w:val="20"/>
    </w:rPr>
  </w:style>
  <w:style w:type="character" w:styleId="44">
    <w:name w:val="HTML Acronym"/>
    <w:basedOn w:val="37"/>
    <w:semiHidden/>
    <w:unhideWhenUsed/>
    <w:qFormat/>
    <w:uiPriority w:val="0"/>
  </w:style>
  <w:style w:type="character" w:styleId="45">
    <w:name w:val="HTML Variable"/>
    <w:basedOn w:val="37"/>
    <w:semiHidden/>
    <w:unhideWhenUsed/>
    <w:qFormat/>
    <w:uiPriority w:val="0"/>
  </w:style>
  <w:style w:type="character" w:styleId="46">
    <w:name w:val="Hyperlink"/>
    <w:qFormat/>
    <w:uiPriority w:val="99"/>
    <w:rPr>
      <w:color w:val="0000FF"/>
      <w:u w:val="none"/>
    </w:rPr>
  </w:style>
  <w:style w:type="character" w:styleId="47">
    <w:name w:val="HTML Code"/>
    <w:basedOn w:val="37"/>
    <w:semiHidden/>
    <w:unhideWhenUsed/>
    <w:qFormat/>
    <w:uiPriority w:val="0"/>
    <w:rPr>
      <w:rFonts w:hint="default" w:ascii="monospace" w:hAnsi="monospace" w:eastAsia="monospace" w:cs="monospace"/>
      <w:sz w:val="20"/>
    </w:rPr>
  </w:style>
  <w:style w:type="character" w:styleId="48">
    <w:name w:val="HTML Cite"/>
    <w:basedOn w:val="37"/>
    <w:semiHidden/>
    <w:unhideWhenUsed/>
    <w:qFormat/>
    <w:uiPriority w:val="0"/>
  </w:style>
  <w:style w:type="character" w:styleId="49">
    <w:name w:val="HTML Keyboard"/>
    <w:basedOn w:val="37"/>
    <w:semiHidden/>
    <w:unhideWhenUsed/>
    <w:qFormat/>
    <w:uiPriority w:val="0"/>
    <w:rPr>
      <w:rFonts w:hint="default" w:ascii="monospace" w:hAnsi="monospace" w:eastAsia="monospace" w:cs="monospace"/>
      <w:sz w:val="20"/>
    </w:rPr>
  </w:style>
  <w:style w:type="character" w:styleId="50">
    <w:name w:val="HTML Sample"/>
    <w:basedOn w:val="37"/>
    <w:semiHidden/>
    <w:unhideWhenUsed/>
    <w:qFormat/>
    <w:uiPriority w:val="0"/>
    <w:rPr>
      <w:rFonts w:ascii="monospace" w:hAnsi="monospace" w:eastAsia="monospace" w:cs="monospace"/>
    </w:rPr>
  </w:style>
  <w:style w:type="paragraph" w:customStyle="1" w:styleId="51">
    <w:name w:val="表格文字"/>
    <w:basedOn w:val="1"/>
    <w:next w:val="16"/>
    <w:qFormat/>
    <w:uiPriority w:val="0"/>
    <w:rPr>
      <w:rFonts w:eastAsia="楷体_GB2312"/>
      <w:szCs w:val="21"/>
    </w:rPr>
  </w:style>
  <w:style w:type="character" w:customStyle="1" w:styleId="52">
    <w:name w:val="font241"/>
    <w:qFormat/>
    <w:uiPriority w:val="0"/>
    <w:rPr>
      <w:rFonts w:ascii="Arial" w:hAnsi="Arial" w:cs="Arial"/>
      <w:color w:val="000000"/>
      <w:sz w:val="20"/>
      <w:szCs w:val="20"/>
      <w:u w:val="none"/>
    </w:rPr>
  </w:style>
  <w:style w:type="character" w:customStyle="1" w:styleId="53">
    <w:name w:val="纯文本 Char1"/>
    <w:link w:val="20"/>
    <w:semiHidden/>
    <w:qFormat/>
    <w:uiPriority w:val="99"/>
    <w:rPr>
      <w:rFonts w:ascii="宋体" w:hAnsi="Courier New" w:cs="Courier New"/>
      <w:kern w:val="2"/>
      <w:sz w:val="21"/>
      <w:szCs w:val="21"/>
    </w:rPr>
  </w:style>
  <w:style w:type="character" w:customStyle="1" w:styleId="54">
    <w:name w:val="正文文本缩进 2 Char1"/>
    <w:link w:val="22"/>
    <w:semiHidden/>
    <w:qFormat/>
    <w:uiPriority w:val="99"/>
    <w:rPr>
      <w:rFonts w:ascii="Calibri" w:hAnsi="Calibri"/>
      <w:kern w:val="2"/>
      <w:sz w:val="21"/>
      <w:szCs w:val="22"/>
    </w:rPr>
  </w:style>
  <w:style w:type="character" w:customStyle="1" w:styleId="55">
    <w:name w:val="font41"/>
    <w:qFormat/>
    <w:uiPriority w:val="0"/>
    <w:rPr>
      <w:rFonts w:hint="eastAsia" w:ascii="宋体" w:hAnsi="宋体" w:eastAsia="宋体" w:cs="宋体"/>
      <w:color w:val="000000"/>
      <w:sz w:val="21"/>
      <w:szCs w:val="21"/>
      <w:u w:val="none"/>
    </w:rPr>
  </w:style>
  <w:style w:type="character" w:customStyle="1" w:styleId="56">
    <w:name w:val="font251"/>
    <w:qFormat/>
    <w:uiPriority w:val="0"/>
    <w:rPr>
      <w:rFonts w:ascii="Arial" w:hAnsi="Arial" w:cs="Arial"/>
      <w:color w:val="000000"/>
      <w:sz w:val="16"/>
      <w:szCs w:val="16"/>
      <w:u w:val="none"/>
    </w:rPr>
  </w:style>
  <w:style w:type="character" w:customStyle="1" w:styleId="57">
    <w:name w:val="font131"/>
    <w:qFormat/>
    <w:uiPriority w:val="0"/>
    <w:rPr>
      <w:rFonts w:hint="eastAsia" w:ascii="宋体" w:hAnsi="宋体" w:eastAsia="宋体" w:cs="宋体"/>
      <w:color w:val="000000"/>
      <w:sz w:val="21"/>
      <w:szCs w:val="21"/>
      <w:u w:val="none"/>
    </w:rPr>
  </w:style>
  <w:style w:type="character" w:customStyle="1" w:styleId="58">
    <w:name w:val="日期 Char1"/>
    <w:semiHidden/>
    <w:qFormat/>
    <w:uiPriority w:val="99"/>
    <w:rPr>
      <w:rFonts w:ascii="Times New Roman" w:hAnsi="Times New Roman" w:eastAsia="宋体" w:cs="Times New Roman"/>
      <w:szCs w:val="24"/>
    </w:rPr>
  </w:style>
  <w:style w:type="character" w:customStyle="1" w:styleId="59">
    <w:name w:val="正文首行缩进 Char"/>
    <w:qFormat/>
    <w:uiPriority w:val="0"/>
    <w:rPr>
      <w:szCs w:val="24"/>
    </w:rPr>
  </w:style>
  <w:style w:type="character" w:customStyle="1" w:styleId="60">
    <w:name w:val="font261"/>
    <w:qFormat/>
    <w:uiPriority w:val="0"/>
    <w:rPr>
      <w:rFonts w:ascii="Arial" w:hAnsi="Arial" w:cs="Arial"/>
      <w:b/>
      <w:color w:val="000000"/>
      <w:sz w:val="16"/>
      <w:szCs w:val="16"/>
      <w:u w:val="none"/>
    </w:rPr>
  </w:style>
  <w:style w:type="character" w:customStyle="1" w:styleId="61">
    <w:name w:val="标题 2 Char"/>
    <w:link w:val="3"/>
    <w:qFormat/>
    <w:uiPriority w:val="0"/>
    <w:rPr>
      <w:rFonts w:ascii="Arial" w:hAnsi="Arial" w:eastAsia="黑体"/>
      <w:b/>
      <w:bCs/>
      <w:kern w:val="2"/>
      <w:sz w:val="32"/>
      <w:szCs w:val="32"/>
    </w:rPr>
  </w:style>
  <w:style w:type="character" w:customStyle="1" w:styleId="62">
    <w:name w:val="font181"/>
    <w:qFormat/>
    <w:uiPriority w:val="0"/>
    <w:rPr>
      <w:rFonts w:hint="eastAsia" w:ascii="宋体" w:hAnsi="宋体" w:eastAsia="宋体" w:cs="宋体"/>
      <w:b/>
      <w:color w:val="000000"/>
      <w:sz w:val="28"/>
      <w:szCs w:val="28"/>
      <w:u w:val="none"/>
    </w:rPr>
  </w:style>
  <w:style w:type="character" w:customStyle="1" w:styleId="63">
    <w:name w:val="正文文本 2 Char"/>
    <w:qFormat/>
    <w:uiPriority w:val="0"/>
    <w:rPr>
      <w:rFonts w:eastAsia="华文中宋"/>
      <w:color w:val="000000"/>
      <w:sz w:val="36"/>
      <w:szCs w:val="21"/>
    </w:rPr>
  </w:style>
  <w:style w:type="character" w:customStyle="1" w:styleId="64">
    <w:name w:val="批注文字 Char"/>
    <w:semiHidden/>
    <w:qFormat/>
    <w:uiPriority w:val="0"/>
    <w:rPr>
      <w:rFonts w:ascii="Calibri" w:hAnsi="Calibri"/>
      <w:kern w:val="2"/>
      <w:sz w:val="21"/>
      <w:szCs w:val="22"/>
    </w:rPr>
  </w:style>
  <w:style w:type="character" w:customStyle="1" w:styleId="65">
    <w:name w:val="font231"/>
    <w:qFormat/>
    <w:uiPriority w:val="0"/>
    <w:rPr>
      <w:rFonts w:ascii="Arial" w:hAnsi="Arial" w:cs="Arial"/>
      <w:b/>
      <w:color w:val="000000"/>
      <w:sz w:val="20"/>
      <w:szCs w:val="20"/>
      <w:u w:val="none"/>
    </w:rPr>
  </w:style>
  <w:style w:type="character" w:customStyle="1" w:styleId="66">
    <w:name w:val="正文文本 Char2"/>
    <w:semiHidden/>
    <w:qFormat/>
    <w:uiPriority w:val="99"/>
    <w:rPr>
      <w:rFonts w:ascii="Times New Roman" w:hAnsi="Times New Roman" w:eastAsia="宋体" w:cs="Times New Roman"/>
      <w:szCs w:val="24"/>
    </w:rPr>
  </w:style>
  <w:style w:type="character" w:customStyle="1" w:styleId="67">
    <w:name w:val="目录 1 Char"/>
    <w:link w:val="26"/>
    <w:qFormat/>
    <w:uiPriority w:val="0"/>
    <w:rPr>
      <w:rFonts w:ascii="Calibri" w:hAnsi="Calibri" w:eastAsia="宋体" w:cs="Times New Roman"/>
      <w:kern w:val="2"/>
      <w:sz w:val="21"/>
      <w:szCs w:val="24"/>
    </w:rPr>
  </w:style>
  <w:style w:type="character" w:customStyle="1" w:styleId="68">
    <w:name w:val="页脚 Char1"/>
    <w:semiHidden/>
    <w:qFormat/>
    <w:uiPriority w:val="99"/>
    <w:rPr>
      <w:rFonts w:ascii="Times New Roman" w:hAnsi="Times New Roman" w:eastAsia="宋体" w:cs="Times New Roman"/>
      <w:sz w:val="18"/>
      <w:szCs w:val="18"/>
    </w:rPr>
  </w:style>
  <w:style w:type="character" w:customStyle="1" w:styleId="69">
    <w:name w:val="标题 7 Char"/>
    <w:link w:val="8"/>
    <w:qFormat/>
    <w:uiPriority w:val="0"/>
    <w:rPr>
      <w:rFonts w:eastAsia="楷体_GB2312"/>
      <w:i/>
      <w:position w:val="-6"/>
      <w:sz w:val="22"/>
      <w:lang w:val="en-GB"/>
    </w:rPr>
  </w:style>
  <w:style w:type="character" w:customStyle="1" w:styleId="70">
    <w:name w:val="正文文本缩进 3 Char"/>
    <w:qFormat/>
    <w:uiPriority w:val="0"/>
    <w:rPr>
      <w:sz w:val="16"/>
      <w:szCs w:val="16"/>
    </w:rPr>
  </w:style>
  <w:style w:type="character" w:customStyle="1" w:styleId="71">
    <w:name w:val="正文文本 2 Char1"/>
    <w:link w:val="29"/>
    <w:semiHidden/>
    <w:qFormat/>
    <w:uiPriority w:val="99"/>
    <w:rPr>
      <w:rFonts w:ascii="Calibri" w:hAnsi="Calibri"/>
      <w:kern w:val="2"/>
      <w:sz w:val="21"/>
      <w:szCs w:val="22"/>
    </w:rPr>
  </w:style>
  <w:style w:type="character" w:customStyle="1" w:styleId="72">
    <w:name w:val="font171"/>
    <w:qFormat/>
    <w:uiPriority w:val="0"/>
    <w:rPr>
      <w:rFonts w:hint="eastAsia" w:ascii="宋体" w:hAnsi="宋体" w:eastAsia="宋体" w:cs="宋体"/>
      <w:b/>
      <w:color w:val="000000"/>
      <w:sz w:val="16"/>
      <w:szCs w:val="16"/>
      <w:u w:val="none"/>
    </w:rPr>
  </w:style>
  <w:style w:type="character" w:customStyle="1" w:styleId="73">
    <w:name w:val="日期 Char"/>
    <w:link w:val="21"/>
    <w:qFormat/>
    <w:uiPriority w:val="0"/>
    <w:rPr>
      <w:rFonts w:ascii="Calibri" w:hAnsi="Calibri" w:eastAsia="宋体" w:cs="Times New Roman"/>
    </w:rPr>
  </w:style>
  <w:style w:type="character" w:customStyle="1" w:styleId="74">
    <w:name w:val="标题 4 Char"/>
    <w:link w:val="5"/>
    <w:qFormat/>
    <w:uiPriority w:val="0"/>
    <w:rPr>
      <w:rFonts w:ascii="Arial" w:hAnsi="Arial"/>
      <w:b/>
      <w:spacing w:val="20"/>
      <w:sz w:val="28"/>
    </w:rPr>
  </w:style>
  <w:style w:type="character" w:customStyle="1" w:styleId="75">
    <w:name w:val="redfilenumber"/>
    <w:qFormat/>
    <w:uiPriority w:val="0"/>
    <w:rPr>
      <w:color w:val="BA2636"/>
      <w:sz w:val="18"/>
      <w:szCs w:val="18"/>
    </w:rPr>
  </w:style>
  <w:style w:type="character" w:customStyle="1" w:styleId="76">
    <w:name w:val="qxdate"/>
    <w:qFormat/>
    <w:uiPriority w:val="0"/>
    <w:rPr>
      <w:color w:val="333333"/>
      <w:sz w:val="18"/>
      <w:szCs w:val="18"/>
    </w:rPr>
  </w:style>
  <w:style w:type="character" w:customStyle="1" w:styleId="77">
    <w:name w:val="HTML 预设格式 Char1"/>
    <w:link w:val="30"/>
    <w:semiHidden/>
    <w:qFormat/>
    <w:uiPriority w:val="99"/>
    <w:rPr>
      <w:rFonts w:ascii="Courier New" w:hAnsi="Courier New" w:cs="Courier New"/>
      <w:kern w:val="2"/>
    </w:rPr>
  </w:style>
  <w:style w:type="character" w:customStyle="1" w:styleId="78">
    <w:name w:val="font71"/>
    <w:qFormat/>
    <w:uiPriority w:val="0"/>
    <w:rPr>
      <w:rFonts w:hint="eastAsia" w:ascii="宋体" w:hAnsi="宋体" w:eastAsia="宋体" w:cs="宋体"/>
      <w:b/>
      <w:color w:val="000000"/>
      <w:sz w:val="28"/>
      <w:szCs w:val="28"/>
      <w:u w:val="none"/>
    </w:rPr>
  </w:style>
  <w:style w:type="character" w:customStyle="1" w:styleId="79">
    <w:name w:val="正文文本缩进 Char"/>
    <w:qFormat/>
    <w:uiPriority w:val="0"/>
    <w:rPr>
      <w:szCs w:val="24"/>
    </w:rPr>
  </w:style>
  <w:style w:type="character" w:customStyle="1" w:styleId="80">
    <w:name w:val="标题 6 Char"/>
    <w:link w:val="7"/>
    <w:qFormat/>
    <w:uiPriority w:val="0"/>
    <w:rPr>
      <w:rFonts w:ascii="Helvetica" w:hAnsi="Helvetica" w:eastAsia="楷体_GB2312"/>
      <w:b/>
      <w:i/>
      <w:position w:val="-6"/>
      <w:sz w:val="22"/>
      <w:lang w:val="en-GB"/>
    </w:rPr>
  </w:style>
  <w:style w:type="character" w:customStyle="1" w:styleId="81">
    <w:name w:val="font01"/>
    <w:qFormat/>
    <w:uiPriority w:val="0"/>
    <w:rPr>
      <w:rFonts w:hint="eastAsia" w:ascii="宋体" w:hAnsi="宋体" w:eastAsia="宋体" w:cs="宋体"/>
      <w:color w:val="000000"/>
      <w:sz w:val="20"/>
      <w:szCs w:val="20"/>
      <w:u w:val="none"/>
    </w:rPr>
  </w:style>
  <w:style w:type="character" w:customStyle="1" w:styleId="82">
    <w:name w:val="标题 9 Char"/>
    <w:link w:val="10"/>
    <w:qFormat/>
    <w:uiPriority w:val="0"/>
    <w:rPr>
      <w:rFonts w:eastAsia="楷体_GB2312"/>
      <w:i/>
      <w:position w:val="-6"/>
      <w:sz w:val="22"/>
      <w:lang w:val="en-GB"/>
    </w:rPr>
  </w:style>
  <w:style w:type="character" w:customStyle="1" w:styleId="83">
    <w:name w:val="font121"/>
    <w:qFormat/>
    <w:uiPriority w:val="0"/>
    <w:rPr>
      <w:rFonts w:ascii="Arial" w:hAnsi="Arial" w:cs="Arial"/>
      <w:color w:val="000000"/>
      <w:sz w:val="20"/>
      <w:szCs w:val="20"/>
      <w:u w:val="none"/>
    </w:rPr>
  </w:style>
  <w:style w:type="character" w:customStyle="1" w:styleId="84">
    <w:name w:val="标题 5 Char"/>
    <w:link w:val="6"/>
    <w:qFormat/>
    <w:uiPriority w:val="0"/>
    <w:rPr>
      <w:b/>
      <w:spacing w:val="20"/>
      <w:sz w:val="28"/>
    </w:rPr>
  </w:style>
  <w:style w:type="character" w:customStyle="1" w:styleId="85">
    <w:name w:val="font22"/>
    <w:qFormat/>
    <w:uiPriority w:val="0"/>
    <w:rPr>
      <w:rFonts w:ascii="Arial" w:hAnsi="Arial" w:cs="Arial"/>
      <w:color w:val="000000"/>
      <w:sz w:val="21"/>
      <w:szCs w:val="21"/>
      <w:u w:val="none"/>
    </w:rPr>
  </w:style>
  <w:style w:type="character" w:customStyle="1" w:styleId="86">
    <w:name w:val="页眉 Char"/>
    <w:link w:val="25"/>
    <w:qFormat/>
    <w:uiPriority w:val="99"/>
    <w:rPr>
      <w:rFonts w:ascii="Calibri" w:hAnsi="Calibri" w:eastAsia="宋体" w:cs="Times New Roman"/>
      <w:sz w:val="18"/>
      <w:szCs w:val="18"/>
    </w:rPr>
  </w:style>
  <w:style w:type="character" w:customStyle="1" w:styleId="87">
    <w:name w:val="HTML 预设格式 Char"/>
    <w:qFormat/>
    <w:uiPriority w:val="0"/>
    <w:rPr>
      <w:rFonts w:ascii="宋体" w:hAnsi="宋体" w:cs="宋体"/>
      <w:sz w:val="24"/>
      <w:szCs w:val="24"/>
    </w:rPr>
  </w:style>
  <w:style w:type="character" w:customStyle="1" w:styleId="88">
    <w:name w:val="文档结构图 Char1"/>
    <w:link w:val="13"/>
    <w:semiHidden/>
    <w:qFormat/>
    <w:uiPriority w:val="99"/>
    <w:rPr>
      <w:rFonts w:ascii="宋体" w:hAnsi="Calibri"/>
      <w:kern w:val="2"/>
      <w:sz w:val="18"/>
      <w:szCs w:val="18"/>
    </w:rPr>
  </w:style>
  <w:style w:type="character" w:customStyle="1" w:styleId="89">
    <w:name w:val="font51"/>
    <w:qFormat/>
    <w:uiPriority w:val="0"/>
    <w:rPr>
      <w:rFonts w:hint="eastAsia" w:ascii="宋体" w:hAnsi="宋体" w:eastAsia="宋体" w:cs="宋体"/>
      <w:color w:val="000000"/>
      <w:sz w:val="20"/>
      <w:szCs w:val="20"/>
      <w:u w:val="none"/>
    </w:rPr>
  </w:style>
  <w:style w:type="character" w:customStyle="1" w:styleId="90">
    <w:name w:val="正文文本 3 Char1"/>
    <w:link w:val="15"/>
    <w:semiHidden/>
    <w:qFormat/>
    <w:uiPriority w:val="99"/>
    <w:rPr>
      <w:rFonts w:ascii="Calibri" w:hAnsi="Calibri" w:eastAsia="宋体" w:cs="Times New Roman"/>
      <w:sz w:val="16"/>
      <w:szCs w:val="16"/>
    </w:rPr>
  </w:style>
  <w:style w:type="character" w:customStyle="1" w:styleId="91">
    <w:name w:val="批注框文本 Char"/>
    <w:qFormat/>
    <w:uiPriority w:val="99"/>
    <w:rPr>
      <w:sz w:val="18"/>
      <w:szCs w:val="18"/>
    </w:rPr>
  </w:style>
  <w:style w:type="character" w:customStyle="1" w:styleId="92">
    <w:name w:val="apple-converted-space"/>
    <w:basedOn w:val="37"/>
    <w:qFormat/>
    <w:uiPriority w:val="0"/>
  </w:style>
  <w:style w:type="character" w:customStyle="1" w:styleId="93">
    <w:name w:val="正文文本 3 Char"/>
    <w:qFormat/>
    <w:uiPriority w:val="0"/>
    <w:rPr>
      <w:rFonts w:ascii="宋体"/>
      <w:sz w:val="24"/>
    </w:rPr>
  </w:style>
  <w:style w:type="character" w:customStyle="1" w:styleId="94">
    <w:name w:val="正文文本 Char"/>
    <w:link w:val="16"/>
    <w:qFormat/>
    <w:uiPriority w:val="0"/>
    <w:rPr>
      <w:rFonts w:ascii="Calibri" w:hAnsi="Calibri"/>
      <w:kern w:val="2"/>
      <w:sz w:val="21"/>
      <w:szCs w:val="22"/>
    </w:rPr>
  </w:style>
  <w:style w:type="character" w:customStyle="1" w:styleId="95">
    <w:name w:val="批注文字 Char1"/>
    <w:link w:val="14"/>
    <w:qFormat/>
    <w:uiPriority w:val="0"/>
    <w:rPr>
      <w:rFonts w:ascii="Calibri" w:hAnsi="Calibri"/>
    </w:rPr>
  </w:style>
  <w:style w:type="character" w:customStyle="1" w:styleId="96">
    <w:name w:val="font61"/>
    <w:qFormat/>
    <w:uiPriority w:val="0"/>
    <w:rPr>
      <w:rFonts w:ascii="Arial" w:hAnsi="Arial" w:cs="Arial"/>
      <w:color w:val="000000"/>
      <w:sz w:val="21"/>
      <w:szCs w:val="21"/>
      <w:u w:val="none"/>
    </w:rPr>
  </w:style>
  <w:style w:type="character" w:customStyle="1" w:styleId="97">
    <w:name w:val="页脚 Char"/>
    <w:link w:val="24"/>
    <w:qFormat/>
    <w:uiPriority w:val="99"/>
    <w:rPr>
      <w:rFonts w:ascii="Calibri" w:hAnsi="Calibri" w:eastAsia="宋体" w:cs="Times New Roman"/>
      <w:sz w:val="18"/>
      <w:szCs w:val="18"/>
    </w:rPr>
  </w:style>
  <w:style w:type="character" w:customStyle="1" w:styleId="98">
    <w:name w:val="font151"/>
    <w:qFormat/>
    <w:uiPriority w:val="0"/>
    <w:rPr>
      <w:rFonts w:hint="default" w:ascii="Times New Roman" w:hAnsi="Times New Roman" w:cs="Times New Roman"/>
      <w:b/>
      <w:color w:val="000000"/>
      <w:sz w:val="21"/>
      <w:szCs w:val="21"/>
      <w:u w:val="none"/>
    </w:rPr>
  </w:style>
  <w:style w:type="character" w:customStyle="1" w:styleId="99">
    <w:name w:val="标题 1 Char"/>
    <w:link w:val="2"/>
    <w:qFormat/>
    <w:uiPriority w:val="0"/>
    <w:rPr>
      <w:b/>
      <w:bCs/>
      <w:kern w:val="44"/>
      <w:sz w:val="44"/>
      <w:szCs w:val="44"/>
    </w:rPr>
  </w:style>
  <w:style w:type="character" w:customStyle="1" w:styleId="100">
    <w:name w:val="正文首行缩进 2 Char1"/>
    <w:basedOn w:val="101"/>
    <w:link w:val="34"/>
    <w:semiHidden/>
    <w:qFormat/>
    <w:uiPriority w:val="99"/>
    <w:rPr>
      <w:rFonts w:ascii="Calibri" w:hAnsi="Calibri"/>
      <w:kern w:val="2"/>
      <w:sz w:val="21"/>
      <w:szCs w:val="22"/>
    </w:rPr>
  </w:style>
  <w:style w:type="character" w:customStyle="1" w:styleId="101">
    <w:name w:val="正文文本缩进 Char1"/>
    <w:link w:val="17"/>
    <w:semiHidden/>
    <w:qFormat/>
    <w:uiPriority w:val="99"/>
    <w:rPr>
      <w:rFonts w:ascii="Calibri" w:hAnsi="Calibri"/>
      <w:kern w:val="2"/>
      <w:sz w:val="21"/>
      <w:szCs w:val="22"/>
    </w:rPr>
  </w:style>
  <w:style w:type="character" w:customStyle="1" w:styleId="102">
    <w:name w:val="font81"/>
    <w:qFormat/>
    <w:uiPriority w:val="99"/>
    <w:rPr>
      <w:rFonts w:hint="default" w:ascii="Times New Roman" w:hAnsi="Times New Roman" w:cs="Times New Roman"/>
      <w:b/>
      <w:color w:val="000000"/>
      <w:sz w:val="28"/>
      <w:szCs w:val="28"/>
      <w:u w:val="none"/>
    </w:rPr>
  </w:style>
  <w:style w:type="character" w:customStyle="1" w:styleId="103">
    <w:name w:val="cfdate"/>
    <w:qFormat/>
    <w:uiPriority w:val="0"/>
    <w:rPr>
      <w:color w:val="333333"/>
      <w:sz w:val="18"/>
      <w:szCs w:val="18"/>
    </w:rPr>
  </w:style>
  <w:style w:type="character" w:customStyle="1" w:styleId="104">
    <w:name w:val="文档结构图 Char"/>
    <w:qFormat/>
    <w:uiPriority w:val="0"/>
    <w:rPr>
      <w:szCs w:val="24"/>
      <w:shd w:val="clear" w:color="auto" w:fill="000080"/>
    </w:rPr>
  </w:style>
  <w:style w:type="character" w:customStyle="1" w:styleId="105">
    <w:name w:val="mini-outputtext2"/>
    <w:qFormat/>
    <w:uiPriority w:val="0"/>
  </w:style>
  <w:style w:type="character" w:customStyle="1" w:styleId="106">
    <w:name w:val="font31"/>
    <w:qFormat/>
    <w:uiPriority w:val="0"/>
    <w:rPr>
      <w:rFonts w:hint="default" w:ascii="Times New Roman" w:hAnsi="Times New Roman" w:cs="Times New Roman"/>
      <w:color w:val="000000"/>
      <w:sz w:val="20"/>
      <w:szCs w:val="20"/>
      <w:u w:val="none"/>
    </w:rPr>
  </w:style>
  <w:style w:type="character" w:customStyle="1" w:styleId="107">
    <w:name w:val="标题 3 Char"/>
    <w:link w:val="4"/>
    <w:qFormat/>
    <w:uiPriority w:val="0"/>
    <w:rPr>
      <w:b/>
      <w:bCs/>
      <w:kern w:val="2"/>
      <w:sz w:val="32"/>
      <w:szCs w:val="32"/>
    </w:rPr>
  </w:style>
  <w:style w:type="character" w:customStyle="1" w:styleId="108">
    <w:name w:val="font141"/>
    <w:qFormat/>
    <w:uiPriority w:val="0"/>
    <w:rPr>
      <w:rFonts w:ascii="Arial" w:hAnsi="Arial" w:cs="Arial"/>
      <w:b/>
      <w:color w:val="000000"/>
      <w:sz w:val="21"/>
      <w:szCs w:val="21"/>
      <w:u w:val="none"/>
    </w:rPr>
  </w:style>
  <w:style w:type="character" w:customStyle="1" w:styleId="109">
    <w:name w:val="font161"/>
    <w:qFormat/>
    <w:uiPriority w:val="0"/>
    <w:rPr>
      <w:rFonts w:hint="eastAsia" w:ascii="宋体" w:hAnsi="宋体" w:eastAsia="宋体" w:cs="宋体"/>
      <w:b/>
      <w:color w:val="000000"/>
      <w:sz w:val="16"/>
      <w:szCs w:val="16"/>
      <w:u w:val="none"/>
    </w:rPr>
  </w:style>
  <w:style w:type="character" w:customStyle="1" w:styleId="110">
    <w:name w:val="正文首行缩进 2 Char"/>
    <w:qFormat/>
    <w:uiPriority w:val="0"/>
    <w:rPr>
      <w:szCs w:val="24"/>
    </w:rPr>
  </w:style>
  <w:style w:type="character" w:customStyle="1" w:styleId="111">
    <w:name w:val="标题 8 Char"/>
    <w:link w:val="9"/>
    <w:qFormat/>
    <w:uiPriority w:val="0"/>
    <w:rPr>
      <w:rFonts w:eastAsia="楷体_GB2312"/>
      <w:i/>
      <w:position w:val="-6"/>
      <w:sz w:val="22"/>
      <w:lang w:val="en-GB"/>
    </w:rPr>
  </w:style>
  <w:style w:type="character" w:customStyle="1" w:styleId="112">
    <w:name w:val="正文文本缩进 2 Char"/>
    <w:qFormat/>
    <w:uiPriority w:val="0"/>
    <w:rPr>
      <w:szCs w:val="24"/>
    </w:rPr>
  </w:style>
  <w:style w:type="character" w:customStyle="1" w:styleId="113">
    <w:name w:val="正文文本缩进 3 Char1"/>
    <w:link w:val="27"/>
    <w:semiHidden/>
    <w:qFormat/>
    <w:uiPriority w:val="99"/>
    <w:rPr>
      <w:rFonts w:ascii="Calibri" w:hAnsi="Calibri"/>
      <w:kern w:val="2"/>
      <w:sz w:val="16"/>
      <w:szCs w:val="16"/>
    </w:rPr>
  </w:style>
  <w:style w:type="character" w:customStyle="1" w:styleId="114">
    <w:name w:val="gjfg"/>
    <w:basedOn w:val="37"/>
    <w:qFormat/>
    <w:uiPriority w:val="0"/>
  </w:style>
  <w:style w:type="character" w:customStyle="1" w:styleId="115">
    <w:name w:val="批注框文本 Char1"/>
    <w:link w:val="23"/>
    <w:semiHidden/>
    <w:qFormat/>
    <w:uiPriority w:val="99"/>
    <w:rPr>
      <w:rFonts w:ascii="Calibri" w:hAnsi="Calibri"/>
      <w:kern w:val="2"/>
      <w:sz w:val="18"/>
      <w:szCs w:val="18"/>
    </w:rPr>
  </w:style>
  <w:style w:type="character" w:customStyle="1" w:styleId="116">
    <w:name w:val="apple-tab-span"/>
    <w:qFormat/>
    <w:uiPriority w:val="0"/>
  </w:style>
  <w:style w:type="character" w:customStyle="1" w:styleId="117">
    <w:name w:val="页眉 Char1"/>
    <w:semiHidden/>
    <w:qFormat/>
    <w:uiPriority w:val="99"/>
    <w:rPr>
      <w:rFonts w:ascii="Times New Roman" w:hAnsi="Times New Roman" w:eastAsia="宋体" w:cs="Times New Roman"/>
      <w:sz w:val="18"/>
      <w:szCs w:val="18"/>
    </w:rPr>
  </w:style>
  <w:style w:type="character" w:customStyle="1" w:styleId="118">
    <w:name w:val="15"/>
    <w:qFormat/>
    <w:uiPriority w:val="0"/>
    <w:rPr>
      <w:rFonts w:hint="default" w:ascii="Times New Roman" w:hAnsi="Times New Roman" w:cs="Times New Roman"/>
      <w:b/>
      <w:bCs/>
      <w:sz w:val="20"/>
      <w:szCs w:val="20"/>
    </w:rPr>
  </w:style>
  <w:style w:type="character" w:customStyle="1" w:styleId="119">
    <w:name w:val="font211"/>
    <w:qFormat/>
    <w:uiPriority w:val="0"/>
    <w:rPr>
      <w:rFonts w:hint="eastAsia" w:ascii="宋体" w:hAnsi="宋体" w:eastAsia="宋体" w:cs="宋体"/>
      <w:b/>
      <w:color w:val="000000"/>
      <w:sz w:val="24"/>
      <w:szCs w:val="24"/>
      <w:u w:val="none"/>
    </w:rPr>
  </w:style>
  <w:style w:type="character" w:customStyle="1" w:styleId="120">
    <w:name w:val="font11"/>
    <w:qFormat/>
    <w:uiPriority w:val="99"/>
    <w:rPr>
      <w:rFonts w:hint="eastAsia" w:ascii="宋体" w:hAnsi="宋体" w:eastAsia="宋体" w:cs="宋体"/>
      <w:b/>
      <w:color w:val="000000"/>
      <w:sz w:val="21"/>
      <w:szCs w:val="21"/>
      <w:u w:val="none"/>
    </w:rPr>
  </w:style>
  <w:style w:type="character" w:customStyle="1" w:styleId="121">
    <w:name w:val="纯文本 Char"/>
    <w:qFormat/>
    <w:uiPriority w:val="0"/>
    <w:rPr>
      <w:rFonts w:ascii="宋体" w:hAnsi="Courier New"/>
      <w:sz w:val="24"/>
    </w:rPr>
  </w:style>
  <w:style w:type="character" w:customStyle="1" w:styleId="122">
    <w:name w:val="正文文本 Char1"/>
    <w:qFormat/>
    <w:uiPriority w:val="0"/>
    <w:rPr>
      <w:szCs w:val="24"/>
    </w:rPr>
  </w:style>
  <w:style w:type="character" w:customStyle="1" w:styleId="123">
    <w:name w:val="标题 Char"/>
    <w:qFormat/>
    <w:uiPriority w:val="0"/>
    <w:rPr>
      <w:b/>
      <w:bCs/>
      <w:szCs w:val="24"/>
    </w:rPr>
  </w:style>
  <w:style w:type="character" w:customStyle="1" w:styleId="124">
    <w:name w:val="16"/>
    <w:basedOn w:val="37"/>
    <w:qFormat/>
    <w:uiPriority w:val="0"/>
  </w:style>
  <w:style w:type="character" w:customStyle="1" w:styleId="125">
    <w:name w:val="正文首行缩进 Char1"/>
    <w:basedOn w:val="94"/>
    <w:link w:val="33"/>
    <w:semiHidden/>
    <w:qFormat/>
    <w:uiPriority w:val="99"/>
    <w:rPr>
      <w:rFonts w:ascii="Calibri" w:hAnsi="Calibri"/>
      <w:kern w:val="2"/>
      <w:sz w:val="21"/>
      <w:szCs w:val="22"/>
    </w:rPr>
  </w:style>
  <w:style w:type="character" w:customStyle="1" w:styleId="126">
    <w:name w:val="displayarti"/>
    <w:qFormat/>
    <w:uiPriority w:val="0"/>
    <w:rPr>
      <w:color w:val="FFFFFF"/>
      <w:shd w:val="clear" w:color="auto" w:fill="A00000"/>
    </w:rPr>
  </w:style>
  <w:style w:type="character" w:customStyle="1" w:styleId="127">
    <w:name w:val="标题 Char1"/>
    <w:link w:val="32"/>
    <w:qFormat/>
    <w:uiPriority w:val="10"/>
    <w:rPr>
      <w:rFonts w:ascii="Cambria" w:hAnsi="Cambria" w:cs="Times New Roman"/>
      <w:b/>
      <w:bCs/>
      <w:kern w:val="2"/>
      <w:sz w:val="32"/>
      <w:szCs w:val="32"/>
    </w:rPr>
  </w:style>
  <w:style w:type="character" w:customStyle="1" w:styleId="128">
    <w:name w:val="redfilefwwh"/>
    <w:qFormat/>
    <w:uiPriority w:val="0"/>
    <w:rPr>
      <w:color w:val="BA2636"/>
      <w:sz w:val="18"/>
      <w:szCs w:val="18"/>
    </w:rPr>
  </w:style>
  <w:style w:type="paragraph" w:customStyle="1" w:styleId="1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0">
    <w:name w:val="列出段落2"/>
    <w:basedOn w:val="1"/>
    <w:qFormat/>
    <w:uiPriority w:val="0"/>
    <w:pPr>
      <w:ind w:firstLine="420" w:firstLineChars="200"/>
    </w:pPr>
  </w:style>
  <w:style w:type="paragraph" w:customStyle="1" w:styleId="131">
    <w:name w:val="10 f"/>
    <w:basedOn w:val="1"/>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3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16"/>
      <w:szCs w:val="16"/>
    </w:rPr>
  </w:style>
  <w:style w:type="paragraph" w:customStyle="1" w:styleId="13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1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6">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3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9">
    <w:name w:val="xl67"/>
    <w:basedOn w:val="1"/>
    <w:qFormat/>
    <w:uiPriority w:val="0"/>
    <w:pPr>
      <w:widowControl/>
      <w:spacing w:before="100" w:beforeAutospacing="1" w:after="100" w:afterAutospacing="1"/>
      <w:jc w:val="left"/>
      <w:textAlignment w:val="center"/>
    </w:pPr>
    <w:rPr>
      <w:rFonts w:ascii="宋体" w:hAnsi="宋体" w:cs="宋体"/>
      <w:color w:val="003300"/>
      <w:kern w:val="0"/>
      <w:sz w:val="20"/>
      <w:szCs w:val="20"/>
    </w:rPr>
  </w:style>
  <w:style w:type="paragraph" w:customStyle="1" w:styleId="140">
    <w:name w:val="font9"/>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00"/>
      <w:kern w:val="0"/>
      <w:sz w:val="20"/>
      <w:szCs w:val="20"/>
    </w:rPr>
  </w:style>
  <w:style w:type="paragraph" w:customStyle="1" w:styleId="14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6">
    <w:name w:val="Absatz2AL"/>
    <w:basedOn w:val="16"/>
    <w:next w:val="1"/>
    <w:qFormat/>
    <w:uiPriority w:val="0"/>
    <w:pPr>
      <w:widowControl/>
      <w:overflowPunct w:val="0"/>
      <w:autoSpaceDE w:val="0"/>
      <w:autoSpaceDN w:val="0"/>
      <w:adjustRightInd w:val="0"/>
      <w:spacing w:after="0"/>
      <w:textAlignment w:val="baseline"/>
    </w:pPr>
    <w:rPr>
      <w:rFonts w:eastAsia="楷体_GB2312"/>
      <w:sz w:val="24"/>
      <w:szCs w:val="20"/>
      <w:lang w:val="de-DE"/>
    </w:rPr>
  </w:style>
  <w:style w:type="paragraph" w:customStyle="1" w:styleId="147">
    <w:name w:val="xl100"/>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48">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9">
    <w:name w:val="正文格式"/>
    <w:basedOn w:val="1"/>
    <w:qFormat/>
    <w:uiPriority w:val="0"/>
    <w:pPr>
      <w:spacing w:line="360" w:lineRule="auto"/>
      <w:jc w:val="left"/>
    </w:pPr>
    <w:rPr>
      <w:sz w:val="24"/>
      <w:szCs w:val="2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51">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3">
    <w:name w:val="Standard o abs"/>
    <w:basedOn w:val="1"/>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szCs w:val="20"/>
      <w:lang w:val="de-DE" w:eastAsia="de-DE"/>
    </w:rPr>
  </w:style>
  <w:style w:type="paragraph" w:customStyle="1" w:styleId="15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5">
    <w:name w:val="xl96"/>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44"/>
      <w:szCs w:val="44"/>
    </w:rPr>
  </w:style>
  <w:style w:type="paragraph" w:customStyle="1" w:styleId="1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7">
    <w:name w:val="Char2"/>
    <w:basedOn w:val="1"/>
    <w:qFormat/>
    <w:uiPriority w:val="0"/>
    <w:pPr>
      <w:ind w:left="432" w:hanging="432"/>
    </w:pPr>
    <w:rPr>
      <w:rFonts w:ascii="Times New Roman" w:hAnsi="Times New Roman"/>
      <w:sz w:val="24"/>
      <w:szCs w:val="24"/>
    </w:rPr>
  </w:style>
  <w:style w:type="paragraph" w:customStyle="1" w:styleId="15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0"/>
      <w:szCs w:val="20"/>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62">
    <w:name w:val="List Paragraph"/>
    <w:basedOn w:val="1"/>
    <w:qFormat/>
    <w:uiPriority w:val="34"/>
    <w:pPr>
      <w:ind w:firstLine="420" w:firstLineChars="200"/>
    </w:pPr>
    <w:rPr>
      <w:szCs w:val="24"/>
    </w:rPr>
  </w:style>
  <w:style w:type="paragraph" w:customStyle="1" w:styleId="163">
    <w:name w:val="xl69"/>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164">
    <w:name w:val="xl68"/>
    <w:basedOn w:val="1"/>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16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66">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6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68">
    <w:name w:val="Char Char"/>
    <w:basedOn w:val="1"/>
    <w:qFormat/>
    <w:uiPriority w:val="0"/>
    <w:rPr>
      <w:rFonts w:ascii="Tahoma" w:hAnsi="Tahoma"/>
      <w:sz w:val="24"/>
      <w:szCs w:val="20"/>
    </w:rPr>
  </w:style>
  <w:style w:type="paragraph" w:customStyle="1" w:styleId="16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列出段落1"/>
    <w:basedOn w:val="1"/>
    <w:qFormat/>
    <w:uiPriority w:val="34"/>
    <w:pPr>
      <w:ind w:firstLine="420" w:firstLineChars="200"/>
    </w:pPr>
  </w:style>
  <w:style w:type="paragraph" w:customStyle="1" w:styleId="171">
    <w:name w:val="p0"/>
    <w:basedOn w:val="1"/>
    <w:qFormat/>
    <w:uiPriority w:val="0"/>
    <w:pPr>
      <w:widowControl/>
    </w:pPr>
    <w:rPr>
      <w:kern w:val="0"/>
      <w:szCs w:val="21"/>
    </w:rPr>
  </w:style>
  <w:style w:type="paragraph" w:customStyle="1" w:styleId="172">
    <w:name w:val="xl71"/>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73">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szCs w:val="20"/>
      <w:lang w:val="fr-FR"/>
    </w:rPr>
  </w:style>
  <w:style w:type="paragraph" w:customStyle="1" w:styleId="17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6">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7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3300"/>
      <w:kern w:val="0"/>
      <w:sz w:val="20"/>
      <w:szCs w:val="20"/>
    </w:rPr>
  </w:style>
  <w:style w:type="paragraph" w:customStyle="1" w:styleId="17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8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1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2">
    <w:name w:val="font8"/>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18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4">
    <w:name w:val="Char Char2"/>
    <w:basedOn w:val="12"/>
    <w:qFormat/>
    <w:uiPriority w:val="0"/>
    <w:pPr>
      <w:widowControl/>
      <w:spacing w:afterLines="50" w:line="360" w:lineRule="auto"/>
      <w:ind w:left="0" w:firstLine="480" w:firstLineChars="200"/>
      <w:jc w:val="left"/>
    </w:pPr>
    <w:rPr>
      <w:rFonts w:ascii="Times New Roman"/>
    </w:rPr>
  </w:style>
  <w:style w:type="paragraph" w:customStyle="1" w:styleId="1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8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20"/>
      <w:szCs w:val="20"/>
    </w:rPr>
  </w:style>
  <w:style w:type="paragraph" w:customStyle="1" w:styleId="189">
    <w:name w:val="样式1"/>
    <w:basedOn w:val="2"/>
    <w:next w:val="1"/>
    <w:qFormat/>
    <w:uiPriority w:val="0"/>
    <w:pPr>
      <w:keepNext w:val="0"/>
      <w:keepLines w:val="0"/>
      <w:spacing w:before="100" w:beforeAutospacing="1" w:after="100" w:afterAutospacing="1" w:line="240" w:lineRule="auto"/>
      <w:jc w:val="left"/>
    </w:pPr>
    <w:rPr>
      <w:rFonts w:hint="eastAsia" w:ascii="宋体" w:hAnsi="宋体"/>
      <w:bCs w:val="0"/>
      <w:sz w:val="24"/>
      <w:szCs w:val="48"/>
    </w:rPr>
  </w:style>
  <w:style w:type="paragraph" w:customStyle="1" w:styleId="190">
    <w:name w:val="WPSOffice手动目录 1"/>
    <w:qFormat/>
    <w:uiPriority w:val="0"/>
    <w:rPr>
      <w:rFonts w:ascii="Times New Roman" w:hAnsi="Times New Roman" w:eastAsia="宋体" w:cs="Times New Roman"/>
      <w:lang w:val="en-US" w:eastAsia="zh-CN" w:bidi="ar-SA"/>
    </w:rPr>
  </w:style>
  <w:style w:type="paragraph" w:customStyle="1" w:styleId="191">
    <w:name w:val="xl65"/>
    <w:basedOn w:val="1"/>
    <w:qFormat/>
    <w:uiPriority w:val="0"/>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192">
    <w:name w:val="xl70"/>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9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6">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97">
    <w:name w:val="xl95"/>
    <w:basedOn w:val="1"/>
    <w:qFormat/>
    <w:uiPriority w:val="0"/>
    <w:pPr>
      <w:widowControl/>
      <w:spacing w:before="100" w:beforeAutospacing="1" w:after="100" w:afterAutospacing="1"/>
      <w:jc w:val="center"/>
      <w:textAlignment w:val="center"/>
    </w:pPr>
    <w:rPr>
      <w:rFonts w:ascii="宋体" w:hAnsi="宋体" w:cs="宋体"/>
      <w:kern w:val="0"/>
      <w:sz w:val="44"/>
      <w:szCs w:val="44"/>
    </w:rPr>
  </w:style>
  <w:style w:type="paragraph" w:customStyle="1" w:styleId="19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9">
    <w:name w:val="Char"/>
    <w:basedOn w:val="1"/>
    <w:qFormat/>
    <w:uiPriority w:val="0"/>
    <w:pPr>
      <w:tabs>
        <w:tab w:val="left" w:pos="420"/>
      </w:tabs>
      <w:ind w:left="420" w:hanging="420"/>
    </w:pPr>
    <w:rPr>
      <w:rFonts w:ascii="Times New Roman" w:hAnsi="Times New Roman"/>
      <w:szCs w:val="20"/>
    </w:rPr>
  </w:style>
  <w:style w:type="paragraph" w:customStyle="1" w:styleId="20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0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3">
    <w:name w:val="xl66"/>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0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5">
    <w:name w:val="【3级标题】"/>
    <w:basedOn w:val="4"/>
    <w:next w:val="1"/>
    <w:qFormat/>
    <w:uiPriority w:val="0"/>
    <w:pPr>
      <w:tabs>
        <w:tab w:val="left" w:pos="709"/>
      </w:tabs>
      <w:spacing w:before="280" w:after="140" w:line="240" w:lineRule="auto"/>
      <w:jc w:val="left"/>
    </w:pPr>
    <w:rPr>
      <w:rFonts w:ascii="微软雅黑" w:hAnsi="微软雅黑" w:eastAsia="微软雅黑"/>
      <w:sz w:val="30"/>
      <w:szCs w:val="30"/>
    </w:rPr>
  </w:style>
  <w:style w:type="paragraph" w:customStyle="1" w:styleId="206">
    <w:name w:val="Table Paragraph"/>
    <w:basedOn w:val="1"/>
    <w:qFormat/>
    <w:uiPriority w:val="1"/>
    <w:rPr>
      <w:rFonts w:ascii="宋体" w:hAnsi="宋体" w:eastAsia="宋体" w:cs="宋体"/>
      <w:lang w:val="zh-CN" w:eastAsia="zh-CN" w:bidi="zh-CN"/>
    </w:rPr>
  </w:style>
  <w:style w:type="paragraph" w:customStyle="1" w:styleId="207">
    <w:name w:val="二级条标题"/>
    <w:basedOn w:val="1"/>
    <w:next w:val="1"/>
    <w:qFormat/>
    <w:uiPriority w:val="0"/>
    <w:pPr>
      <w:widowControl/>
      <w:numPr>
        <w:ilvl w:val="3"/>
        <w:numId w:val="1"/>
      </w:numPr>
      <w:jc w:val="left"/>
      <w:outlineLvl w:val="3"/>
    </w:pPr>
    <w:rPr>
      <w:rFonts w:eastAsia="黑体"/>
      <w:kern w:val="0"/>
      <w:szCs w:val="20"/>
    </w:rPr>
  </w:style>
  <w:style w:type="character" w:customStyle="1" w:styleId="208">
    <w:name w:val="jbox-icon-info"/>
    <w:basedOn w:val="37"/>
    <w:qFormat/>
    <w:uiPriority w:val="0"/>
  </w:style>
  <w:style w:type="character" w:customStyle="1" w:styleId="209">
    <w:name w:val="jbox-icon"/>
    <w:basedOn w:val="37"/>
    <w:qFormat/>
    <w:uiPriority w:val="0"/>
  </w:style>
  <w:style w:type="character" w:customStyle="1" w:styleId="210">
    <w:name w:val="jbox-icon-warning"/>
    <w:basedOn w:val="37"/>
    <w:qFormat/>
    <w:uiPriority w:val="0"/>
  </w:style>
  <w:style w:type="character" w:customStyle="1" w:styleId="211">
    <w:name w:val="jbox-icon-success"/>
    <w:basedOn w:val="37"/>
    <w:qFormat/>
    <w:uiPriority w:val="0"/>
  </w:style>
  <w:style w:type="character" w:customStyle="1" w:styleId="212">
    <w:name w:val="jbox-icon-question"/>
    <w:basedOn w:val="37"/>
    <w:qFormat/>
    <w:uiPriority w:val="0"/>
  </w:style>
  <w:style w:type="character" w:customStyle="1" w:styleId="213">
    <w:name w:val="jbox-icon-loading"/>
    <w:basedOn w:val="37"/>
    <w:qFormat/>
    <w:uiPriority w:val="0"/>
  </w:style>
  <w:style w:type="character" w:customStyle="1" w:styleId="214">
    <w:name w:val="jbox-icon-error"/>
    <w:basedOn w:val="37"/>
    <w:qFormat/>
    <w:uiPriority w:val="0"/>
  </w:style>
  <w:style w:type="character" w:customStyle="1" w:styleId="215">
    <w:name w:val="jbox-icon-none"/>
    <w:basedOn w:val="37"/>
    <w:qFormat/>
    <w:uiPriority w:val="0"/>
    <w:rPr>
      <w:vanish/>
    </w:rPr>
  </w:style>
  <w:style w:type="paragraph" w:customStyle="1" w:styleId="216">
    <w:name w:val="正文文字2"/>
    <w:basedOn w:val="16"/>
    <w:qFormat/>
    <w:uiPriority w:val="0"/>
    <w:pPr>
      <w:adjustRightInd w:val="0"/>
      <w:spacing w:after="60" w:line="360" w:lineRule="atLeast"/>
      <w:ind w:left="72" w:leftChars="30" w:right="72" w:rightChars="30"/>
      <w:jc w:val="center"/>
    </w:pPr>
    <w:rPr>
      <w:rFonts w:ascii="Arial" w:hAnsi="Calibri" w:eastAsia="黑体"/>
      <w:szCs w:val="20"/>
    </w:rPr>
  </w:style>
  <w:style w:type="character" w:customStyle="1" w:styleId="217">
    <w:name w:val="first-child"/>
    <w:basedOn w:val="37"/>
    <w:qFormat/>
    <w:uiPriority w:val="0"/>
  </w:style>
  <w:style w:type="character" w:customStyle="1" w:styleId="218">
    <w:name w:val="layui-this"/>
    <w:basedOn w:val="37"/>
    <w:qFormat/>
    <w:uiPriority w:val="0"/>
    <w:rPr>
      <w:bdr w:val="single" w:color="EEEEEE" w:sz="6" w:space="0"/>
      <w:shd w:val="clear" w:fill="FFFFFF"/>
    </w:rPr>
  </w:style>
  <w:style w:type="paragraph" w:customStyle="1" w:styleId="219">
    <w:name w:val="Table Text"/>
    <w:basedOn w:val="1"/>
    <w:autoRedefine/>
    <w:semiHidden/>
    <w:qFormat/>
    <w:uiPriority w:val="0"/>
    <w:rPr>
      <w:rFonts w:ascii="仿宋" w:hAnsi="仿宋" w:eastAsia="仿宋" w:cs="仿宋"/>
      <w:sz w:val="27"/>
      <w:szCs w:val="27"/>
      <w:lang w:val="en-US" w:eastAsia="en-US" w:bidi="ar-SA"/>
    </w:rPr>
  </w:style>
  <w:style w:type="paragraph" w:customStyle="1" w:styleId="220">
    <w:name w:val="!正文"/>
    <w:basedOn w:val="1"/>
    <w:qFormat/>
    <w:uiPriority w:val="0"/>
    <w:pPr>
      <w:widowControl/>
      <w:snapToGrid w:val="0"/>
      <w:spacing w:line="360" w:lineRule="auto"/>
      <w:ind w:firstLine="200" w:firstLineChars="200"/>
    </w:pPr>
    <w:rPr>
      <w:rFonts w:hint="eastAsia" w:ascii="宋体" w:hAnsi="宋体" w:cs="Times New Roman"/>
      <w:szCs w:val="28"/>
    </w:rPr>
  </w:style>
  <w:style w:type="paragraph" w:customStyle="1" w:styleId="221">
    <w:name w:val="B表格正文"/>
    <w:autoRedefine/>
    <w:qFormat/>
    <w:uiPriority w:val="0"/>
    <w:rPr>
      <w:rFonts w:ascii="Times New Roman" w:hAnsi="Times New Roman" w:eastAsia="黑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8.jpeg"/><Relationship Id="rId27" Type="http://schemas.openxmlformats.org/officeDocument/2006/relationships/image" Target="media/image7.jpeg"/><Relationship Id="rId26" Type="http://schemas.openxmlformats.org/officeDocument/2006/relationships/image" Target="media/image6.jpeg"/><Relationship Id="rId25" Type="http://schemas.openxmlformats.org/officeDocument/2006/relationships/image" Target="media/image5.jpeg"/><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10939</Words>
  <Characters>11890</Characters>
  <Lines>637</Lines>
  <Paragraphs>179</Paragraphs>
  <TotalTime>18</TotalTime>
  <ScaleCrop>false</ScaleCrop>
  <LinksUpToDate>false</LinksUpToDate>
  <CharactersWithSpaces>12341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2020-01-02T10:41:00Z</dcterms:created>
  <dc:creator>Administrator</dc:creator>
  <cp:lastModifiedBy>挥霍</cp:lastModifiedBy>
  <cp:lastPrinted>2023-03-20T06:05:00Z</cp:lastPrinted>
  <dcterms:modified xsi:type="dcterms:W3CDTF">2024-12-09T07:07:03Z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C2A6465BFE1F4934A30206BC952C4793_13</vt:lpwstr>
  </property>
</Properties>
</file>