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5"/>
        <w:jc w:val="center"/>
        <w:rPr>
          <w:rFonts w:hint="eastAsia" w:hAnsi="宋体" w:cs="华文新魏"/>
          <w:b/>
          <w:sz w:val="52"/>
          <w:szCs w:val="52"/>
        </w:rPr>
      </w:pPr>
    </w:p>
    <w:p>
      <w:pPr>
        <w:pStyle w:val="135"/>
        <w:jc w:val="center"/>
        <w:rPr>
          <w:rFonts w:hint="eastAsia" w:hAnsi="宋体" w:cs="华文新魏"/>
          <w:b/>
          <w:sz w:val="52"/>
          <w:szCs w:val="52"/>
        </w:rPr>
      </w:pPr>
    </w:p>
    <w:p>
      <w:pPr>
        <w:pStyle w:val="135"/>
        <w:jc w:val="center"/>
        <w:rPr>
          <w:rFonts w:hint="eastAsia" w:hAnsi="宋体" w:cs="华文新魏"/>
          <w:b/>
          <w:sz w:val="52"/>
          <w:szCs w:val="52"/>
        </w:rPr>
      </w:pPr>
      <w:r>
        <w:rPr>
          <w:rFonts w:hint="eastAsia" w:hAnsi="宋体" w:cs="华文新魏"/>
          <w:b/>
          <w:sz w:val="52"/>
          <w:szCs w:val="52"/>
        </w:rPr>
        <w:t xml:space="preserve"> 西和县基层医疗卫生机构医疗设备</w:t>
      </w:r>
    </w:p>
    <w:p>
      <w:pPr>
        <w:pStyle w:val="135"/>
        <w:jc w:val="center"/>
        <w:rPr>
          <w:rFonts w:hint="eastAsia" w:hAnsi="宋体" w:cs="华文新魏"/>
          <w:b/>
          <w:sz w:val="52"/>
          <w:szCs w:val="52"/>
        </w:rPr>
      </w:pPr>
      <w:r>
        <w:rPr>
          <w:rFonts w:hint="eastAsia" w:hAnsi="宋体" w:cs="华文新魏"/>
          <w:b/>
          <w:sz w:val="52"/>
          <w:szCs w:val="52"/>
        </w:rPr>
        <w:t>购置项目</w:t>
      </w:r>
    </w:p>
    <w:p>
      <w:pPr>
        <w:pStyle w:val="135"/>
        <w:jc w:val="center"/>
        <w:rPr>
          <w:rFonts w:hint="eastAsia" w:hAnsi="宋体" w:cs="华文新魏"/>
          <w:b/>
          <w:sz w:val="86"/>
          <w:szCs w:val="86"/>
        </w:rPr>
      </w:pPr>
    </w:p>
    <w:p>
      <w:pPr>
        <w:pStyle w:val="135"/>
        <w:jc w:val="center"/>
        <w:rPr>
          <w:rFonts w:hAnsi="宋体" w:cs="华文新魏"/>
          <w:b/>
          <w:sz w:val="86"/>
          <w:szCs w:val="86"/>
        </w:rPr>
      </w:pPr>
      <w:r>
        <w:rPr>
          <w:rFonts w:hint="eastAsia" w:hAnsi="宋体" w:cs="华文新魏"/>
          <w:b/>
          <w:sz w:val="86"/>
          <w:szCs w:val="86"/>
          <w:lang w:val="en-US" w:eastAsia="zh-CN"/>
        </w:rPr>
        <w:t>竞争性磋商</w:t>
      </w:r>
      <w:r>
        <w:rPr>
          <w:rFonts w:hint="eastAsia" w:hAnsi="宋体" w:cs="华文新魏"/>
          <w:b/>
          <w:sz w:val="86"/>
          <w:szCs w:val="86"/>
        </w:rPr>
        <w:t>文件</w:t>
      </w:r>
    </w:p>
    <w:p>
      <w:pPr>
        <w:pStyle w:val="135"/>
        <w:jc w:val="center"/>
        <w:rPr>
          <w:rFonts w:hAnsi="宋体" w:cs="华文新魏"/>
          <w:sz w:val="21"/>
          <w:szCs w:val="21"/>
        </w:rPr>
      </w:pPr>
    </w:p>
    <w:p>
      <w:pPr>
        <w:pStyle w:val="135"/>
        <w:jc w:val="center"/>
        <w:rPr>
          <w:rFonts w:hAnsi="宋体" w:cs="华文新魏"/>
          <w:sz w:val="21"/>
          <w:szCs w:val="21"/>
        </w:rPr>
      </w:pPr>
    </w:p>
    <w:p>
      <w:pPr>
        <w:pStyle w:val="135"/>
        <w:jc w:val="center"/>
        <w:rPr>
          <w:rFonts w:hAnsi="宋体" w:cs="华文新魏"/>
          <w:sz w:val="21"/>
          <w:szCs w:val="21"/>
        </w:rPr>
      </w:pPr>
    </w:p>
    <w:p>
      <w:pPr>
        <w:pStyle w:val="135"/>
        <w:jc w:val="center"/>
        <w:rPr>
          <w:rFonts w:hAnsi="宋体" w:cs="华文新魏"/>
          <w:sz w:val="21"/>
          <w:szCs w:val="21"/>
        </w:rPr>
      </w:pPr>
    </w:p>
    <w:p>
      <w:pPr>
        <w:pStyle w:val="135"/>
        <w:jc w:val="both"/>
        <w:rPr>
          <w:rFonts w:hint="eastAsia" w:hAnsi="宋体" w:cs="华文新魏"/>
          <w:sz w:val="21"/>
          <w:szCs w:val="21"/>
        </w:rPr>
      </w:pPr>
    </w:p>
    <w:p>
      <w:pPr>
        <w:pStyle w:val="135"/>
        <w:jc w:val="both"/>
        <w:rPr>
          <w:rFonts w:hAnsi="宋体" w:cs="华文新魏"/>
          <w:sz w:val="21"/>
          <w:szCs w:val="21"/>
        </w:rPr>
      </w:pPr>
    </w:p>
    <w:p>
      <w:pPr>
        <w:pStyle w:val="135"/>
        <w:jc w:val="center"/>
        <w:rPr>
          <w:rFonts w:hAnsi="宋体" w:cs="华文新魏"/>
          <w:sz w:val="21"/>
          <w:szCs w:val="21"/>
        </w:rPr>
      </w:pPr>
    </w:p>
    <w:p>
      <w:pPr>
        <w:pStyle w:val="135"/>
        <w:jc w:val="center"/>
        <w:rPr>
          <w:rFonts w:hAnsi="宋体" w:cs="华文新魏"/>
          <w:sz w:val="21"/>
          <w:szCs w:val="21"/>
        </w:rPr>
      </w:pPr>
    </w:p>
    <w:p>
      <w:pPr>
        <w:pStyle w:val="135"/>
        <w:jc w:val="center"/>
        <w:rPr>
          <w:rFonts w:hAnsi="宋体" w:cs="华文新魏"/>
          <w:sz w:val="21"/>
          <w:szCs w:val="21"/>
        </w:rPr>
      </w:pPr>
    </w:p>
    <w:p>
      <w:pPr>
        <w:pStyle w:val="135"/>
        <w:rPr>
          <w:rFonts w:hAnsi="宋体" w:cs="华文新魏"/>
          <w:sz w:val="21"/>
          <w:szCs w:val="21"/>
        </w:rPr>
      </w:pPr>
    </w:p>
    <w:p>
      <w:pPr>
        <w:pStyle w:val="135"/>
        <w:jc w:val="center"/>
        <w:rPr>
          <w:rFonts w:hAnsi="宋体" w:cs="华文新魏"/>
          <w:sz w:val="21"/>
          <w:szCs w:val="21"/>
        </w:rPr>
      </w:pPr>
    </w:p>
    <w:p>
      <w:pPr>
        <w:spacing w:line="480" w:lineRule="auto"/>
        <w:ind w:firstLine="720" w:firstLineChars="200"/>
        <w:jc w:val="left"/>
        <w:rPr>
          <w:rFonts w:ascii="宋体" w:hAnsi="宋体"/>
          <w:b/>
          <w:color w:val="000000"/>
          <w:spacing w:val="20"/>
          <w:sz w:val="32"/>
          <w:szCs w:val="32"/>
        </w:rPr>
      </w:pPr>
      <w:r>
        <w:rPr>
          <w:rFonts w:hint="eastAsia" w:ascii="宋体" w:hAnsi="宋体"/>
          <w:b/>
          <w:color w:val="000000"/>
          <w:spacing w:val="20"/>
          <w:sz w:val="32"/>
          <w:szCs w:val="32"/>
        </w:rPr>
        <w:t>招 标 编 号：</w:t>
      </w:r>
      <w:r>
        <w:rPr>
          <w:rFonts w:hint="eastAsia" w:ascii="宋体" w:hAnsi="宋体"/>
          <w:b/>
          <w:color w:val="000000"/>
          <w:spacing w:val="20"/>
          <w:sz w:val="32"/>
          <w:szCs w:val="32"/>
          <w:u w:val="single"/>
        </w:rPr>
        <w:t xml:space="preserve">    </w:t>
      </w:r>
      <w:r>
        <w:rPr>
          <w:rFonts w:hint="eastAsia" w:ascii="宋体" w:hAnsi="宋体"/>
          <w:b/>
          <w:color w:val="000000"/>
          <w:spacing w:val="20"/>
          <w:sz w:val="32"/>
          <w:szCs w:val="32"/>
          <w:u w:val="single"/>
          <w:lang w:val="en-US" w:eastAsia="zh-CN"/>
        </w:rPr>
        <w:t>GSDH-2024-09</w:t>
      </w:r>
      <w:r>
        <w:rPr>
          <w:rFonts w:hint="eastAsia" w:ascii="宋体" w:hAnsi="宋体"/>
          <w:b/>
          <w:color w:val="000000"/>
          <w:spacing w:val="20"/>
          <w:sz w:val="32"/>
          <w:szCs w:val="32"/>
          <w:u w:val="single"/>
        </w:rPr>
        <w:t xml:space="preserve">   </w:t>
      </w:r>
      <w:r>
        <w:rPr>
          <w:rFonts w:hint="eastAsia" w:ascii="宋体" w:hAnsi="宋体"/>
          <w:b/>
          <w:color w:val="000000"/>
          <w:spacing w:val="20"/>
          <w:sz w:val="32"/>
          <w:szCs w:val="32"/>
          <w:u w:val="single"/>
          <w:lang w:val="en-US" w:eastAsia="zh-CN"/>
        </w:rPr>
        <w:t xml:space="preserve">  </w:t>
      </w:r>
      <w:r>
        <w:rPr>
          <w:rFonts w:hint="eastAsia" w:ascii="宋体" w:hAnsi="宋体"/>
          <w:b/>
          <w:color w:val="000000"/>
          <w:spacing w:val="20"/>
          <w:sz w:val="32"/>
          <w:szCs w:val="32"/>
          <w:u w:val="single"/>
        </w:rPr>
        <w:t xml:space="preserve">            </w:t>
      </w:r>
    </w:p>
    <w:p>
      <w:pPr>
        <w:spacing w:line="480" w:lineRule="auto"/>
        <w:ind w:firstLine="720" w:firstLineChars="200"/>
        <w:rPr>
          <w:rFonts w:hint="eastAsia" w:ascii="宋体" w:hAnsi="宋体"/>
          <w:b/>
          <w:color w:val="000000"/>
          <w:spacing w:val="20"/>
          <w:sz w:val="32"/>
          <w:szCs w:val="32"/>
          <w:u w:val="single"/>
        </w:rPr>
      </w:pPr>
      <w:r>
        <w:rPr>
          <w:rFonts w:ascii="宋体" w:hAnsi="宋体"/>
          <w:b/>
          <w:color w:val="000000"/>
          <w:spacing w:val="20"/>
          <w:sz w:val="32"/>
          <w:szCs w:val="32"/>
        </w:rPr>
        <w:t>招</w:t>
      </w:r>
      <w:r>
        <w:rPr>
          <w:rFonts w:hint="eastAsia" w:ascii="宋体" w:hAnsi="宋体"/>
          <w:b/>
          <w:color w:val="000000"/>
          <w:spacing w:val="20"/>
          <w:sz w:val="32"/>
          <w:szCs w:val="32"/>
        </w:rPr>
        <w:t xml:space="preserve">  </w:t>
      </w:r>
      <w:r>
        <w:rPr>
          <w:rFonts w:ascii="宋体" w:hAnsi="宋体"/>
          <w:b/>
          <w:color w:val="000000"/>
          <w:spacing w:val="20"/>
          <w:sz w:val="32"/>
          <w:szCs w:val="32"/>
        </w:rPr>
        <w:t>标</w:t>
      </w:r>
      <w:r>
        <w:rPr>
          <w:rFonts w:hint="eastAsia" w:ascii="宋体" w:hAnsi="宋体"/>
          <w:b/>
          <w:color w:val="000000"/>
          <w:spacing w:val="20"/>
          <w:sz w:val="32"/>
          <w:szCs w:val="32"/>
        </w:rPr>
        <w:t xml:space="preserve">  </w:t>
      </w:r>
      <w:r>
        <w:rPr>
          <w:rFonts w:ascii="宋体" w:hAnsi="宋体"/>
          <w:b/>
          <w:color w:val="000000"/>
          <w:spacing w:val="20"/>
          <w:sz w:val="32"/>
          <w:szCs w:val="32"/>
        </w:rPr>
        <w:t>人：</w:t>
      </w:r>
      <w:r>
        <w:rPr>
          <w:rFonts w:hint="eastAsia" w:ascii="宋体" w:hAnsi="宋体"/>
          <w:b/>
          <w:color w:val="000000"/>
          <w:spacing w:val="20"/>
          <w:sz w:val="32"/>
          <w:szCs w:val="32"/>
        </w:rPr>
        <w:t xml:space="preserve"> </w:t>
      </w:r>
      <w:r>
        <w:rPr>
          <w:rFonts w:hint="eastAsia" w:ascii="宋体" w:hAnsi="宋体"/>
          <w:b/>
          <w:color w:val="000000"/>
          <w:spacing w:val="20"/>
          <w:sz w:val="32"/>
          <w:szCs w:val="32"/>
          <w:u w:val="single"/>
        </w:rPr>
        <w:t xml:space="preserve">    </w:t>
      </w:r>
      <w:r>
        <w:rPr>
          <w:rFonts w:hint="eastAsia" w:ascii="宋体" w:hAnsi="宋体"/>
          <w:b/>
          <w:color w:val="000000"/>
          <w:spacing w:val="20"/>
          <w:sz w:val="32"/>
          <w:szCs w:val="32"/>
          <w:u w:val="single"/>
          <w:lang w:val="en-US" w:eastAsia="zh-CN"/>
        </w:rPr>
        <w:t>西和县</w:t>
      </w:r>
      <w:r>
        <w:rPr>
          <w:rFonts w:hint="eastAsia" w:ascii="宋体" w:hAnsi="宋体"/>
          <w:b/>
          <w:color w:val="000000"/>
          <w:spacing w:val="20"/>
          <w:sz w:val="32"/>
          <w:szCs w:val="32"/>
          <w:u w:val="single"/>
        </w:rPr>
        <w:t>卫生健康</w:t>
      </w:r>
      <w:r>
        <w:rPr>
          <w:rFonts w:hint="eastAsia" w:ascii="宋体" w:hAnsi="宋体"/>
          <w:b/>
          <w:color w:val="000000"/>
          <w:spacing w:val="20"/>
          <w:sz w:val="32"/>
          <w:szCs w:val="32"/>
          <w:u w:val="single"/>
          <w:lang w:val="en-US" w:eastAsia="zh-CN"/>
        </w:rPr>
        <w:t>局</w:t>
      </w:r>
      <w:r>
        <w:rPr>
          <w:rFonts w:hint="eastAsia" w:ascii="宋体" w:hAnsi="宋体"/>
          <w:b/>
          <w:color w:val="000000"/>
          <w:spacing w:val="20"/>
          <w:sz w:val="32"/>
          <w:szCs w:val="32"/>
          <w:u w:val="single"/>
        </w:rPr>
        <w:t xml:space="preserve">            </w:t>
      </w:r>
    </w:p>
    <w:p>
      <w:pPr>
        <w:spacing w:line="480" w:lineRule="auto"/>
        <w:ind w:firstLine="720" w:firstLineChars="200"/>
        <w:rPr>
          <w:rFonts w:hint="eastAsia" w:ascii="宋体" w:hAnsi="宋体"/>
          <w:b/>
          <w:color w:val="000000"/>
          <w:spacing w:val="20"/>
          <w:sz w:val="32"/>
          <w:szCs w:val="32"/>
          <w:u w:val="single"/>
        </w:rPr>
      </w:pPr>
      <w:r>
        <w:rPr>
          <w:rFonts w:hint="eastAsia" w:ascii="宋体" w:hAnsi="宋体"/>
          <w:b/>
          <w:color w:val="000000"/>
          <w:spacing w:val="20"/>
          <w:sz w:val="32"/>
          <w:szCs w:val="32"/>
        </w:rPr>
        <w:t>代 理 公 司：</w:t>
      </w:r>
      <w:r>
        <w:rPr>
          <w:rFonts w:hint="eastAsia" w:ascii="宋体" w:hAnsi="宋体"/>
          <w:b/>
          <w:color w:val="000000"/>
          <w:spacing w:val="20"/>
          <w:sz w:val="32"/>
          <w:szCs w:val="32"/>
          <w:u w:val="single"/>
        </w:rPr>
        <w:t xml:space="preserve">    甘肃</w:t>
      </w:r>
      <w:r>
        <w:rPr>
          <w:rFonts w:hint="eastAsia" w:ascii="宋体" w:hAnsi="宋体"/>
          <w:b/>
          <w:color w:val="000000"/>
          <w:spacing w:val="20"/>
          <w:sz w:val="32"/>
          <w:szCs w:val="32"/>
          <w:u w:val="single"/>
          <w:lang w:val="en-US" w:eastAsia="zh-CN"/>
        </w:rPr>
        <w:t>大汇</w:t>
      </w:r>
      <w:r>
        <w:rPr>
          <w:rFonts w:hint="eastAsia" w:ascii="宋体" w:hAnsi="宋体"/>
          <w:b/>
          <w:color w:val="000000"/>
          <w:spacing w:val="20"/>
          <w:sz w:val="32"/>
          <w:szCs w:val="32"/>
          <w:u w:val="single"/>
        </w:rPr>
        <w:t xml:space="preserve">项目管理有限公司    </w:t>
      </w:r>
    </w:p>
    <w:p>
      <w:pPr>
        <w:pStyle w:val="135"/>
        <w:jc w:val="center"/>
        <w:rPr>
          <w:rFonts w:hint="eastAsia" w:hAnsi="宋体"/>
          <w:b/>
          <w:sz w:val="32"/>
          <w:szCs w:val="32"/>
        </w:rPr>
      </w:pPr>
    </w:p>
    <w:p>
      <w:pPr>
        <w:pStyle w:val="135"/>
        <w:jc w:val="center"/>
        <w:rPr>
          <w:rFonts w:hint="eastAsia" w:hAnsi="宋体"/>
          <w:b/>
          <w:sz w:val="32"/>
          <w:szCs w:val="32"/>
        </w:rPr>
      </w:pPr>
    </w:p>
    <w:p>
      <w:pPr>
        <w:pStyle w:val="135"/>
        <w:jc w:val="center"/>
        <w:rPr>
          <w:rFonts w:hint="eastAsia" w:hAnsi="宋体"/>
          <w:b/>
          <w:sz w:val="32"/>
          <w:szCs w:val="32"/>
        </w:rPr>
      </w:pPr>
      <w:r>
        <w:rPr>
          <w:rFonts w:hint="eastAsia" w:hAnsi="宋体"/>
          <w:b/>
          <w:sz w:val="32"/>
          <w:szCs w:val="32"/>
        </w:rPr>
        <w:t>二0二</w:t>
      </w:r>
      <w:r>
        <w:rPr>
          <w:rFonts w:hint="eastAsia" w:hAnsi="宋体"/>
          <w:b/>
          <w:sz w:val="32"/>
          <w:szCs w:val="32"/>
          <w:lang w:val="en-US" w:eastAsia="zh-CN"/>
        </w:rPr>
        <w:t>四</w:t>
      </w:r>
      <w:r>
        <w:rPr>
          <w:rFonts w:hint="eastAsia" w:hAnsi="宋体"/>
          <w:b/>
          <w:sz w:val="32"/>
          <w:szCs w:val="32"/>
        </w:rPr>
        <w:t>年</w:t>
      </w:r>
      <w:r>
        <w:rPr>
          <w:rFonts w:hint="eastAsia" w:hAnsi="宋体"/>
          <w:b/>
          <w:sz w:val="32"/>
          <w:szCs w:val="32"/>
          <w:lang w:val="en-US" w:eastAsia="zh-CN"/>
        </w:rPr>
        <w:t>六</w:t>
      </w:r>
      <w:r>
        <w:rPr>
          <w:rFonts w:hint="eastAsia" w:hAnsi="宋体"/>
          <w:b/>
          <w:sz w:val="32"/>
          <w:szCs w:val="32"/>
        </w:rPr>
        <w:t>月</w:t>
      </w:r>
    </w:p>
    <w:p>
      <w:pPr>
        <w:widowControl/>
        <w:numPr>
          <w:ilvl w:val="0"/>
          <w:numId w:val="0"/>
        </w:numPr>
        <w:jc w:val="center"/>
        <w:rPr>
          <w:rFonts w:hint="eastAsia" w:ascii="宋体" w:hAnsi="宋体" w:cs="宋体"/>
          <w:b/>
          <w:bCs/>
          <w:kern w:val="0"/>
          <w:sz w:val="32"/>
          <w:szCs w:val="32"/>
          <w:lang w:val="en-US" w:eastAsia="zh-CN"/>
        </w:rPr>
      </w:pPr>
    </w:p>
    <w:p>
      <w:pPr>
        <w:widowControl/>
        <w:numPr>
          <w:ilvl w:val="0"/>
          <w:numId w:val="0"/>
        </w:numPr>
        <w:jc w:val="center"/>
        <w:rPr>
          <w:rFonts w:hint="eastAsia" w:ascii="宋体" w:hAnsi="宋体" w:cs="宋体"/>
          <w:b/>
          <w:bCs/>
          <w:kern w:val="0"/>
          <w:sz w:val="32"/>
          <w:szCs w:val="32"/>
        </w:rPr>
      </w:pPr>
      <w:r>
        <w:rPr>
          <w:rFonts w:hint="eastAsia" w:ascii="宋体" w:hAnsi="宋体" w:cs="宋体"/>
          <w:b/>
          <w:bCs/>
          <w:kern w:val="0"/>
          <w:sz w:val="32"/>
          <w:szCs w:val="32"/>
          <w:lang w:val="en-US" w:eastAsia="zh-CN"/>
        </w:rPr>
        <w:t xml:space="preserve">第一章 </w:t>
      </w:r>
      <w:r>
        <w:rPr>
          <w:rFonts w:hint="eastAsia" w:ascii="宋体" w:hAnsi="宋体" w:cs="宋体"/>
          <w:b/>
          <w:bCs/>
          <w:kern w:val="0"/>
          <w:sz w:val="32"/>
          <w:szCs w:val="32"/>
        </w:rPr>
        <w:t>竞争性磋商公告</w:t>
      </w:r>
    </w:p>
    <w:p>
      <w:pPr>
        <w:keepNext w:val="0"/>
        <w:keepLines w:val="0"/>
        <w:widowControl/>
        <w:suppressLineNumbers w:val="0"/>
        <w:spacing w:before="75" w:beforeAutospacing="0" w:after="75" w:afterAutospacing="0"/>
        <w:ind w:left="0" w:right="0" w:firstLine="420"/>
        <w:jc w:val="center"/>
      </w:pPr>
      <w:r>
        <w:rPr>
          <w:rFonts w:ascii="Calibri" w:hAnsi="Calibri" w:eastAsia="宋体" w:cs="Times New Roman"/>
          <w:kern w:val="0"/>
          <w:sz w:val="24"/>
          <w:szCs w:val="24"/>
          <w:lang w:val="en-US" w:eastAsia="zh-CN" w:bidi="ar"/>
        </w:rPr>
        <w:t>西和县卫生健康局西和县基层医疗卫生机构医疗设备购置项目竞争性磋商公告</w:t>
      </w:r>
    </w:p>
    <w:p>
      <w:pPr>
        <w:keepNext w:val="0"/>
        <w:keepLines w:val="0"/>
        <w:widowControl/>
        <w:suppressLineNumbers w:val="0"/>
        <w:spacing w:before="75" w:beforeAutospacing="0" w:after="75" w:afterAutospacing="0"/>
        <w:ind w:left="0" w:right="0" w:firstLine="420"/>
        <w:jc w:val="center"/>
      </w:pP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u w:val="single"/>
          <w:lang w:val="en-US" w:eastAsia="zh-CN" w:bidi="ar"/>
        </w:rPr>
        <w:t>西和县卫生健康局</w:t>
      </w:r>
      <w:r>
        <w:rPr>
          <w:rFonts w:ascii="Calibri" w:hAnsi="Calibri" w:eastAsia="宋体" w:cs="Times New Roman"/>
          <w:kern w:val="0"/>
          <w:sz w:val="24"/>
          <w:szCs w:val="24"/>
          <w:lang w:val="en-US" w:eastAsia="zh-CN" w:bidi="ar"/>
        </w:rPr>
        <w:t>采购项目的潜在供应商应在</w:t>
      </w:r>
      <w:r>
        <w:rPr>
          <w:rFonts w:ascii="Calibri" w:hAnsi="Calibri" w:eastAsia="宋体" w:cs="Times New Roman"/>
          <w:kern w:val="0"/>
          <w:sz w:val="24"/>
          <w:szCs w:val="24"/>
          <w:u w:val="single"/>
          <w:lang w:val="en-US" w:eastAsia="zh-CN" w:bidi="ar"/>
        </w:rPr>
        <w:t>陇南市公共资源交易网（网址：http://60.164.200.102/）免费下载</w:t>
      </w:r>
      <w:r>
        <w:rPr>
          <w:rFonts w:ascii="Calibri" w:hAnsi="Calibri" w:eastAsia="宋体" w:cs="Times New Roman"/>
          <w:kern w:val="0"/>
          <w:sz w:val="24"/>
          <w:szCs w:val="24"/>
          <w:lang w:val="en-US" w:eastAsia="zh-CN" w:bidi="ar"/>
        </w:rPr>
        <w:t>获取采购文件，并于</w:t>
      </w:r>
      <w:r>
        <w:rPr>
          <w:rFonts w:ascii="Calibri" w:hAnsi="Calibri" w:eastAsia="宋体" w:cs="Times New Roman"/>
          <w:kern w:val="0"/>
          <w:sz w:val="24"/>
          <w:szCs w:val="24"/>
          <w:u w:val="single"/>
          <w:lang w:val="en-US" w:eastAsia="zh-CN" w:bidi="ar"/>
        </w:rPr>
        <w:t>2024-07-01 10:00:00</w:t>
      </w:r>
      <w:r>
        <w:rPr>
          <w:rFonts w:ascii="Calibri" w:hAnsi="Calibri" w:eastAsia="宋体" w:cs="Times New Roman"/>
          <w:kern w:val="0"/>
          <w:sz w:val="24"/>
          <w:szCs w:val="24"/>
          <w:lang w:val="en-US" w:eastAsia="zh-CN" w:bidi="ar"/>
        </w:rPr>
        <w:t>（北京时间）前提交响应文件。</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 xml:space="preserve">一、项目基本情况 </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项目编号：330001JH621225022</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项目名称：西和县基层医疗卫生机构医疗设备购置项目</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预算金额：146.000000(万元)</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最高限价：146(万元)</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采购需求：医疗设备一批（具体内容详见磋商文件）</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合同履行期限：按合同约定执行</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 xml:space="preserve">二、申请人的资格要求 </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1.（1）须符合《中华人民共和国政府采购法》之二十二条规定；（2）须提供法人授权函及被授权人身份证（正、反面复印件）（3）供应商未被列入“信用中国”网站(www.creditchina.gov.cn)记录失信被执行人、重大税收违法案件当事人名单、政府采购严重违法失信行为记录名单；不处于“中国政府采购”网(www.ccgp.gov.cn)“政府采购严重违法失信行为信息记录”中的“严重违法失信行为”的方可参加本项目的投标（以竞争性磋商公告发布之日起至响应文件递交截止之日各供应商自行在以上网站查询的结果为准，如相关失信记录失效，供应商需提供相关证明资料）；（4）参加政府采购活动前三年内，在经营活动中没有重大违法记录声明；（5）本项目不接受联合体投标。</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2.落实政府采购政策需满足的资格要求：《政府采购促进中小企业发展管理办法》（财库[2020]46号）、关于进一步加大政府采购支持中小企业力度的通知（财库〔2022〕19号）、关于印发中小企业划型标准规定的通知（工信部联企业【2011】300号）、符合政府采购《节能产品政府采购清单》、《环境标志产品政府采购清单》优先采购政策、《关于促进残疾人就业政府采购政策的通知》（财库【2017】141号）等。</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3.本项目的特定资格要求：投标单位须具有医疗器械经营许可证或医疗器械生产许可证。</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 xml:space="preserve">三、获取采购文件 </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时间：</w:t>
      </w:r>
      <w:r>
        <w:rPr>
          <w:rFonts w:ascii="Calibri" w:hAnsi="Calibri" w:eastAsia="宋体" w:cs="Times New Roman"/>
          <w:kern w:val="0"/>
          <w:sz w:val="24"/>
          <w:szCs w:val="24"/>
          <w:u w:val="single"/>
          <w:lang w:val="en-US" w:eastAsia="zh-CN" w:bidi="ar"/>
        </w:rPr>
        <w:t>2024-06-21</w:t>
      </w:r>
      <w:r>
        <w:rPr>
          <w:rFonts w:ascii="Calibri" w:hAnsi="Calibri" w:eastAsia="宋体" w:cs="Times New Roman"/>
          <w:kern w:val="0"/>
          <w:sz w:val="24"/>
          <w:szCs w:val="24"/>
          <w:lang w:val="en-US" w:eastAsia="zh-CN" w:bidi="ar"/>
        </w:rPr>
        <w:t>至</w:t>
      </w:r>
      <w:r>
        <w:rPr>
          <w:rFonts w:ascii="Calibri" w:hAnsi="Calibri" w:eastAsia="宋体" w:cs="Times New Roman"/>
          <w:kern w:val="0"/>
          <w:sz w:val="24"/>
          <w:szCs w:val="24"/>
          <w:u w:val="single"/>
          <w:lang w:val="en-US" w:eastAsia="zh-CN" w:bidi="ar"/>
        </w:rPr>
        <w:t>2024-06-27</w:t>
      </w:r>
      <w:r>
        <w:rPr>
          <w:rFonts w:ascii="Calibri" w:hAnsi="Calibri" w:eastAsia="宋体" w:cs="Times New Roman"/>
          <w:kern w:val="0"/>
          <w:sz w:val="24"/>
          <w:szCs w:val="24"/>
          <w:lang w:val="en-US" w:eastAsia="zh-CN" w:bidi="ar"/>
        </w:rPr>
        <w:t>，每天上午</w:t>
      </w:r>
      <w:r>
        <w:rPr>
          <w:rFonts w:ascii="Calibri" w:hAnsi="Calibri" w:eastAsia="宋体" w:cs="Times New Roman"/>
          <w:kern w:val="0"/>
          <w:sz w:val="24"/>
          <w:szCs w:val="24"/>
          <w:u w:val="single"/>
          <w:lang w:val="en-US" w:eastAsia="zh-CN" w:bidi="ar"/>
        </w:rPr>
        <w:t>8:30</w:t>
      </w:r>
      <w:r>
        <w:rPr>
          <w:rFonts w:ascii="Calibri" w:hAnsi="Calibri" w:eastAsia="宋体" w:cs="Times New Roman"/>
          <w:kern w:val="0"/>
          <w:sz w:val="24"/>
          <w:szCs w:val="24"/>
          <w:lang w:val="en-US" w:eastAsia="zh-CN" w:bidi="ar"/>
        </w:rPr>
        <w:t>至</w:t>
      </w:r>
      <w:r>
        <w:rPr>
          <w:rFonts w:ascii="Calibri" w:hAnsi="Calibri" w:eastAsia="宋体" w:cs="Times New Roman"/>
          <w:kern w:val="0"/>
          <w:sz w:val="24"/>
          <w:szCs w:val="24"/>
          <w:u w:val="single"/>
          <w:lang w:val="en-US" w:eastAsia="zh-CN" w:bidi="ar"/>
        </w:rPr>
        <w:t>12:00</w:t>
      </w:r>
      <w:r>
        <w:rPr>
          <w:rFonts w:ascii="Calibri" w:hAnsi="Calibri" w:eastAsia="宋体" w:cs="Times New Roman"/>
          <w:kern w:val="0"/>
          <w:sz w:val="24"/>
          <w:szCs w:val="24"/>
          <w:lang w:val="en-US" w:eastAsia="zh-CN" w:bidi="ar"/>
        </w:rPr>
        <w:t>，下午</w:t>
      </w:r>
      <w:r>
        <w:rPr>
          <w:rFonts w:ascii="Calibri" w:hAnsi="Calibri" w:eastAsia="宋体" w:cs="Times New Roman"/>
          <w:kern w:val="0"/>
          <w:sz w:val="24"/>
          <w:szCs w:val="24"/>
          <w:u w:val="single"/>
          <w:lang w:val="en-US" w:eastAsia="zh-CN" w:bidi="ar"/>
        </w:rPr>
        <w:t>12:00</w:t>
      </w:r>
      <w:r>
        <w:rPr>
          <w:rFonts w:ascii="Calibri" w:hAnsi="Calibri" w:eastAsia="宋体" w:cs="Times New Roman"/>
          <w:kern w:val="0"/>
          <w:sz w:val="24"/>
          <w:szCs w:val="24"/>
          <w:lang w:val="en-US" w:eastAsia="zh-CN" w:bidi="ar"/>
        </w:rPr>
        <w:t>至</w:t>
      </w:r>
      <w:r>
        <w:rPr>
          <w:rFonts w:ascii="Calibri" w:hAnsi="Calibri" w:eastAsia="宋体" w:cs="Times New Roman"/>
          <w:kern w:val="0"/>
          <w:sz w:val="24"/>
          <w:szCs w:val="24"/>
          <w:u w:val="single"/>
          <w:lang w:val="en-US" w:eastAsia="zh-CN" w:bidi="ar"/>
        </w:rPr>
        <w:t>17:30</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地点：陇南市公共资源交易网（网址：http://60.164.200.102/）免费下载</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方式：拟参与本项目的潜在供应商在获取期限内，凭CA证书登录陇南市公共资源交易网在线免费下载采购文件，并点击“我要投标”按要求填写信息进行确认。</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售价：0(元)</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四、响应文件提交</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截止时间：2024-07-01 10:00:00</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地点：凭CA证书登录陇南市公共资源交易网（网址 ：http://60.164.200.102/）进行上传</w:t>
      </w:r>
    </w:p>
    <w:p>
      <w:pPr>
        <w:keepNext w:val="0"/>
        <w:keepLines w:val="0"/>
        <w:widowControl/>
        <w:suppressLineNumbers w:val="0"/>
        <w:jc w:val="left"/>
      </w:pPr>
      <w:r>
        <w:rPr>
          <w:rFonts w:ascii="宋体" w:hAnsi="宋体" w:eastAsia="宋体" w:cs="宋体"/>
          <w:kern w:val="0"/>
          <w:sz w:val="24"/>
          <w:szCs w:val="24"/>
          <w:lang w:val="en-US" w:eastAsia="zh-CN" w:bidi="ar"/>
        </w:rPr>
        <w:t>五、开启</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时间：2024-07-01 10:00:00</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地点：陇南市公共资源交易中心网络开标直播1厅第4坐席（陇南市行政中心5号楼环保大厦）</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六、公告期限</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自本公告发布之日起3个工作日。</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七、其他补充事宜</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1.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响应文件）则视为放弃投标。 2.请潜在供应商随时关注陇南市公共资源交易网及甘肃政府采购网本项目相关变更公告及澄清答疑文件，否则由变更引起的相关责任自负。</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①陇南市公共资源交易网：http://60.164.200.102/</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②信用中国”网站：https://www.creditchina.gov.cn</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③中国政府采购网网址：http://www.ccgp.gov.cn/</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八、凡对本次采购提出询问，请按以下方式联系</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1.采购人信息</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名 称：</w:t>
      </w:r>
      <w:r>
        <w:rPr>
          <w:rFonts w:ascii="Calibri" w:hAnsi="Calibri" w:eastAsia="宋体" w:cs="Times New Roman"/>
          <w:kern w:val="0"/>
          <w:sz w:val="24"/>
          <w:szCs w:val="24"/>
          <w:u w:val="single"/>
          <w:lang w:val="en-US" w:eastAsia="zh-CN" w:bidi="ar"/>
        </w:rPr>
        <w:t>西和县卫生健康局</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地 址：</w:t>
      </w:r>
      <w:r>
        <w:rPr>
          <w:rFonts w:ascii="Calibri" w:hAnsi="Calibri" w:eastAsia="宋体" w:cs="Times New Roman"/>
          <w:kern w:val="0"/>
          <w:sz w:val="24"/>
          <w:szCs w:val="24"/>
          <w:u w:val="single"/>
          <w:lang w:val="en-US" w:eastAsia="zh-CN" w:bidi="ar"/>
        </w:rPr>
        <w:t>陇南市西和县汉源镇凤山社区中山路51号</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联系方式：</w:t>
      </w:r>
      <w:r>
        <w:rPr>
          <w:rFonts w:ascii="Calibri" w:hAnsi="Calibri" w:eastAsia="宋体" w:cs="Times New Roman"/>
          <w:kern w:val="0"/>
          <w:sz w:val="24"/>
          <w:szCs w:val="24"/>
          <w:u w:val="single"/>
          <w:lang w:val="en-US" w:eastAsia="zh-CN" w:bidi="ar"/>
        </w:rPr>
        <w:t>0939-6621355</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2.采购代理机构信息</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名 称：</w:t>
      </w:r>
      <w:r>
        <w:rPr>
          <w:rFonts w:ascii="Calibri" w:hAnsi="Calibri" w:eastAsia="宋体" w:cs="Times New Roman"/>
          <w:kern w:val="0"/>
          <w:sz w:val="24"/>
          <w:szCs w:val="24"/>
          <w:u w:val="single"/>
          <w:lang w:val="en-US" w:eastAsia="zh-CN" w:bidi="ar"/>
        </w:rPr>
        <w:t>甘肃大汇项目管理有限公司</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地 址：</w:t>
      </w:r>
      <w:r>
        <w:rPr>
          <w:rFonts w:ascii="Calibri" w:hAnsi="Calibri" w:eastAsia="宋体" w:cs="Times New Roman"/>
          <w:kern w:val="0"/>
          <w:sz w:val="24"/>
          <w:szCs w:val="24"/>
          <w:u w:val="single"/>
          <w:lang w:val="en-US" w:eastAsia="zh-CN" w:bidi="ar"/>
        </w:rPr>
        <w:t>甘肃省陇南市礼县城关镇能干村村委会后面</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联系方式：</w:t>
      </w:r>
      <w:r>
        <w:rPr>
          <w:rFonts w:ascii="Calibri" w:hAnsi="Calibri" w:eastAsia="宋体" w:cs="Times New Roman"/>
          <w:kern w:val="0"/>
          <w:sz w:val="24"/>
          <w:szCs w:val="24"/>
          <w:u w:val="single"/>
          <w:lang w:val="en-US" w:eastAsia="zh-CN" w:bidi="ar"/>
        </w:rPr>
        <w:t>0939-6621355</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3.项目联系方式</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项目联系人：</w:t>
      </w:r>
      <w:r>
        <w:rPr>
          <w:rFonts w:ascii="Calibri" w:hAnsi="Calibri" w:eastAsia="宋体" w:cs="Times New Roman"/>
          <w:kern w:val="0"/>
          <w:sz w:val="24"/>
          <w:szCs w:val="24"/>
          <w:u w:val="single"/>
          <w:lang w:val="en-US" w:eastAsia="zh-CN" w:bidi="ar"/>
        </w:rPr>
        <w:t>韩喜祥</w:t>
      </w:r>
    </w:p>
    <w:p>
      <w:pPr>
        <w:keepNext w:val="0"/>
        <w:keepLines w:val="0"/>
        <w:widowControl/>
        <w:suppressLineNumbers w:val="0"/>
        <w:spacing w:before="75" w:beforeAutospacing="0" w:after="75" w:afterAutospacing="0"/>
        <w:ind w:left="0" w:right="0" w:firstLine="420"/>
        <w:jc w:val="left"/>
      </w:pPr>
      <w:r>
        <w:rPr>
          <w:rFonts w:ascii="Calibri" w:hAnsi="Calibri" w:eastAsia="宋体" w:cs="Times New Roman"/>
          <w:kern w:val="0"/>
          <w:sz w:val="24"/>
          <w:szCs w:val="24"/>
          <w:lang w:val="en-US" w:eastAsia="zh-CN" w:bidi="ar"/>
        </w:rPr>
        <w:t>电　话：</w:t>
      </w:r>
      <w:r>
        <w:rPr>
          <w:rFonts w:ascii="Calibri" w:hAnsi="Calibri" w:eastAsia="宋体" w:cs="Times New Roman"/>
          <w:kern w:val="0"/>
          <w:sz w:val="24"/>
          <w:szCs w:val="24"/>
          <w:u w:val="single"/>
          <w:lang w:val="en-US" w:eastAsia="zh-CN" w:bidi="ar"/>
        </w:rPr>
        <w:t>0939-6621355</w:t>
      </w:r>
    </w:p>
    <w:p>
      <w:pPr>
        <w:keepNext w:val="0"/>
        <w:keepLines w:val="0"/>
        <w:pageBreakBefore w:val="0"/>
        <w:widowControl/>
        <w:kinsoku/>
        <w:wordWrap/>
        <w:overflowPunct/>
        <w:topLinePunct w:val="0"/>
        <w:autoSpaceDE/>
        <w:autoSpaceDN/>
        <w:bidi w:val="0"/>
        <w:adjustRightInd/>
        <w:snapToGrid/>
        <w:spacing w:line="480" w:lineRule="auto"/>
        <w:ind w:firstLine="560" w:firstLineChars="200"/>
        <w:jc w:val="right"/>
        <w:textAlignment w:val="auto"/>
        <w:rPr>
          <w:rFonts w:ascii="宋体" w:hAnsi="宋体" w:cs="宋体"/>
          <w:color w:val="333333"/>
          <w:kern w:val="0"/>
          <w:sz w:val="28"/>
          <w:szCs w:val="28"/>
          <w:shd w:val="clear" w:color="auto" w:fill="FFFFFF"/>
        </w:rPr>
      </w:pPr>
      <w:bookmarkStart w:id="22" w:name="_GoBack"/>
      <w:bookmarkEnd w:id="22"/>
      <w:r>
        <w:rPr>
          <w:color w:val="333333"/>
          <w:sz w:val="28"/>
          <w:szCs w:val="28"/>
          <w:shd w:val="clear" w:color="auto" w:fill="FFFFFF"/>
        </w:rPr>
        <w:br w:type="page"/>
      </w:r>
    </w:p>
    <w:p>
      <w:pPr>
        <w:widowControl/>
        <w:numPr>
          <w:ilvl w:val="0"/>
          <w:numId w:val="0"/>
        </w:numPr>
        <w:jc w:val="center"/>
        <w:rPr>
          <w:rFonts w:hint="eastAsia" w:ascii="宋体" w:hAnsi="宋体" w:cs="宋体"/>
          <w:b/>
          <w:bCs/>
          <w:kern w:val="0"/>
          <w:sz w:val="32"/>
          <w:szCs w:val="32"/>
          <w:lang w:val="en-US" w:eastAsia="zh-CN"/>
        </w:rPr>
      </w:pPr>
      <w:bookmarkStart w:id="0" w:name="_Toc23302"/>
      <w:bookmarkStart w:id="1" w:name="_Toc31678"/>
      <w:bookmarkStart w:id="2" w:name="_Toc12033"/>
      <w:r>
        <w:rPr>
          <w:rFonts w:hint="eastAsia" w:ascii="宋体" w:hAnsi="宋体" w:cs="宋体"/>
          <w:b/>
          <w:bCs/>
          <w:kern w:val="0"/>
          <w:sz w:val="32"/>
          <w:szCs w:val="32"/>
          <w:lang w:val="en-US" w:eastAsia="zh-CN"/>
        </w:rPr>
        <w:t>第二章  投标须知</w:t>
      </w:r>
      <w:bookmarkEnd w:id="0"/>
      <w:bookmarkStart w:id="3" w:name="_Toc3314"/>
      <w:r>
        <w:rPr>
          <w:rFonts w:hint="eastAsia" w:ascii="宋体" w:hAnsi="宋体" w:cs="宋体"/>
          <w:b/>
          <w:bCs/>
          <w:kern w:val="0"/>
          <w:sz w:val="32"/>
          <w:szCs w:val="32"/>
          <w:lang w:val="en-US" w:eastAsia="zh-CN"/>
        </w:rPr>
        <w:t>前附表</w:t>
      </w:r>
      <w:bookmarkEnd w:id="1"/>
      <w:bookmarkEnd w:id="2"/>
      <w:bookmarkEnd w:id="3"/>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1335"/>
        <w:gridCol w:w="7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条款号</w:t>
            </w:r>
          </w:p>
        </w:tc>
        <w:tc>
          <w:tcPr>
            <w:tcW w:w="1335"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条款名称</w:t>
            </w:r>
          </w:p>
        </w:tc>
        <w:tc>
          <w:tcPr>
            <w:tcW w:w="7014"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w:t>
            </w:r>
          </w:p>
        </w:tc>
        <w:tc>
          <w:tcPr>
            <w:tcW w:w="1335"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采购人信息</w:t>
            </w:r>
          </w:p>
        </w:tc>
        <w:tc>
          <w:tcPr>
            <w:tcW w:w="7014" w:type="dxa"/>
          </w:tcPr>
          <w:p>
            <w:pPr>
              <w:rPr>
                <w:rFonts w:hint="eastAsia" w:eastAsia="宋体"/>
                <w:color w:val="000000" w:themeColor="text1"/>
                <w:vertAlign w:val="baseline"/>
                <w:lang w:eastAsia="zh-CN"/>
                <w14:textFill>
                  <w14:solidFill>
                    <w14:schemeClr w14:val="tx1"/>
                  </w14:solidFill>
                </w14:textFill>
              </w:rPr>
            </w:pPr>
            <w:r>
              <w:rPr>
                <w:rFonts w:hint="eastAsia"/>
                <w:color w:val="000000" w:themeColor="text1"/>
                <w:vertAlign w:val="baseline"/>
                <w14:textFill>
                  <w14:solidFill>
                    <w14:schemeClr w14:val="tx1"/>
                  </w14:solidFill>
                </w14:textFill>
              </w:rPr>
              <w:t>采 购 人：</w:t>
            </w:r>
            <w:r>
              <w:rPr>
                <w:rFonts w:hint="eastAsia"/>
                <w:color w:val="000000" w:themeColor="text1"/>
                <w:vertAlign w:val="baseline"/>
                <w:lang w:eastAsia="zh-CN"/>
                <w14:textFill>
                  <w14:solidFill>
                    <w14:schemeClr w14:val="tx1"/>
                  </w14:solidFill>
                </w14:textFill>
              </w:rPr>
              <w:t xml:space="preserve">西和县卫生健康局 </w:t>
            </w:r>
          </w:p>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14:textFill>
                  <w14:solidFill>
                    <w14:schemeClr w14:val="tx1"/>
                  </w14:solidFill>
                </w14:textFill>
              </w:rPr>
              <w:t>地    址：</w:t>
            </w:r>
            <w:r>
              <w:rPr>
                <w:rFonts w:hint="eastAsia"/>
                <w:color w:val="000000" w:themeColor="text1"/>
                <w:vertAlign w:val="baseline"/>
                <w:lang w:val="en-US" w:eastAsia="zh-CN"/>
                <w14:textFill>
                  <w14:solidFill>
                    <w14:schemeClr w14:val="tx1"/>
                  </w14:solidFill>
                </w14:textFill>
              </w:rPr>
              <w:t>陇南市西和县汉源镇凤山社区中山路</w:t>
            </w:r>
            <w:r>
              <w:rPr>
                <w:rFonts w:hint="default"/>
                <w:color w:val="000000" w:themeColor="text1"/>
                <w:vertAlign w:val="baseline"/>
                <w:lang w:val="en-US" w:eastAsia="zh-CN"/>
                <w14:textFill>
                  <w14:solidFill>
                    <w14:schemeClr w14:val="tx1"/>
                  </w14:solidFill>
                </w14:textFill>
              </w:rPr>
              <w:t>51</w:t>
            </w:r>
            <w:r>
              <w:rPr>
                <w:rFonts w:hint="eastAsia"/>
                <w:color w:val="000000" w:themeColor="text1"/>
                <w:vertAlign w:val="baseline"/>
                <w:lang w:val="en-US" w:eastAsia="zh-CN"/>
                <w14:textFill>
                  <w14:solidFill>
                    <w14:schemeClr w14:val="tx1"/>
                  </w14:solidFill>
                </w14:textFill>
              </w:rPr>
              <w:t>号</w:t>
            </w:r>
          </w:p>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14:textFill>
                  <w14:solidFill>
                    <w14:schemeClr w14:val="tx1"/>
                  </w14:solidFill>
                </w14:textFill>
              </w:rPr>
              <w:t>联 系 人：</w:t>
            </w:r>
            <w:r>
              <w:rPr>
                <w:rFonts w:hint="eastAsia"/>
                <w:color w:val="000000" w:themeColor="text1"/>
                <w:vertAlign w:val="baseline"/>
                <w:lang w:val="en-US" w:eastAsia="zh-CN"/>
                <w14:textFill>
                  <w14:solidFill>
                    <w14:schemeClr w14:val="tx1"/>
                  </w14:solidFill>
                </w14:textFill>
              </w:rPr>
              <w:t>韩喜祥</w:t>
            </w:r>
          </w:p>
          <w:p>
            <w:pPr>
              <w:rPr>
                <w:rFonts w:hint="eastAsia" w:eastAsia="宋体"/>
                <w:color w:val="000000" w:themeColor="text1"/>
                <w:vertAlign w:val="baseline"/>
                <w:lang w:eastAsia="zh-CN"/>
                <w14:textFill>
                  <w14:solidFill>
                    <w14:schemeClr w14:val="tx1"/>
                  </w14:solidFill>
                </w14:textFill>
              </w:rPr>
            </w:pPr>
            <w:r>
              <w:rPr>
                <w:rFonts w:hint="eastAsia"/>
                <w:color w:val="000000" w:themeColor="text1"/>
                <w:vertAlign w:val="baseline"/>
                <w14:textFill>
                  <w14:solidFill>
                    <w14:schemeClr w14:val="tx1"/>
                  </w14:solidFill>
                </w14:textFill>
              </w:rPr>
              <w:t>联系电话：0939-6621355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2</w:t>
            </w:r>
          </w:p>
        </w:tc>
        <w:tc>
          <w:tcPr>
            <w:tcW w:w="1335"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采购代理机构信息</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代理机构：</w:t>
            </w:r>
            <w:r>
              <w:rPr>
                <w:rFonts w:hint="eastAsia"/>
                <w:color w:val="000000" w:themeColor="text1"/>
                <w:vertAlign w:val="baseline"/>
                <w:lang w:val="en-US" w:eastAsia="zh-CN"/>
                <w14:textFill>
                  <w14:solidFill>
                    <w14:schemeClr w14:val="tx1"/>
                  </w14:solidFill>
                </w14:textFill>
              </w:rPr>
              <w:t>甘肃大汇项目管理</w:t>
            </w:r>
            <w:r>
              <w:rPr>
                <w:rFonts w:hint="eastAsia"/>
                <w:color w:val="000000" w:themeColor="text1"/>
                <w:vertAlign w:val="baseline"/>
                <w14:textFill>
                  <w14:solidFill>
                    <w14:schemeClr w14:val="tx1"/>
                  </w14:solidFill>
                </w14:textFill>
              </w:rPr>
              <w:t>有限公司</w:t>
            </w:r>
          </w:p>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14:textFill>
                  <w14:solidFill>
                    <w14:schemeClr w14:val="tx1"/>
                  </w14:solidFill>
                </w14:textFill>
              </w:rPr>
              <w:t>地    址：甘肃省陇南市</w:t>
            </w:r>
            <w:r>
              <w:rPr>
                <w:rFonts w:hint="eastAsia"/>
                <w:color w:val="000000" w:themeColor="text1"/>
                <w:vertAlign w:val="baseline"/>
                <w:lang w:val="en-US" w:eastAsia="zh-CN"/>
                <w14:textFill>
                  <w14:solidFill>
                    <w14:schemeClr w14:val="tx1"/>
                  </w14:solidFill>
                </w14:textFill>
              </w:rPr>
              <w:t>礼县</w:t>
            </w:r>
          </w:p>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14:textFill>
                  <w14:solidFill>
                    <w14:schemeClr w14:val="tx1"/>
                  </w14:solidFill>
                </w14:textFill>
              </w:rPr>
              <w:t>联 系 人：</w:t>
            </w:r>
            <w:r>
              <w:rPr>
                <w:rFonts w:hint="eastAsia"/>
                <w:color w:val="000000" w:themeColor="text1"/>
                <w:vertAlign w:val="baseline"/>
                <w:lang w:val="en-US" w:eastAsia="zh-CN"/>
                <w14:textFill>
                  <w14:solidFill>
                    <w14:schemeClr w14:val="tx1"/>
                  </w14:solidFill>
                </w14:textFill>
              </w:rPr>
              <w:t>马倩</w:t>
            </w:r>
          </w:p>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14:textFill>
                  <w14:solidFill>
                    <w14:schemeClr w14:val="tx1"/>
                  </w14:solidFill>
                </w14:textFill>
              </w:rPr>
              <w:t>联系电话：</w:t>
            </w:r>
            <w:r>
              <w:rPr>
                <w:rFonts w:hint="eastAsia"/>
                <w:color w:val="000000" w:themeColor="text1"/>
                <w:vertAlign w:val="baseline"/>
                <w:lang w:val="en-US" w:eastAsia="zh-CN"/>
                <w14:textFill>
                  <w14:solidFill>
                    <w14:schemeClr w14:val="tx1"/>
                  </w14:solidFill>
                </w14:textFill>
              </w:rPr>
              <w:t>13830919651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3</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项目信息</w:t>
            </w:r>
          </w:p>
        </w:tc>
        <w:tc>
          <w:tcPr>
            <w:tcW w:w="7014" w:type="dxa"/>
          </w:tcPr>
          <w:p>
            <w:pPr>
              <w:pStyle w:val="135"/>
              <w:jc w:val="both"/>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14:textFill>
                  <w14:solidFill>
                    <w14:schemeClr w14:val="tx1"/>
                  </w14:solidFill>
                </w14:textFill>
              </w:rPr>
              <w:t>项目名称：西和县基层医疗卫生机构医疗设备购置项目</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项目计划：签订一个总包合同</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采购需求：医疗设备一</w:t>
            </w:r>
            <w:r>
              <w:rPr>
                <w:rFonts w:hint="eastAsia"/>
                <w:color w:val="000000" w:themeColor="text1"/>
                <w:vertAlign w:val="baseline"/>
                <w:lang w:val="en-US" w:eastAsia="zh-CN"/>
                <w14:textFill>
                  <w14:solidFill>
                    <w14:schemeClr w14:val="tx1"/>
                  </w14:solidFill>
                </w14:textFill>
              </w:rPr>
              <w:t>批</w:t>
            </w:r>
            <w:r>
              <w:rPr>
                <w:rFonts w:hint="eastAsia"/>
                <w:color w:val="000000" w:themeColor="text1"/>
                <w:vertAlign w:val="baseline"/>
                <w14:textFill>
                  <w14:solidFill>
                    <w14:schemeClr w14:val="tx1"/>
                  </w14:solidFill>
                </w14:textFill>
              </w:rPr>
              <w:t>。（具体内容详见竞争性磋商文件）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4</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资金来源</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5</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投标人资格 条件</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（1）须符合《中华人民共和国政府采购法》第二十二条之规定；</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（2）须具有合法有效的法人营业执照、国家和地方税务登记证、组织机构代码证、开户许可证；前述法人营业执照、税务登记证、组织机构代码证已三证合一的，则需提供具有统一社会信用代码的营业执照；</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（3）须提供法人授权函及被授权人身份证（正、反面 复印件）；</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（4）供应商未被列入“信用中国 ”网站</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www.creditchina.gov.cn]记录失信被执行人或重大税收违法失信主体或政府采购严重违法失信行为记录名单；不处于中国政府采购网[www.ccgp.gov.cn]政府采购严重违法失信行为信息记录中的禁止参加政府采购活动期间的方可参加本项目的投标【以招标公告发布之日起至投标截止之日前在“信用中国”网站[www.creditchina.gov.cn]、中国政府采购网[www.ccgp.gov.cn]查询结果为准，如相关失信记录已失效，供应商需提供相关证明资料】。</w:t>
            </w:r>
          </w:p>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w:t>
            </w:r>
            <w:r>
              <w:rPr>
                <w:rFonts w:hint="eastAsia"/>
                <w:color w:val="000000" w:themeColor="text1"/>
                <w:vertAlign w:val="baseline"/>
                <w:lang w:val="en-US" w:eastAsia="zh-CN"/>
                <w14:textFill>
                  <w14:solidFill>
                    <w14:schemeClr w14:val="tx1"/>
                  </w14:solidFill>
                </w14:textFill>
              </w:rPr>
              <w:t>5）投标单位须具有医疗器械经营许可证或医疗器械生产许可证。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6</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投标有效期</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自递交投标文件截止时间起算60个日历天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7</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预算金额</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预算金额：</w:t>
            </w:r>
            <w:r>
              <w:rPr>
                <w:rFonts w:hint="eastAsia"/>
                <w:color w:val="000000" w:themeColor="text1"/>
                <w:vertAlign w:val="baseline"/>
                <w:lang w:val="en-US" w:eastAsia="zh-CN"/>
                <w14:textFill>
                  <w14:solidFill>
                    <w14:schemeClr w14:val="tx1"/>
                  </w14:solidFill>
                </w14:textFill>
              </w:rPr>
              <w:t>146.00</w:t>
            </w:r>
            <w:r>
              <w:rPr>
                <w:rFonts w:hint="eastAsia"/>
                <w:color w:val="000000" w:themeColor="text1"/>
                <w:vertAlign w:val="baseline"/>
                <w14:textFill>
                  <w14:solidFill>
                    <w14:schemeClr w14:val="tx1"/>
                  </w14:solidFill>
                </w14:textFill>
              </w:rPr>
              <w:t>万元。</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（实际成交价不得高于限价，超过限价按废标处理）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8</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招标预备会</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本项目不组织招标预备会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9</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响应文件 份数</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该项目采用新点不见面网上开标方式：开评活动通过“新点不见面网上开标大厅”进行。各投标单位在参与投标时，登录陇南市公共资源交易网首页“下载中心”，下载投标文件制作工具“新点投标文件制作软件（陇南版） , 并按照“不见面开评标投标人操作手册”制作固化并上传投标文件；本项目必须使用同一把 CA 进行所有操作。若在开标时间前没有网上投标（上传投标文件）则视为放弃投标。</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投标单位需要在</w:t>
            </w:r>
            <w:r>
              <w:rPr>
                <w:rFonts w:hint="eastAsia"/>
                <w:color w:val="C00000"/>
                <w:vertAlign w:val="baseline"/>
              </w:rPr>
              <w:t>2024年</w:t>
            </w:r>
            <w:r>
              <w:rPr>
                <w:rFonts w:hint="eastAsia"/>
                <w:color w:val="C00000"/>
                <w:vertAlign w:val="baseline"/>
                <w:lang w:val="en-US" w:eastAsia="zh-CN"/>
              </w:rPr>
              <w:t>0</w:t>
            </w:r>
            <w:r>
              <w:rPr>
                <w:rFonts w:hint="default"/>
                <w:color w:val="C00000"/>
                <w:vertAlign w:val="baseline"/>
                <w:lang w:val="en-US" w:eastAsia="zh-CN"/>
              </w:rPr>
              <w:t>7</w:t>
            </w:r>
            <w:r>
              <w:rPr>
                <w:rFonts w:hint="eastAsia"/>
                <w:color w:val="C00000"/>
                <w:vertAlign w:val="baseline"/>
                <w:lang w:eastAsia="zh-CN"/>
              </w:rPr>
              <w:t>月</w:t>
            </w:r>
            <w:r>
              <w:rPr>
                <w:rFonts w:hint="default"/>
                <w:color w:val="C00000"/>
                <w:vertAlign w:val="baseline"/>
                <w:lang w:val="en-US" w:eastAsia="zh-CN"/>
              </w:rPr>
              <w:t>1</w:t>
            </w:r>
            <w:r>
              <w:rPr>
                <w:rFonts w:hint="eastAsia"/>
                <w:color w:val="C00000"/>
                <w:vertAlign w:val="baseline"/>
                <w:lang w:eastAsia="zh-CN"/>
              </w:rPr>
              <w:t xml:space="preserve"> 日上午</w:t>
            </w:r>
            <w:r>
              <w:rPr>
                <w:rFonts w:hint="default"/>
                <w:color w:val="C00000"/>
                <w:vertAlign w:val="baseline"/>
                <w:lang w:val="en-US" w:eastAsia="zh-CN"/>
              </w:rPr>
              <w:t>09</w:t>
            </w:r>
            <w:r>
              <w:rPr>
                <w:rFonts w:hint="eastAsia"/>
                <w:color w:val="C00000"/>
                <w:vertAlign w:val="baseline"/>
                <w:lang w:eastAsia="zh-CN"/>
              </w:rPr>
              <w:t>:00</w:t>
            </w:r>
            <w:r>
              <w:rPr>
                <w:rFonts w:hint="eastAsia"/>
                <w:color w:val="000000" w:themeColor="text1"/>
                <w:vertAlign w:val="baseline"/>
                <w:lang w:eastAsia="zh-CN"/>
                <w14:textFill>
                  <w14:solidFill>
                    <w14:schemeClr w14:val="tx1"/>
                  </w14:solidFill>
                </w14:textFill>
              </w:rPr>
              <w:t>时</w:t>
            </w:r>
            <w:r>
              <w:rPr>
                <w:rFonts w:hint="eastAsia"/>
                <w:color w:val="000000" w:themeColor="text1"/>
                <w:vertAlign w:val="baseline"/>
                <w14:textFill>
                  <w14:solidFill>
                    <w14:schemeClr w14:val="tx1"/>
                  </w14:solidFill>
                </w14:textFill>
              </w:rPr>
              <w:t>前上传投标文件，否则引起的相关责任自负。</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请投标人在开标后5个工作日内将最终上传的投标文件打印装订成册，送至</w:t>
            </w:r>
            <w:r>
              <w:rPr>
                <w:rFonts w:hint="eastAsia"/>
                <w:color w:val="000000" w:themeColor="text1"/>
                <w:vertAlign w:val="baseline"/>
                <w:lang w:val="en-US" w:eastAsia="zh-CN"/>
                <w14:textFill>
                  <w14:solidFill>
                    <w14:schemeClr w14:val="tx1"/>
                  </w14:solidFill>
                </w14:textFill>
              </w:rPr>
              <w:t>甘肃大汇项目管理</w:t>
            </w:r>
            <w:r>
              <w:rPr>
                <w:rFonts w:hint="eastAsia"/>
                <w:color w:val="000000" w:themeColor="text1"/>
                <w:vertAlign w:val="baseline"/>
                <w14:textFill>
                  <w14:solidFill>
                    <w14:schemeClr w14:val="tx1"/>
                  </w14:solidFill>
                </w14:textFill>
              </w:rPr>
              <w:t>有限公司 （甘肃省陇南市</w:t>
            </w:r>
            <w:r>
              <w:rPr>
                <w:rFonts w:hint="eastAsia"/>
                <w:color w:val="000000" w:themeColor="text1"/>
                <w:vertAlign w:val="baseline"/>
                <w:lang w:val="en-US" w:eastAsia="zh-CN"/>
                <w14:textFill>
                  <w14:solidFill>
                    <w14:schemeClr w14:val="tx1"/>
                  </w14:solidFill>
                </w14:textFill>
              </w:rPr>
              <w:t>礼县</w:t>
            </w:r>
            <w:r>
              <w:rPr>
                <w:rFonts w:hint="eastAsia"/>
                <w:color w:val="000000" w:themeColor="text1"/>
                <w:vertAlign w:val="baseline"/>
                <w14:textFill>
                  <w14:solidFill>
                    <w14:schemeClr w14:val="tx1"/>
                  </w14:solidFill>
                </w14:textFill>
              </w:rPr>
              <w:t>、联系电话：</w:t>
            </w:r>
            <w:r>
              <w:rPr>
                <w:rFonts w:hint="eastAsia"/>
                <w:color w:val="000000" w:themeColor="text1"/>
                <w:vertAlign w:val="baseline"/>
                <w:lang w:val="en-US" w:eastAsia="zh-CN"/>
                <w14:textFill>
                  <w14:solidFill>
                    <w14:schemeClr w14:val="tx1"/>
                  </w14:solidFill>
                </w14:textFill>
              </w:rPr>
              <w:t>13830919651</w:t>
            </w:r>
            <w:r>
              <w:rPr>
                <w:rFonts w:hint="eastAsia"/>
                <w:color w:val="000000" w:themeColor="text1"/>
                <w:vertAlign w:val="baseline"/>
                <w14:textFill>
                  <w14:solidFill>
                    <w14:schemeClr w14:val="tx1"/>
                  </w14:solidFill>
                </w14:textFill>
              </w:rPr>
              <w:t>）。未送达者将上报财政部门将其拉入政府采购黑名单。具体内容：</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lang w:eastAsia="zh-CN"/>
                <w14:textFill>
                  <w14:solidFill>
                    <w14:schemeClr w14:val="tx1"/>
                  </w14:solidFill>
                </w14:textFill>
              </w:rPr>
              <w:t>（</w:t>
            </w:r>
            <w:r>
              <w:rPr>
                <w:rFonts w:hint="eastAsia"/>
                <w:color w:val="000000" w:themeColor="text1"/>
                <w:vertAlign w:val="baseline"/>
                <w:lang w:val="en-US" w:eastAsia="zh-CN"/>
                <w14:textFill>
                  <w14:solidFill>
                    <w14:schemeClr w14:val="tx1"/>
                  </w14:solidFill>
                </w14:textFill>
              </w:rPr>
              <w:t>1</w:t>
            </w:r>
            <w:r>
              <w:rPr>
                <w:rFonts w:hint="eastAsia"/>
                <w:color w:val="000000" w:themeColor="text1"/>
                <w:vertAlign w:val="baseline"/>
                <w:lang w:eastAsia="zh-CN"/>
                <w14:textFill>
                  <w14:solidFill>
                    <w14:schemeClr w14:val="tx1"/>
                  </w14:solidFill>
                </w14:textFill>
              </w:rPr>
              <w:t>）</w:t>
            </w:r>
            <w:r>
              <w:rPr>
                <w:rFonts w:hint="eastAsia"/>
                <w:color w:val="000000" w:themeColor="text1"/>
                <w:vertAlign w:val="baseline"/>
                <w14:textFill>
                  <w14:solidFill>
                    <w14:schemeClr w14:val="tx1"/>
                  </w14:solidFill>
                </w14:textFill>
              </w:rPr>
              <w:t>纸质文件份数：正本壹份、副本贰份。</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（2）电子版文件要求：电子版U盘壹份；U盘为PDF文件（PDF文件内容与纸质版文件正本完全一致）。</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注：所有投标文件不予退回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10</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响应文件 递交</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开评活动通过“新点不见面网上开标大厅”进行</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截止时间：</w:t>
            </w:r>
            <w:r>
              <w:rPr>
                <w:rFonts w:hint="eastAsia"/>
                <w:color w:val="FF0000"/>
                <w:vertAlign w:val="baseline"/>
              </w:rPr>
              <w:t>2024年</w:t>
            </w:r>
            <w:r>
              <w:rPr>
                <w:rFonts w:hint="eastAsia"/>
                <w:color w:val="FF0000"/>
                <w:vertAlign w:val="baseline"/>
                <w:lang w:eastAsia="zh-CN"/>
              </w:rPr>
              <w:t>0</w:t>
            </w:r>
            <w:r>
              <w:rPr>
                <w:rFonts w:hint="default"/>
                <w:color w:val="FF0000"/>
                <w:vertAlign w:val="baseline"/>
                <w:lang w:val="en-US" w:eastAsia="zh-CN"/>
              </w:rPr>
              <w:t>7</w:t>
            </w:r>
            <w:r>
              <w:rPr>
                <w:rFonts w:hint="eastAsia"/>
                <w:color w:val="FF0000"/>
                <w:vertAlign w:val="baseline"/>
                <w:lang w:eastAsia="zh-CN"/>
              </w:rPr>
              <w:t>月</w:t>
            </w:r>
            <w:r>
              <w:rPr>
                <w:rFonts w:hint="default"/>
                <w:color w:val="FF0000"/>
                <w:vertAlign w:val="baseline"/>
                <w:lang w:val="en-US" w:eastAsia="zh-CN"/>
              </w:rPr>
              <w:t>1</w:t>
            </w:r>
            <w:r>
              <w:rPr>
                <w:rFonts w:hint="eastAsia"/>
                <w:color w:val="FF0000"/>
                <w:vertAlign w:val="baseline"/>
                <w:lang w:eastAsia="zh-CN"/>
              </w:rPr>
              <w:t>日下午</w:t>
            </w:r>
            <w:r>
              <w:rPr>
                <w:rFonts w:hint="default"/>
                <w:color w:val="FF0000"/>
                <w:vertAlign w:val="baseline"/>
                <w:lang w:val="en-US" w:eastAsia="zh-CN"/>
              </w:rPr>
              <w:t>09</w:t>
            </w:r>
            <w:r>
              <w:rPr>
                <w:rFonts w:hint="eastAsia"/>
                <w:color w:val="FF0000"/>
                <w:vertAlign w:val="baseline"/>
                <w:lang w:eastAsia="zh-CN"/>
              </w:rPr>
              <w:t>:00</w:t>
            </w:r>
            <w:r>
              <w:rPr>
                <w:rFonts w:hint="eastAsia"/>
                <w:color w:val="000000" w:themeColor="text1"/>
                <w:vertAlign w:val="baseline"/>
                <w:lang w:eastAsia="zh-CN"/>
                <w14:textFill>
                  <w14:solidFill>
                    <w14:schemeClr w14:val="tx1"/>
                  </w14:solidFill>
                </w14:textFill>
              </w:rPr>
              <w:t>时，</w:t>
            </w:r>
            <w:r>
              <w:rPr>
                <w:rFonts w:hint="eastAsia"/>
                <w:color w:val="000000" w:themeColor="text1"/>
                <w:vertAlign w:val="baseline"/>
                <w14:textFill>
                  <w14:solidFill>
                    <w14:schemeClr w14:val="tx1"/>
                  </w14:solidFill>
                </w14:textFill>
              </w:rPr>
              <w:t>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11</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开标时间</w:t>
            </w:r>
          </w:p>
        </w:tc>
        <w:tc>
          <w:tcPr>
            <w:tcW w:w="7014" w:type="dxa"/>
          </w:tcPr>
          <w:p>
            <w:pPr>
              <w:numPr>
                <w:ilvl w:val="0"/>
                <w:numId w:val="0"/>
              </w:numPr>
              <w:rPr>
                <w:rFonts w:hint="eastAsia" w:eastAsia="宋体"/>
                <w:color w:val="FF0000"/>
                <w:vertAlign w:val="baseline"/>
                <w:lang w:eastAsia="zh-CN"/>
              </w:rPr>
            </w:pPr>
            <w:r>
              <w:rPr>
                <w:rFonts w:hint="eastAsia"/>
                <w:color w:val="FF0000"/>
                <w:vertAlign w:val="baseline"/>
              </w:rPr>
              <w:t>2024年</w:t>
            </w:r>
            <w:r>
              <w:rPr>
                <w:rFonts w:hint="eastAsia"/>
                <w:color w:val="FF0000"/>
                <w:vertAlign w:val="baseline"/>
                <w:lang w:eastAsia="zh-CN"/>
              </w:rPr>
              <w:t>0</w:t>
            </w:r>
            <w:r>
              <w:rPr>
                <w:rFonts w:hint="default"/>
                <w:color w:val="FF0000"/>
                <w:vertAlign w:val="baseline"/>
                <w:lang w:val="en-US" w:eastAsia="zh-CN"/>
              </w:rPr>
              <w:t>7</w:t>
            </w:r>
            <w:r>
              <w:rPr>
                <w:rFonts w:hint="eastAsia"/>
                <w:color w:val="FF0000"/>
                <w:vertAlign w:val="baseline"/>
                <w:lang w:eastAsia="zh-CN"/>
              </w:rPr>
              <w:t>月</w:t>
            </w:r>
            <w:r>
              <w:rPr>
                <w:rFonts w:hint="default"/>
                <w:color w:val="FF0000"/>
                <w:vertAlign w:val="baseline"/>
                <w:lang w:val="en-US" w:eastAsia="zh-CN"/>
              </w:rPr>
              <w:t>1</w:t>
            </w:r>
            <w:r>
              <w:rPr>
                <w:rFonts w:hint="eastAsia"/>
                <w:color w:val="FF0000"/>
                <w:vertAlign w:val="baseline"/>
                <w:lang w:eastAsia="zh-CN"/>
              </w:rPr>
              <w:t xml:space="preserve"> 日下午</w:t>
            </w:r>
            <w:r>
              <w:rPr>
                <w:rFonts w:hint="default"/>
                <w:color w:val="FF0000"/>
                <w:vertAlign w:val="baseline"/>
                <w:lang w:val="en-US" w:eastAsia="zh-CN"/>
              </w:rPr>
              <w:t>09</w:t>
            </w:r>
            <w:r>
              <w:rPr>
                <w:rFonts w:hint="eastAsia"/>
                <w:color w:val="FF0000"/>
                <w:vertAlign w:val="baseline"/>
                <w:lang w:eastAsia="zh-CN"/>
              </w:rPr>
              <w:t>:00时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12</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开标地点</w:t>
            </w:r>
          </w:p>
        </w:tc>
        <w:tc>
          <w:tcPr>
            <w:tcW w:w="7014" w:type="dxa"/>
          </w:tcPr>
          <w:p>
            <w:pPr>
              <w:numPr>
                <w:ilvl w:val="0"/>
                <w:numId w:val="0"/>
              </w:numPr>
              <w:rPr>
                <w:rFonts w:hint="default"/>
                <w:color w:val="000000" w:themeColor="text1"/>
                <w:vertAlign w:val="baseline"/>
                <w:lang w:val="en-US"/>
                <w14:textFill>
                  <w14:solidFill>
                    <w14:schemeClr w14:val="tx1"/>
                  </w14:solidFill>
                </w14:textFill>
              </w:rPr>
            </w:pPr>
            <w:r>
              <w:rPr>
                <w:rFonts w:hint="eastAsia"/>
                <w:color w:val="000000" w:themeColor="text1"/>
                <w:vertAlign w:val="baseline"/>
                <w14:textFill>
                  <w14:solidFill>
                    <w14:schemeClr w14:val="tx1"/>
                  </w14:solidFill>
                </w14:textFill>
              </w:rPr>
              <w:t>陇南市公共资源交易中心网络开标</w:t>
            </w:r>
            <w:r>
              <w:rPr>
                <w:rFonts w:hint="eastAsia"/>
                <w:color w:val="FF0000"/>
                <w:vertAlign w:val="baseline"/>
              </w:rPr>
              <w:t>直播一厅</w:t>
            </w:r>
            <w:r>
              <w:rPr>
                <w:rFonts w:hint="eastAsia"/>
                <w:color w:val="FF0000"/>
                <w:vertAlign w:val="baseline"/>
                <w:lang w:eastAsia="zh-CN"/>
              </w:rPr>
              <w:t>第3坐席</w:t>
            </w:r>
            <w:r>
              <w:rPr>
                <w:rFonts w:hint="eastAsia"/>
                <w:color w:val="000000" w:themeColor="text1"/>
                <w:vertAlign w:val="baseline"/>
                <w14:textFill>
                  <w14:solidFill>
                    <w14:schemeClr w14:val="tx1"/>
                  </w14:solidFill>
                </w14:textFill>
              </w:rPr>
              <w:t>（陇南市行政中心5号楼环保大厦）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13</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履约保证金</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14</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投标保证金</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为进一步优化营商环境举措，按照甘财采（2022）16 号甘 肃省财政厅关于进一步加大政府采购支持中小企业力度的 通知，全省政府采购项目不再收取投标保证金。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15</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中小企业采</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购预留份额</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比例</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16</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落实支持中 小企业政府 采购政策</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1、执行中小企业声明函制度。根据工业和信息化部、国家统计局、国家发展和改革委员会、财政部等部委发布的《关于印发中小企业划型标准規定的通知》（工信部联企业（2011)300号），按照本次采购标的所属行业的划型标准，符合条件的中小微企业应按照招标文件格式要求提供《中小企业声明函》，仅需出具《中小企业声明函》即可享受相关扶持政策。投标供应商需对《中小企业声明函》内容的真实性负责，成交供应商享受中小企业扶持政策的，《中小企业声明函》随成交结果一并公开。</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2、根据财政部、工业和信息化部发布的《政府采购促进中小企业发展管理办法》（财库（2020）46号）和财政部《关于进一步加大政府采购支持中小企业力度的通知》（财库（2022)19号）规定，对小型和微型企业产品的投标价格给予10％的扣除，用扣除后的价格参与评审。</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3、投标人提供的货物由中小企业生产且使用该中小企业商号或者注册商标的，享受中小企业扶持政策。供应商提供 的货物既有中小企业制造的货物。也有大型企业制造的货物的，不享受中小企业扶持政策。</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4、提供由省级以上监狱管理局、戒毒管理局（含新疆生产建设兵团）出具的属于监狱企业证明文件（原件彩色扫描件）的，视同为小型和微型企业。</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5、符合享受政府采购支持政策的残疾人福利性单位条件且提供《残疾人福利性单位声明函》的，视同为小型和微型企业。</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6、投标人不属于中小企业的，则不享受中小企业扶持政策。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17</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是否存在以 注册资本 金、资产总 额、营业收 入、从业人 员等规模条 件对中小企 业实行差别 待遇或歧视 待遇的情况</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18</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采购代理 服务费</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参照国家计委颁发的《招标代理服务收费管理暂行办法》（计价格[2002]1980 号）、《国家发展改革委办办公厅关于招标代理服务费收有关问题的通知》（发改办价格 [2003]857号）规定的标准和政府采购招标代理委托协议约定，由中标供应商在中标公示期结束后，领取《中标通知书》前，一次性支付招标代理服务费及相关费用给甘肃大汇项目管理有限公司。</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 xml:space="preserve">收款方式：现金或转账。 </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招标代理服务费缴纳：</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 xml:space="preserve">账户名：甘肃大汇项目管理有限公司 </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账  号：2711092409100066856</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开户行：中国工商银行股份有限公司礼县支行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0" w:type="dxa"/>
            <w:gridSpan w:val="3"/>
          </w:tcPr>
          <w:p>
            <w:pPr>
              <w:numPr>
                <w:ilvl w:val="0"/>
                <w:numId w:val="0"/>
              </w:numPr>
              <w:rPr>
                <w:rFonts w:hint="eastAsia"/>
                <w:color w:val="FF0000"/>
              </w:rPr>
            </w:pPr>
            <w:r>
              <w:rPr>
                <w:rFonts w:hint="eastAsia"/>
                <w:color w:val="FF0000"/>
              </w:rPr>
              <w:t>注：</w:t>
            </w:r>
          </w:p>
          <w:p>
            <w:pPr>
              <w:numPr>
                <w:ilvl w:val="0"/>
                <w:numId w:val="0"/>
              </w:numPr>
              <w:rPr>
                <w:rFonts w:hint="eastAsia"/>
                <w:color w:val="FF0000"/>
              </w:rPr>
            </w:pPr>
            <w:r>
              <w:rPr>
                <w:rFonts w:hint="eastAsia"/>
                <w:color w:val="FF0000"/>
              </w:rPr>
              <w:t>1、招标代理费等相关费用由中标单位支付。如前后不一致之处，以前附表为准。</w:t>
            </w:r>
          </w:p>
          <w:p>
            <w:pPr>
              <w:numPr>
                <w:ilvl w:val="0"/>
                <w:numId w:val="0"/>
              </w:numPr>
              <w:rPr>
                <w:rFonts w:hint="eastAsia"/>
                <w:color w:val="FF0000"/>
              </w:rPr>
            </w:pPr>
            <w:r>
              <w:rPr>
                <w:rFonts w:hint="eastAsia"/>
                <w:color w:val="FF0000"/>
              </w:rPr>
              <w:t>2、开始开标前检查自己开标设备网络稳定性，如有中途退出等问题，后果自负。</w:t>
            </w:r>
          </w:p>
          <w:p>
            <w:pPr>
              <w:numPr>
                <w:ilvl w:val="0"/>
                <w:numId w:val="0"/>
              </w:numPr>
              <w:rPr>
                <w:rFonts w:hint="eastAsia"/>
                <w:color w:val="000000" w:themeColor="text1"/>
                <w:vertAlign w:val="baseline"/>
                <w14:textFill>
                  <w14:solidFill>
                    <w14:schemeClr w14:val="tx1"/>
                  </w14:solidFill>
                </w14:textFill>
              </w:rPr>
            </w:pPr>
            <w:r>
              <w:rPr>
                <w:rFonts w:hint="eastAsia"/>
                <w:color w:val="FF0000"/>
              </w:rPr>
              <w:t>3、投标人在投标时请前登录陇南市公共资源交易网--不见面开标大厅找到相对应的项目和包号进行签到。</w:t>
            </w:r>
          </w:p>
        </w:tc>
      </w:tr>
    </w:tbl>
    <w:p>
      <w:pPr>
        <w:rPr>
          <w:color w:val="000000" w:themeColor="text1"/>
          <w14:textFill>
            <w14:solidFill>
              <w14:schemeClr w14:val="tx1"/>
            </w14:solidFill>
          </w14:textFill>
        </w:rPr>
      </w:pPr>
    </w:p>
    <w:p>
      <w:pPr>
        <w:pStyle w:val="3"/>
        <w:rPr>
          <w:rFonts w:ascii="宋体" w:hAnsi="宋体" w:cs="宋体"/>
          <w:b/>
          <w:bCs/>
          <w:color w:val="000000" w:themeColor="text1"/>
          <w:kern w:val="0"/>
          <w:sz w:val="32"/>
          <w:szCs w:val="32"/>
          <w14:textFill>
            <w14:solidFill>
              <w14:schemeClr w14:val="tx1"/>
            </w14:solidFill>
          </w14:textFill>
        </w:rPr>
      </w:pPr>
      <w:bookmarkStart w:id="4" w:name="_Toc27594"/>
      <w:bookmarkStart w:id="5" w:name="_Toc7461"/>
    </w:p>
    <w:p>
      <w:pPr>
        <w:widowControl/>
        <w:jc w:val="left"/>
        <w:rPr>
          <w:rFonts w:ascii="宋体" w:hAnsi="宋体" w:cs="宋体"/>
          <w:b/>
          <w:bCs/>
          <w:color w:val="000000" w:themeColor="text1"/>
          <w:kern w:val="0"/>
          <w:sz w:val="32"/>
          <w:szCs w:val="32"/>
          <w14:textFill>
            <w14:solidFill>
              <w14:schemeClr w14:val="tx1"/>
            </w14:solidFill>
          </w14:textFill>
        </w:rPr>
      </w:pPr>
      <w:r>
        <w:rPr>
          <w:rFonts w:ascii="宋体" w:hAnsi="宋体" w:cs="宋体"/>
          <w:b/>
          <w:bCs/>
          <w:color w:val="000000" w:themeColor="text1"/>
          <w:kern w:val="0"/>
          <w:sz w:val="32"/>
          <w:szCs w:val="32"/>
          <w14:textFill>
            <w14:solidFill>
              <w14:schemeClr w14:val="tx1"/>
            </w14:solidFill>
          </w14:textFill>
        </w:rPr>
        <w:br w:type="page"/>
      </w:r>
    </w:p>
    <w:p>
      <w:pPr>
        <w:spacing w:line="360" w:lineRule="exact"/>
        <w:jc w:val="center"/>
        <w:outlineLvl w:val="0"/>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三</w:t>
      </w:r>
      <w:r>
        <w:rPr>
          <w:rFonts w:hint="eastAsia" w:ascii="宋体" w:hAnsi="宋体" w:cs="宋体"/>
          <w:b/>
          <w:bCs/>
          <w:color w:val="000000" w:themeColor="text1"/>
          <w:kern w:val="0"/>
          <w:sz w:val="32"/>
          <w:szCs w:val="32"/>
          <w14:textFill>
            <w14:solidFill>
              <w14:schemeClr w14:val="tx1"/>
            </w14:solidFill>
          </w14:textFill>
        </w:rPr>
        <w:t xml:space="preserve">章  </w:t>
      </w:r>
      <w:bookmarkEnd w:id="4"/>
      <w:bookmarkEnd w:id="5"/>
      <w:r>
        <w:rPr>
          <w:rFonts w:hint="eastAsia" w:ascii="宋体" w:hAnsi="宋体" w:cs="宋体"/>
          <w:b/>
          <w:bCs/>
          <w:color w:val="000000" w:themeColor="text1"/>
          <w:kern w:val="0"/>
          <w:sz w:val="32"/>
          <w:szCs w:val="32"/>
          <w:lang w:val="en-US" w:eastAsia="zh-CN"/>
          <w14:textFill>
            <w14:solidFill>
              <w14:schemeClr w14:val="tx1"/>
            </w14:solidFill>
          </w14:textFill>
        </w:rPr>
        <w:t>参数内容</w:t>
      </w:r>
      <w:r>
        <w:rPr>
          <w:rFonts w:hint="eastAsia" w:ascii="宋体" w:hAnsi="宋体" w:cs="宋体"/>
          <w:b/>
          <w:bCs/>
          <w:color w:val="000000" w:themeColor="text1"/>
          <w:kern w:val="0"/>
          <w:sz w:val="32"/>
          <w:szCs w:val="32"/>
          <w14:textFill>
            <w14:solidFill>
              <w14:schemeClr w14:val="tx1"/>
            </w14:solidFill>
          </w14:textFill>
        </w:rPr>
        <w:t>与要求</w:t>
      </w:r>
    </w:p>
    <w:tbl>
      <w:tblPr>
        <w:tblStyle w:val="33"/>
        <w:tblpPr w:leftFromText="180" w:rightFromText="180" w:vertAnchor="text" w:horzAnchor="page" w:tblpX="1267" w:tblpY="711"/>
        <w:tblOverlap w:val="never"/>
        <w:tblW w:w="9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6421"/>
        <w:gridCol w:w="765"/>
        <w:gridCol w:w="66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095" w:type="dxa"/>
            <w:noWrap w:val="0"/>
            <w:vAlign w:val="center"/>
          </w:tcPr>
          <w:p>
            <w:pPr>
              <w:widowControl/>
              <w:jc w:val="center"/>
              <w:textAlignment w:val="center"/>
              <w:rPr>
                <w:rFonts w:hint="eastAsia" w:ascii="宋体" w:hAnsi="宋体" w:cs="宋体"/>
                <w:color w:val="auto"/>
                <w:szCs w:val="21"/>
              </w:rPr>
            </w:pPr>
            <w:bookmarkStart w:id="6" w:name="_Toc13986"/>
            <w:bookmarkStart w:id="7" w:name="_Toc26132"/>
            <w:r>
              <w:rPr>
                <w:rFonts w:hint="eastAsia" w:ascii="宋体" w:hAnsi="宋体" w:cs="宋体"/>
                <w:color w:val="auto"/>
                <w:kern w:val="0"/>
                <w:szCs w:val="21"/>
                <w:lang w:bidi="ar"/>
              </w:rPr>
              <w:t>设备名称</w:t>
            </w:r>
          </w:p>
        </w:tc>
        <w:tc>
          <w:tcPr>
            <w:tcW w:w="6421"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规格参数</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单位</w:t>
            </w:r>
          </w:p>
        </w:tc>
        <w:tc>
          <w:tcPr>
            <w:tcW w:w="660"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数量</w:t>
            </w:r>
          </w:p>
        </w:tc>
        <w:tc>
          <w:tcPr>
            <w:tcW w:w="660"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109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台式彩色多普勒超声诊断仪</w:t>
            </w:r>
          </w:p>
        </w:tc>
        <w:tc>
          <w:tcPr>
            <w:tcW w:w="6421" w:type="dxa"/>
            <w:noWrap w:val="0"/>
            <w:vAlign w:val="center"/>
          </w:tcPr>
          <w:p>
            <w:pPr>
              <w:widowControl/>
              <w:numPr>
                <w:ilvl w:val="0"/>
                <w:numId w:val="1"/>
              </w:numPr>
              <w:jc w:val="left"/>
              <w:textAlignment w:val="center"/>
              <w:rPr>
                <w:rFonts w:hint="eastAsia" w:ascii="宋体" w:hAnsi="宋体" w:cs="宋体"/>
                <w:color w:val="auto"/>
                <w:kern w:val="0"/>
                <w:szCs w:val="21"/>
                <w:lang w:bidi="ar"/>
              </w:rPr>
            </w:pPr>
            <w:r>
              <w:rPr>
                <w:rFonts w:hint="eastAsia" w:ascii="宋体" w:hAnsi="宋体" w:cs="宋体"/>
                <w:color w:val="auto"/>
                <w:kern w:val="0"/>
                <w:szCs w:val="21"/>
                <w:lang w:bidi="ar"/>
              </w:rPr>
              <w:t>货物名称：全数字彩色多普勒超声诊断仪</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二、用途说明：腹部、产科、妇科、心脏、小器官、泌尿、血管、儿科、急诊、麻醉、介入、神经、肌骨、颅脑、盆底及其它</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三、为保证产品的先进性，要求为202</w:t>
            </w:r>
            <w:r>
              <w:rPr>
                <w:rFonts w:hint="default" w:ascii="宋体" w:hAnsi="宋体" w:cs="宋体"/>
                <w:color w:val="auto"/>
                <w:kern w:val="0"/>
                <w:szCs w:val="21"/>
                <w:lang w:val="en-US" w:bidi="ar"/>
              </w:rPr>
              <w:t>4</w:t>
            </w:r>
            <w:r>
              <w:rPr>
                <w:rFonts w:hint="eastAsia" w:ascii="宋体" w:hAnsi="宋体" w:cs="宋体"/>
                <w:color w:val="auto"/>
                <w:kern w:val="0"/>
                <w:szCs w:val="21"/>
                <w:lang w:bidi="ar"/>
              </w:rPr>
              <w:t>年（含）最新</w:t>
            </w:r>
            <w:r>
              <w:rPr>
                <w:rFonts w:hint="eastAsia" w:ascii="宋体" w:hAnsi="宋体" w:cs="宋体"/>
                <w:color w:val="auto"/>
                <w:kern w:val="0"/>
                <w:szCs w:val="21"/>
                <w:lang w:val="en-US" w:eastAsia="zh-CN" w:bidi="ar"/>
              </w:rPr>
              <w:t>生</w:t>
            </w:r>
            <w:r>
              <w:rPr>
                <w:rFonts w:hint="eastAsia" w:ascii="宋体" w:hAnsi="宋体" w:cs="宋体"/>
                <w:color w:val="auto"/>
                <w:kern w:val="0"/>
                <w:szCs w:val="21"/>
                <w:lang w:bidi="ar"/>
              </w:rPr>
              <w:t>产</w:t>
            </w:r>
            <w:r>
              <w:rPr>
                <w:rFonts w:hint="eastAsia" w:ascii="宋体" w:hAnsi="宋体" w:cs="宋体"/>
                <w:color w:val="auto"/>
                <w:kern w:val="0"/>
                <w:szCs w:val="21"/>
                <w:lang w:val="en-US" w:eastAsia="zh-CN" w:bidi="ar"/>
              </w:rPr>
              <w:t>设备</w:t>
            </w:r>
            <w:r>
              <w:rPr>
                <w:rFonts w:hint="eastAsia" w:ascii="宋体" w:hAnsi="宋体" w:cs="宋体"/>
                <w:color w:val="auto"/>
                <w:kern w:val="0"/>
                <w:szCs w:val="21"/>
                <w:lang w:bidi="ar"/>
              </w:rPr>
              <w:t>及最新版本（以生产日期为准），具有用户现场升级能力，可满足将来临床应用扩展需求。</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四、主要技术规格及系统概述：</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1.主机系统性能</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1.1全数字化彩色多普勒超声诊断系统主机</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1.2</w:t>
            </w:r>
            <w:r>
              <w:rPr>
                <w:rFonts w:hint="eastAsia" w:ascii="宋体" w:hAnsi="宋体" w:cs="宋体"/>
                <w:color w:val="auto"/>
                <w:kern w:val="0"/>
                <w:sz w:val="24"/>
                <w:szCs w:val="24"/>
              </w:rPr>
              <w:t>★</w:t>
            </w:r>
            <w:r>
              <w:rPr>
                <w:rFonts w:hint="eastAsia" w:ascii="宋体" w:hAnsi="宋体" w:cs="宋体"/>
                <w:color w:val="auto"/>
                <w:kern w:val="0"/>
                <w:szCs w:val="21"/>
                <w:lang w:bidi="ar"/>
              </w:rPr>
              <w:t>≥21”高分辨率医用液晶显示器，≥13”彩色液晶触摸屏,触摸屏可独立调整角度</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1.3</w:t>
            </w:r>
            <w:r>
              <w:rPr>
                <w:rFonts w:hint="eastAsia" w:ascii="宋体" w:hAnsi="宋体" w:cs="宋体"/>
                <w:color w:val="auto"/>
                <w:kern w:val="0"/>
                <w:sz w:val="24"/>
                <w:szCs w:val="24"/>
              </w:rPr>
              <w:t>★</w:t>
            </w:r>
            <w:r>
              <w:rPr>
                <w:rFonts w:hint="eastAsia" w:ascii="宋体" w:hAnsi="宋体" w:cs="宋体"/>
                <w:color w:val="auto"/>
                <w:kern w:val="0"/>
                <w:szCs w:val="21"/>
                <w:lang w:bidi="ar"/>
              </w:rPr>
              <w:t>控制面板可电动升降、旋转</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1.4主机探头接口≥4个，全激活、大小一致、互通互用</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1.5数字波束形成器</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1.6GPU核心处理模块</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1.7二维灰阶成像单元</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1.8谐波成像单元</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1.9M型成像单元</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1.10彩色M型成像单元</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1.11解剖M型成像单元：≥3条取样线</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1.12彩色多普勒成像单元</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1.13频谱多普勒成像单元</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1.14组织多普勒成像单元</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1.1</w:t>
            </w:r>
            <w:r>
              <w:rPr>
                <w:rFonts w:hint="default" w:ascii="宋体" w:hAnsi="宋体" w:cs="宋体"/>
                <w:color w:val="auto"/>
                <w:kern w:val="0"/>
                <w:szCs w:val="21"/>
                <w:lang w:val="en-US" w:bidi="ar"/>
              </w:rPr>
              <w:t>5</w:t>
            </w:r>
            <w:r>
              <w:rPr>
                <w:rFonts w:hint="eastAsia" w:ascii="宋体" w:hAnsi="宋体" w:cs="宋体"/>
                <w:color w:val="auto"/>
                <w:kern w:val="0"/>
                <w:szCs w:val="21"/>
                <w:lang w:bidi="ar"/>
              </w:rPr>
              <w:t>空间复合成像</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1.1</w:t>
            </w:r>
            <w:r>
              <w:rPr>
                <w:rFonts w:hint="default" w:ascii="宋体" w:hAnsi="宋体" w:cs="宋体"/>
                <w:color w:val="auto"/>
                <w:kern w:val="0"/>
                <w:szCs w:val="21"/>
                <w:lang w:val="en-US" w:bidi="ar"/>
              </w:rPr>
              <w:t>6</w:t>
            </w:r>
            <w:r>
              <w:rPr>
                <w:rFonts w:hint="eastAsia" w:ascii="宋体" w:hAnsi="宋体" w:cs="宋体"/>
                <w:color w:val="auto"/>
                <w:kern w:val="0"/>
                <w:szCs w:val="21"/>
                <w:lang w:bidi="ar"/>
              </w:rPr>
              <w:t xml:space="preserve">斑点噪声抑制≥6档可调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1.1</w:t>
            </w:r>
            <w:r>
              <w:rPr>
                <w:rFonts w:hint="default" w:ascii="宋体" w:hAnsi="宋体" w:cs="宋体"/>
                <w:color w:val="auto"/>
                <w:kern w:val="0"/>
                <w:szCs w:val="21"/>
                <w:lang w:val="en-US" w:bidi="ar"/>
              </w:rPr>
              <w:t>7</w:t>
            </w:r>
            <w:r>
              <w:rPr>
                <w:rFonts w:hint="eastAsia" w:ascii="宋体" w:hAnsi="宋体" w:cs="宋体"/>
                <w:color w:val="auto"/>
                <w:kern w:val="0"/>
                <w:szCs w:val="21"/>
                <w:lang w:bidi="ar"/>
              </w:rPr>
              <w:t xml:space="preserve">扩展成像≥6档可调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w:t>
            </w:r>
            <w:r>
              <w:rPr>
                <w:rFonts w:hint="default" w:ascii="宋体" w:hAnsi="宋体" w:cs="宋体"/>
                <w:color w:val="auto"/>
                <w:kern w:val="0"/>
                <w:szCs w:val="21"/>
                <w:lang w:val="en-US" w:bidi="ar"/>
              </w:rPr>
              <w:t>18</w:t>
            </w:r>
            <w:r>
              <w:rPr>
                <w:rFonts w:hint="eastAsia" w:ascii="宋体" w:hAnsi="宋体" w:cs="宋体"/>
                <w:color w:val="auto"/>
                <w:kern w:val="0"/>
                <w:szCs w:val="21"/>
                <w:lang w:bidi="ar"/>
              </w:rPr>
              <w:t>二维/彩色实时双幅对比成像</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w:t>
            </w:r>
            <w:r>
              <w:rPr>
                <w:rFonts w:hint="default" w:ascii="宋体" w:hAnsi="宋体" w:cs="宋体"/>
                <w:color w:val="auto"/>
                <w:kern w:val="0"/>
                <w:szCs w:val="21"/>
                <w:lang w:val="en-US" w:bidi="ar"/>
              </w:rPr>
              <w:t>19</w:t>
            </w:r>
            <w:r>
              <w:rPr>
                <w:rFonts w:hint="eastAsia" w:ascii="宋体" w:hAnsi="宋体" w:cs="宋体"/>
                <w:color w:val="auto"/>
                <w:kern w:val="0"/>
                <w:szCs w:val="21"/>
                <w:lang w:bidi="ar"/>
              </w:rPr>
              <w:t>一键图像优化，支持二维、彩色及频谱模式等</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1.2</w:t>
            </w:r>
            <w:r>
              <w:rPr>
                <w:rFonts w:hint="default" w:ascii="宋体" w:hAnsi="宋体" w:cs="宋体"/>
                <w:color w:val="auto"/>
                <w:kern w:val="0"/>
                <w:szCs w:val="21"/>
                <w:lang w:val="en-US" w:bidi="ar"/>
              </w:rPr>
              <w:t>0</w:t>
            </w:r>
            <w:r>
              <w:rPr>
                <w:rFonts w:hint="eastAsia" w:ascii="宋体" w:hAnsi="宋体" w:cs="宋体"/>
                <w:color w:val="auto"/>
                <w:kern w:val="0"/>
                <w:szCs w:val="21"/>
                <w:lang w:bidi="ar"/>
              </w:rPr>
              <w:t>支持碎石中分线</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1.2</w:t>
            </w:r>
            <w:r>
              <w:rPr>
                <w:rFonts w:hint="default" w:ascii="宋体" w:hAnsi="宋体" w:cs="宋体"/>
                <w:color w:val="auto"/>
                <w:kern w:val="0"/>
                <w:szCs w:val="21"/>
                <w:lang w:val="en-US" w:bidi="ar"/>
              </w:rPr>
              <w:t>1</w:t>
            </w:r>
            <w:r>
              <w:rPr>
                <w:rFonts w:hint="eastAsia" w:ascii="宋体" w:hAnsi="宋体" w:cs="宋体"/>
                <w:color w:val="auto"/>
                <w:kern w:val="0"/>
                <w:szCs w:val="21"/>
                <w:lang w:bidi="ar"/>
              </w:rPr>
              <w:t>穿刺增强技术</w:t>
            </w:r>
          </w:p>
          <w:p>
            <w:pPr>
              <w:widowControl/>
              <w:numPr>
                <w:ilvl w:val="0"/>
                <w:numId w:val="0"/>
              </w:numPr>
              <w:jc w:val="left"/>
              <w:textAlignment w:val="center"/>
              <w:rPr>
                <w:rFonts w:hint="eastAsia" w:ascii="宋体" w:hAnsi="宋体" w:cs="宋体"/>
                <w:color w:val="auto"/>
                <w:szCs w:val="21"/>
              </w:rPr>
            </w:pPr>
            <w:r>
              <w:rPr>
                <w:rFonts w:hint="eastAsia" w:ascii="宋体" w:hAnsi="宋体" w:cs="宋体"/>
                <w:color w:val="auto"/>
                <w:kern w:val="0"/>
                <w:szCs w:val="21"/>
                <w:lang w:bidi="ar"/>
              </w:rPr>
              <w:t>1.2</w:t>
            </w:r>
            <w:r>
              <w:rPr>
                <w:rFonts w:hint="default" w:ascii="宋体" w:hAnsi="宋体" w:cs="宋体"/>
                <w:color w:val="auto"/>
                <w:kern w:val="0"/>
                <w:szCs w:val="21"/>
                <w:lang w:val="en-US" w:bidi="ar"/>
              </w:rPr>
              <w:t>2</w:t>
            </w:r>
            <w:r>
              <w:rPr>
                <w:rFonts w:hint="eastAsia" w:ascii="宋体" w:hAnsi="宋体" w:cs="宋体"/>
                <w:color w:val="auto"/>
                <w:kern w:val="0"/>
                <w:szCs w:val="21"/>
                <w:lang w:bidi="ar"/>
              </w:rPr>
              <w:t>穿刺引导技术，穿刺引导线多角度可调，引导线位置可上下左右校准，可与中分线同时显示</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2.测量/分析和报告</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2.1常规测量软件包</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2.1.1基础测量包，2B模式下支持双幅跨幅测量</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2.1.</w:t>
            </w:r>
            <w:r>
              <w:rPr>
                <w:rFonts w:hint="default" w:ascii="宋体" w:hAnsi="宋体" w:cs="宋体"/>
                <w:color w:val="auto"/>
                <w:kern w:val="0"/>
                <w:szCs w:val="21"/>
                <w:lang w:bidi="ar"/>
              </w:rPr>
              <w:t>2</w:t>
            </w:r>
            <w:r>
              <w:rPr>
                <w:rFonts w:hint="eastAsia" w:ascii="宋体" w:hAnsi="宋体" w:cs="宋体"/>
                <w:color w:val="auto"/>
                <w:kern w:val="0"/>
                <w:szCs w:val="21"/>
                <w:lang w:bidi="ar"/>
              </w:rPr>
              <w:t>频谱自动测量分析软件，用户可自由配置显示的参数（提供证明图片）</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2.2专科测量软件包，自动生成报告</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2.2.1腹部测量软件包</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2.2.2妇科测量软件包</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2.2.3产科测量软件包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2.2.4心脏测量软件包：心肌功能指数，支持心内膜自动描记测量功能</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2.2.5泌尿测量软件包</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2.2.6小器官测量软件包</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2.2.7儿科测量软件包</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2.2.8血管测量软件包：IMT血管内中膜自动测量，具备前、后壁同屏独立测量显示，支持同时进行前后壁内中膜测量。</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3.电影回放及原始数据处理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3.1 支持手动、自动回放，支持4D 电影自动回放</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3.2 支持不同探头4幅图像同屏动态回放</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4.存储及数据管理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4.1</w:t>
            </w:r>
            <w:r>
              <w:rPr>
                <w:rFonts w:hint="eastAsia" w:ascii="宋体" w:hAnsi="宋体" w:cs="宋体"/>
                <w:color w:val="auto"/>
                <w:kern w:val="0"/>
                <w:sz w:val="24"/>
                <w:szCs w:val="24"/>
              </w:rPr>
              <w:t>★</w:t>
            </w:r>
            <w:r>
              <w:rPr>
                <w:rFonts w:hint="eastAsia" w:ascii="宋体" w:hAnsi="宋体" w:eastAsia="宋体" w:cs="宋体"/>
                <w:color w:val="auto"/>
                <w:kern w:val="0"/>
                <w:szCs w:val="21"/>
                <w:lang w:bidi="ar"/>
              </w:rPr>
              <w:t>检查存储硬盘≥1T +256SSD</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4.2 内置超声工作站</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4.3 同屏一体化智能剪切板：可实时同屏存储、回放动态及静态图像，可随时调阅、传输、删除图像</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4.4 多种图像格式传输：支持JPEG、WMV、BMP、AVI、TIF等格式输出</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4.5 支持图像一键存储到本地</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5.连通性要求</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5.1 具有DICOM 3.0功能</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5.2 主机内置USB接口≥6个</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5.3 具备DVI、Video、S-Video接口</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6.系统技术参数及要求</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6.1 二维灰阶成像单元</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6.1.1 基波≥4段变频</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6.1.2 谐波≥4段变频</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6.1.3 </w:t>
            </w:r>
            <w:r>
              <w:rPr>
                <w:rFonts w:hint="eastAsia" w:ascii="宋体" w:hAnsi="宋体" w:cs="宋体"/>
                <w:color w:val="auto"/>
                <w:kern w:val="0"/>
                <w:sz w:val="24"/>
                <w:szCs w:val="24"/>
              </w:rPr>
              <w:t>★</w:t>
            </w:r>
            <w:r>
              <w:rPr>
                <w:rFonts w:hint="eastAsia" w:ascii="宋体" w:hAnsi="宋体" w:eastAsia="宋体" w:cs="宋体"/>
                <w:color w:val="auto"/>
                <w:kern w:val="0"/>
                <w:szCs w:val="21"/>
                <w:lang w:bidi="ar"/>
              </w:rPr>
              <w:t>焦点个数：≥10个（提供图片证明）</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6.1.4 最大显示深度：≥40cm</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6.1.5 ★ 动态范围: ≥2</w:t>
            </w:r>
            <w:r>
              <w:rPr>
                <w:rFonts w:hint="default" w:ascii="宋体" w:hAnsi="宋体" w:cs="宋体"/>
                <w:color w:val="auto"/>
                <w:kern w:val="0"/>
                <w:szCs w:val="21"/>
                <w:lang w:val="en-US" w:bidi="ar"/>
              </w:rPr>
              <w:t>8</w:t>
            </w:r>
            <w:r>
              <w:rPr>
                <w:rFonts w:hint="eastAsia" w:ascii="宋体" w:hAnsi="宋体" w:eastAsia="宋体" w:cs="宋体"/>
                <w:color w:val="auto"/>
                <w:kern w:val="0"/>
                <w:szCs w:val="21"/>
                <w:lang w:bidi="ar"/>
              </w:rPr>
              <w:t>0dB，可视可调（提供注册检验报告及图像证明）</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6.1.6 ★增益调节≥200（提供图像证明）</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6.1.7 ★TGC≥8段，LGC≥8段</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6.1.8 伪彩图谱: ≥7种</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6.1.9 ★灰阶图谱: ≥19种</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6.1.10 声功率≥100%</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6.2 彩色多普勒成像单元</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6.2.1 包括速度、能量、方向能量显示等</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6.2.2 显示方式：B/C、B/C/M、B/PDI、B/DPDI</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6.2.3 彩色多普勒≥4段变频</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6.2.4 </w:t>
            </w:r>
            <w:r>
              <w:rPr>
                <w:rFonts w:hint="eastAsia" w:ascii="宋体" w:hAnsi="宋体" w:eastAsia="宋体" w:cs="宋体"/>
                <w:color w:val="auto"/>
                <w:kern w:val="0"/>
                <w:szCs w:val="21"/>
                <w:lang w:bidi="ar"/>
              </w:rPr>
              <w:t>增益调节≥200</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6.2.5 彩色基线调节≥</w:t>
            </w:r>
            <w:r>
              <w:rPr>
                <w:rFonts w:hint="default" w:ascii="宋体" w:hAnsi="宋体" w:cs="宋体"/>
                <w:color w:val="auto"/>
                <w:kern w:val="0"/>
                <w:szCs w:val="21"/>
                <w:lang w:bidi="ar"/>
              </w:rPr>
              <w:t>10</w:t>
            </w:r>
            <w:r>
              <w:rPr>
                <w:rFonts w:hint="eastAsia" w:ascii="宋体" w:hAnsi="宋体" w:cs="宋体"/>
                <w:color w:val="auto"/>
                <w:kern w:val="0"/>
                <w:szCs w:val="21"/>
                <w:lang w:bidi="ar"/>
              </w:rPr>
              <w:t>档</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6.3频谱多普勒成像单元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6.3.1 包括脉冲多普勒、高脉冲重复频率、连续多普勒</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6.3.2 显示方式：PW，B/PW, B/C/PW, B/CW, B/C/CW，HPRF等</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6.3.3 PW ≥ 4段变频</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6.3.4 PW实时自动跟踪测速，随着取样门位置改变，PW速度可进行自动跟踪测量</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6.3.5 彩色滤波器具有自动和手动技术：调节脉冲重复频率时，壁滤波器自动进行相应优化调节</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6.3.6 </w:t>
            </w:r>
            <w:r>
              <w:rPr>
                <w:rFonts w:hint="eastAsia" w:ascii="宋体" w:hAnsi="宋体" w:eastAsia="宋体" w:cs="宋体"/>
                <w:color w:val="auto"/>
                <w:kern w:val="0"/>
                <w:szCs w:val="21"/>
                <w:lang w:bidi="ar"/>
              </w:rPr>
              <w:t>★</w:t>
            </w:r>
            <w:r>
              <w:rPr>
                <w:rFonts w:hint="eastAsia" w:ascii="宋体" w:hAnsi="宋体" w:cs="宋体"/>
                <w:color w:val="auto"/>
                <w:kern w:val="0"/>
                <w:szCs w:val="21"/>
                <w:lang w:bidi="ar"/>
              </w:rPr>
              <w:t>取样容积：1-30mm（提供图片证明）</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6.3.7 零位移动：≥</w:t>
            </w:r>
            <w:r>
              <w:rPr>
                <w:rFonts w:hint="default" w:ascii="宋体" w:hAnsi="宋体" w:cs="宋体"/>
                <w:color w:val="auto"/>
                <w:kern w:val="0"/>
                <w:szCs w:val="21"/>
                <w:lang w:bidi="ar"/>
              </w:rPr>
              <w:t>16</w:t>
            </w:r>
            <w:r>
              <w:rPr>
                <w:rFonts w:hint="eastAsia" w:ascii="宋体" w:hAnsi="宋体" w:cs="宋体"/>
                <w:color w:val="auto"/>
                <w:kern w:val="0"/>
                <w:szCs w:val="21"/>
                <w:lang w:bidi="ar"/>
              </w:rPr>
              <w:t>级</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6.3.8 快速角度校正</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6.3.9 支持频谱自动测量</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7.探头规格</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7.1 支持探头类型：凸阵、相控阵、线阵、腔内、容积探头等</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7.2 凸阵探头: 各厂家自行描述</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7.3 线阵探头: 各厂家自行描述</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7.4 相控阵探头: 各厂家自行描述</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7.5 腔内探头: 各厂家自行描述</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7.6标配三把探头（凸阵、线阵、相控阵、腔内四选三）</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8.远程超声会诊系统</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8.1支持实时同步查看动态高清（1080P25帧）超声图像</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8.2支持超声图像及双摄像头图像同屏显示（画中画模式）</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8.3支持多方会诊专家的接入（4方内）</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8.4支持实时视频扫查标注功能，会诊中任意一方都可以通过画笔对实时图像进行标注，标注的内容能够在所有接收视频方的图像界面上同步实时显示</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8.5支持激光指针与标注画笔的协同指示及标注</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8.6支持对预约检查的分诊排序</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8.7支持桌面直播功能。发起端进行桌面直播，接收端可以看到发起端的桌面直播内容，包括但不限于播放的 ppt，打开的 word 文档</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8.8支持视频、PDF课件的查询、回看</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8.9支持对用户使用反馈信息的查询、分析</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9.外设和附件</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9.1 标配主机一体化耦合剂加热器</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9.2 品牌高清超声工作站一套，包括品牌工作站软件、电脑和彩色打印机。</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9.3 </w:t>
            </w:r>
            <w:r>
              <w:rPr>
                <w:rFonts w:hint="eastAsia" w:ascii="宋体" w:hAnsi="宋体" w:cs="宋体"/>
                <w:color w:val="auto"/>
                <w:kern w:val="0"/>
                <w:szCs w:val="21"/>
                <w:lang w:val="en-US" w:eastAsia="zh-CN" w:bidi="ar"/>
              </w:rPr>
              <w:t>电源稳压器</w:t>
            </w:r>
            <w:r>
              <w:rPr>
                <w:rFonts w:hint="eastAsia" w:ascii="宋体" w:hAnsi="宋体" w:cs="宋体"/>
                <w:color w:val="auto"/>
                <w:kern w:val="0"/>
                <w:szCs w:val="21"/>
                <w:lang w:bidi="ar"/>
              </w:rPr>
              <w:t>一套</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9.4 远程超声会诊工作站一套，包括远程会诊软件、圆麦、高清摄像头。</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10.技术、维修、培训及其它</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10.1 驻地以上城市具有厂家备件库及售后服务工程师，支持安装、调试及维修</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10.2 厂家提供专业人员现场操作和培训</w:t>
            </w:r>
          </w:p>
        </w:tc>
        <w:tc>
          <w:tcPr>
            <w:tcW w:w="765" w:type="dxa"/>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台</w:t>
            </w:r>
          </w:p>
        </w:tc>
        <w:tc>
          <w:tcPr>
            <w:tcW w:w="660" w:type="dxa"/>
            <w:noWrap w:val="0"/>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val="en-US" w:eastAsia="zh-CN" w:bidi="ar"/>
              </w:rPr>
              <w:t>4</w:t>
            </w:r>
          </w:p>
        </w:tc>
        <w:tc>
          <w:tcPr>
            <w:tcW w:w="660" w:type="dxa"/>
            <w:noWrap w:val="0"/>
            <w:vAlign w:val="center"/>
          </w:tcPr>
          <w:p>
            <w:pPr>
              <w:widowControl/>
              <w:jc w:val="center"/>
              <w:textAlignment w:val="center"/>
              <w:rPr>
                <w:rFonts w:hint="eastAsia" w:ascii="宋体" w:hAnsi="宋体" w:cs="宋体"/>
                <w:color w:val="auto"/>
                <w:szCs w:val="21"/>
              </w:rPr>
            </w:pPr>
          </w:p>
        </w:tc>
      </w:tr>
    </w:tbl>
    <w:p>
      <w:pPr>
        <w:ind w:firstLine="2700" w:firstLineChars="1500"/>
        <w:rPr>
          <w:rFonts w:ascii="宋体" w:hAnsi="宋体"/>
          <w:b/>
          <w:bCs/>
          <w:sz w:val="18"/>
          <w:szCs w:val="18"/>
        </w:rPr>
      </w:pPr>
    </w:p>
    <w:p>
      <w:pPr>
        <w:widowControl/>
        <w:jc w:val="left"/>
        <w:rPr>
          <w:rFonts w:ascii="宋体" w:hAnsi="宋体" w:cs="黑体"/>
          <w:b/>
          <w:color w:val="000000" w:themeColor="text1"/>
          <w:kern w:val="0"/>
          <w:szCs w:val="21"/>
          <w14:textFill>
            <w14:solidFill>
              <w14:schemeClr w14:val="tx1"/>
            </w14:solidFill>
          </w14:textFill>
        </w:rPr>
        <w:sectPr>
          <w:headerReference r:id="rId3" w:type="default"/>
          <w:footerReference r:id="rId4" w:type="default"/>
          <w:pgSz w:w="11906" w:h="16838"/>
          <w:pgMar w:top="1440" w:right="1274" w:bottom="1440" w:left="1418" w:header="851" w:footer="992" w:gutter="0"/>
          <w:cols w:space="720" w:num="1"/>
          <w:docGrid w:type="linesAndChars" w:linePitch="312" w:charSpace="0"/>
        </w:sectPr>
      </w:pPr>
    </w:p>
    <w:p>
      <w:pPr>
        <w:spacing w:line="360" w:lineRule="exact"/>
        <w:jc w:val="center"/>
        <w:outlineLvl w:val="0"/>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四</w:t>
      </w:r>
      <w:r>
        <w:rPr>
          <w:rFonts w:hint="eastAsia" w:ascii="宋体" w:hAnsi="宋体" w:cs="宋体"/>
          <w:b/>
          <w:bCs/>
          <w:color w:val="000000" w:themeColor="text1"/>
          <w:kern w:val="0"/>
          <w:sz w:val="32"/>
          <w:szCs w:val="32"/>
          <w14:textFill>
            <w14:solidFill>
              <w14:schemeClr w14:val="tx1"/>
            </w14:solidFill>
          </w14:textFill>
        </w:rPr>
        <w:t xml:space="preserve">章  </w:t>
      </w:r>
      <w:bookmarkEnd w:id="6"/>
      <w:bookmarkEnd w:id="7"/>
      <w:r>
        <w:rPr>
          <w:rFonts w:hint="eastAsia" w:ascii="宋体" w:hAnsi="宋体" w:cs="宋体"/>
          <w:b/>
          <w:bCs/>
          <w:color w:val="000000" w:themeColor="text1"/>
          <w:kern w:val="0"/>
          <w:sz w:val="32"/>
          <w:szCs w:val="32"/>
          <w14:textFill>
            <w14:solidFill>
              <w14:schemeClr w14:val="tx1"/>
            </w14:solidFill>
          </w14:textFill>
        </w:rPr>
        <w:t>投标人须知</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一、总则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1.适用法律、法规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1.1 本次招标适用的主要法律、法规为《中华人民共和国招投标法》及其它相关法规。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2.资金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 本项目的资金属于财政资金，资金来源已经落实，计划用于支付本次采购后所签订的合同项下的款项。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3.释义</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3.1.招标人：系指依法进行招标的国家机关、事业单位、团体组织。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3.2.招标代理机构：系指接受招标人委托，经财政部门认定资格的代理机构。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3.3.投标人：是指按竞争性磋商公告购买了竞争性磋商文件进行投标的供应商。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3.4.中标人：指依法确定中标资格并授予合同的投标人。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3.5.竞争性磋商文件：是指包括项目公告、竞争性磋商文件以及竞争性磋商文件的补充、变更和澄清等一系列文件。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3.6.货物：系指投标人按竞争性磋商文件要求，向招标人提供的各种形态和种类的物品，包括原材料、设备、产品(包括软件)及相关的备品备件、工具、手册及其它技术资料和材料。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3.7.服务：系指竞争性磋商文件规定投标人须承担的系统集成、安装、调试、技术协助、校准、培训以及其它类似的义务。</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3.8.偏离：系指投标文件对竞争性磋商文件的偏离，即不满足、或不响应竞争性磋商文件的要求。偏离分为对竞争性磋商文件的实质性要求条款偏离和对竞争性磋商文件的一般商务和技术条款( 参数)偏离。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3.9.实质性条款：除法律、法规和规章规定外，竞争性磋商文件中用“拒绝 ”、“不接受 ”、“无效 ”、“不得 ”等文字规定条款为实质性要求条款(即重要条款)，对其中任何一条的偏离，在评标时将其视为无效投标。未用上述文字规定或符号标注的条款为非实质性要求条款(即一般条款)。</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3.10. 日期、天数、时间：未有特别说明时，均为公历日(天)及北京时间。</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4.投标人资格要求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4.1.根据《中华人民共和国招投标法》的要求；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4.2.竞争性磋商公告中规定的特定资格要求；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4.3.投标人投标不得存在下列情形之一：</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1)与招标人或招标代理机构存在隶属关系或者其他利害关系；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2)法定代表人或者负责人为同一人或者存在控股、管理关系的两个以上投标人，不得参加同一招标项目同一包(标段)的投标。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4.4.投标人获取了本竞争性磋商文件并非意味着完全满足了合格投标人的条件，一切均以评标委员会审核的结果为准。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4.5.不接受联合体投标。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5.授权委托</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5.1.投标人代表不是投标人的法定代表人或负责人，应持有授权委托书，并附法定代表人或负责人身份证明。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6.投标费用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6.1.投标人应承担所有与准备和参加投标有关的费用。不论投标的结果如何，招标代理机构和招标人在任何情况下均无义务和责任承担这些费用。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6.2.现场考察：招标人不组织现场踏勘，投标人自行考察现场，费用自理。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二、竞争性磋商文件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7.竞争性磋商文件组成</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7.1.竞争性磋商文件共分为七章，其内容如下：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第一章 竞争性磋商公告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第二章 投标须知前附表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第三章 技术规格、参数与要求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第四章 投标人须知</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第五章 磋商程序及方法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第六章 政府采购合同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第七章 投标文件格式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7.2.对竞争性磋商文件所作的澄清、修改，构成竞争性磋商文件的组成部分。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7.3.投标人应仔细阅读竞争性磋商文件的全部内容，按照竞争性磋商文件要求编制投标文件。任何对竞争性磋商文件的忽略或误 解不能作为投标文件存在缺陷或瑕疵的理由，其风险由投标人自行承担。</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8.竞争性磋商文件的澄清、修改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8.1.招标人及招标代理机构对已发出的竞争性磋商文件进行必要澄清或者修改的，应当在竞争性磋商文件要求提交投标文件截止时间十五日前，在政府指定的网站信息发布媒体(甘肃政府采购网及陇南市公共资源交易网，下同)上发布更正公告，并以书面形式通知所有竞争性磋商文件收受人。该澄清或者修改的内容为竞争性磋商文件的组成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8.2.招标人及招标代理机构可以视招标具体情况，延长投标截止时间和开标时间，但至少应当在竞争性磋商文件要求提交投标文件的截止时间三日前，将变更时间书面通知所有竞争性磋商文件收受人，并在政府部门指定的甘肃政府采购网及陇南市公共资源交易网发布媒体上发布变更公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三、投标文件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9.编制原则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9.1.投标文件应突出重点，精简扼要。所提供的资料必须符合诚实信用、客观真实的原则，对弄虚作假或违背诚信的违法行为 , 应承担相应的后果及法律责任。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9.2.投标人应仔细阅读竞争性磋商文件的所有内容，按照竞争性磋商文件的要求提交投标文件。投标文件应对竞争性磋商文件的要求作出实质性响应，并保证所提供的全部资料的真实性。</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10.编制要求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10.1.投标文件应按照“投标文件格式 ”的要求以A4版面统一编制。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10.2.对于有特定格式要求的，不允许改动其内容，否则，其投标无效。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10.3.投标文件的制作，应使用简体中文。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10.4.投标文件在加盖投标人公章时，不得使用合同专用章、财务专用章、公司部门章或分支机构章、授权(投标)专用章等代替；否则，投标文件按无效投标处理。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10.5.投标文件应该用计算机打印，并加注页码，用不可拆卸的胶状方式整册装订牢固，任何塑料夹条、订书针装订或打孔装订的按无效投标文件处理。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10.6.任何行间插字、涂改和增删，须由投标人授权代表在旁边签字后方为有效。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11.投标文件的组成</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11.1.投标文件由商务文件、技术文件两部分组成。各部分的内容如下：</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商务文件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(1)投标承诺书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(2)投标函</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(3)开标报价一览表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(4)分项价格表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(5)投标人资格证明文件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(6)商务响应说明书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技术文件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(7)投标方案说明书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12.投标报价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12.1.投标人应按竞争性磋商文件规定的供货及服务要求、责任范围和合同条件，以人民币进行报价。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12.2.投标人应按开标报价一览表和分项价格表的内容和格式要求填写各项货物及服务的分项价格和总价。投标总价中不得包含竞争性磋商文件要求以外的内容，否则，在评标时不予核减。投标总价中也不得缺漏竞争性磋商文件所要求的内容，否则，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12.3.投标人对每种货物及服务只允许有一个报价，不接受选择性报价，否则，在评标时将其视为无效投标。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12.4.投标文件中标明的价格在合同执行过程中是固定不变的，不得以任何理由予以变更。任何包含价格调整要求和条件的投标，在评标时将其视为无效投标。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13.备选方案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13.1.本项目不接受备选方案投标。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14.投标人的资格证明文件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14.1.投标人应提交满足资格条件要求的证明文件,该证明文件作为投标文件的一部分。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14.2.投标人提供的货物及服务不是投标人制造或拥有的,如竞争性磋商文件规定需要提供制造商授权书的，则必须提供授权书证明文件。否则，在评审时将其视为无效投标。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15.投标货物符合竞争性磋商文件规定的证明文件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15.1.投标人应当提交其拟供的合同项下货物及其服务符合竞争性磋商文件规定的证明文件,该证明文件作为投标文件的一部分。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15.2.投标人应当说明投标货物的品牌型号、规格参数、制造商及原产地等，交货时应出具原产地证明及出厂合格证明。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15.3.上述证明文件可以是文字资料、图纸和数据，并须提供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(1)货物主要性能和参数的详细说明；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(2)对照竞争性磋商文件技术规格，逐条说明所提供货物和服务对竞争性磋商文件的技术规格条文的响应与偏离。对有具体参数要求的指标，投标人应提供具体参数值。</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15.4.招标人在技术规格中指出的货物/服务的标准以及参照的牌号或分类号仅起说明作用，并没有任何限制性。投标人在投标中可以选用替代标准、牌号或分类号，但这些替代要实质上相当于或优于技术规格的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16.投标保证金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16.1.投标保证金金额：为进一步优化营商环境举措，按照甘财采（2022）16号甘肃省财政厅关于进一步加大政府采购支持中小企业力度的通知，全省政府采购项目不再收取投标保证金。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17.投标有效期</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17.1.投标有效期为60天，在此期间投标文件对投标人具有法律约束力，以保证招标人有足够的时间完成评标、定标以及签订合同 。投标有效期从规定的投标截止之日起计算。投标有效期不足的，在评标时将其视为无效投标。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17.2.特殊情况需延长投标有效期的，招标代理机构可于投标有效期届满之前，要求投标人同意延长有效期，招标代理机构的要求与投标人的答复均应为书面形式。投标人拒绝延长的，其投标在原投标有效期期届满后将不再有效，但有权收回其投标保证金；投标人同意延长的，应相应延长其投标保证金的有效期，但不允许修改或撤回投标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18.投标文件份数和签署、盖章</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18.1.该项目采用新点不见面网上开标方式：开评标活动通过“ 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 则视为放弃投标。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18.2.投标文件中除要求由投标人法定代表人或被授权人签字的内容必须签字、盖章，否则初步评审不通过。投标文件应使用不能擦去的墨水打印或书写。全套投标文件应无涂改和行间插字，除非这些删改是根据招标人的指示进行的，或者是投标人造成的必须修改的错误。修改处应由投标文件签字人签字证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四、投标文件的递交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19.投标文件的密封</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该项目采用新点不见面网上开标方式：开评标活动通过“新点不见面网上开标大厅”进行。各投标单位在参与投标时，登录陇南市公共资源交易网首页“下载中心”，下载投标文件制作工具“新点  投标文件制作软件（陇南版）,并按照“不见面开评标投标人操作手册”制作固化并上传投标文件；本项目必须使用同一把CA进行所有操作。若在开标时间前没有网上投标（上传投标文件）则视为放弃投标。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开标之后投标单位须将投标文件纸质版一正两副（共计三本）邮寄至代理公司。</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20.投标文件的递交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该项目采用新点不见面网上开标方式：开评标活动通过“新点不见面网上开标大厅”进行。各投标单位在参与投标时，登录陇南市公共资源交易网首页“下载中心”，下载投标文件制作工具“新点 投标文件制作软件（陇南版）, 并按照“不见面开评标投标人操作手册”制作固化并上传投标文件；本项目必须使用同一把CA进行所有操作。若在开标时间前没有网上投标（上传投标文件）则视为放弃投标。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21.投标文件的修改和撤回</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21.1.在投标截止时间前，投标人可以书面形式修改、补充或撤回己递交的投标文件，但应以书面形式通知招标代理机构。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21.2.修改、补充的内容为投标文件的组成部分。修改、补充的投标文件应按规定编制、签署、密封、标记和递交，并标明“修改、补充”字样。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21.3.投标人撤回投标文件的，招标代理机构自收到投标人书面撤回通知之日起五日内退还已收取的投标保证金。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五、开标、评标与定标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22.开标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22.1.招标代理机构规定的投标截止时间(开标时间)和地点组织公开开标，并邀请所有投标人法定代表人或其授权的代理人参加。参加开标的投标人代表应签名以证明其出席。</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22.2.开标时，公布在投标截止时间前递交投标文件的投标人名称；由投标人或其推选的代表检查投标文件的密封情况，也可以由招标代理机构委托的公证机构检查并公证；经确认无误后，由招标代理机构工作人员当众拆封，宣读投标人名称、投标价格、价格折扣、竞争性磋商文件允许提供的备选方案和投标文件的其他主要内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22.3.未宣读的投标价格、价格折扣和竞争性磋商文件允许提供的备选方案等实质内容，评标时不予承认。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22.4.投标人代表、监督人、记录人等有关人员在开标记录上签字确认。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25.无效投标的情形</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25.1.未按照竞争性磋商文件规定要求密封、签字、盖章的；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25.2.不具备竞争性磋商文件中规定资格要求的；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25.3.投标人资格证明文件不全或是虚假的；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25.4.投标有效期不符合竞争性磋商文件要求的；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25.5.投标文件内容不齐全或者投标文件份数不够的；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25.6.投标文件出现重大负偏离的；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25.7.投标文件不满足带其他要求的；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25.8.投标文件不符合规定格式的；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25.9.投标文件含有招标人不能接受的条件或声明的；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25.10.不符合法律、法规和本竞争性磋商文件中规定的其他实质性要求的。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26.定标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26.1.评标委员会根据评审方法及标准，提出书面评标报告，推荐中标候选人。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26.2.招标人确认中标结果。</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26.3.由招标代理机构按要求将中标结果在公告发布媒体上公告。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六、质疑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27.投标人质疑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27.1.投标人对招标活动事项有疑问的，可以向招标人或招标代理机构提出询问。招标人或招标代理机构将在七个工作日内作出答复。</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27.2.投标人若认为竞争性磋商文件、采购过程和中标结果使自己的权益受到损害，应当在下列时间内以书面形式向招标人或招标代理机构提出：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(1)关于竞争性磋商文件的质疑，应从竞争性磋商文件发出之日起七个工作日内提出。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(2)关于采购过程的质疑，应在采购程序环节结束之日起七个工作日内提出。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(3)关于中标结果的质疑，应在中标结果信息发布后七个工作日内提出。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27.3.投标人提出质疑的，应提供质疑书原件。招标人或招标代理机构应当向质疑供应商签收回执。</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27.4.质疑书应当包括下列内容：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(1)质疑供应商的名称、地址及有效联系方式；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(2)质疑事项；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(3)事实依据及相关证明材料；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(4)相关请求及主张。</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27.5.质疑书应当由投标人法定代表人或其授权的代理人签字并加盖投标人单位章，质疑书由授权的代理人签字的应附投标人法定代表人委托授权书。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27.6.招标人或招标代理机构将在签收回执之日起七个工作日内作出书面答复，并以书面形式通知质疑投标人和其他有关的投标人。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27.7.投标人对招标人或招标代理机构的答复不满意，或招标人或招标代理机构未在规定的期限作出答复的，可在答复期满后十五个工作日内，按招投标法相关法律法规规章的规定及程序，向同级部门提出投诉。</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七、签订合同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28.招标代理服务费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28.1.招标代理机构以中华人民共和国国家发展计划委员会“计价格[2002]1980号文”批准的收费标准收取招标代理服务费。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29.中标通知书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29.1.在规定的投标有效期内，招标代理机构办理《中标通知书》发出事宜。</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29.2.中标通知书对招标人和中标供应商具有同等法律效力。</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29.3.中标通知书发出后，招标人改变中标结果，或者中标人放弃中标，应当承担相应的法律责任。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29.4.中标通知书是中标人签订合同的依据，是合同必不可少的一个组成部分。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30.签订合同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30.1.招标人应当自开标结束中标公示三日后交清各项费用联系代理单位领取中标通知书，中标通知书发出之日起三十日内，按照 争性磋商文件和中标供应商投标文件的约定，与中标供应商签订 书面合同。所签订的合同不得对竞争性磋商文件和中标供应商投标文件作实质性修改。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30.2.招标人不得向中标供应商提出任何不合理的要求，作为签订合同的条件，不得与中标供应商私下订立背离合同实质性内容的协议。</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30.3.招标人或者招标代理机构应当自采购合同签订之日起七个工作日内，按照有关规定将采购合同副本报同级人民政府财政部门备案。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31.分包履行合同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31.1.经招标人同意，中标供应商可以依法采取分包方式履行合同。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31.2.政府采购合同分包履行的，中标、成交供应商就采购项目和分包项目向招标人负责，分包供应商就分包项目承担责任。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32.同履行中合同标的的追加</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32.1.政府采购合同履行中，招标人需追加与合同标的相同的货物、工程或者服务的，在不改变合同其他条款的前提下，可以与供应商协商签订补充合同，但所有补充合同的采购金额不得超过原合 同采购金额的百分之十。</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33.废标条款</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33.1.在招标采购中，出现有下列情形之一的，予以废标：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(1)出现影响采购公正的违法、违规行为的；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(2)投标人的报价均超过了采购预算，招标人不能支付的；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(3)因重大变故，采购任务取消的。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(4)未响应竞争性磋商文件要求的。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34.其他</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34.1.本竞争性磋商文件如与网上发布的竞争性磋商公告、更正公告等有差异的部分，以网上发布的为准。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br w:type="page"/>
      </w:r>
    </w:p>
    <w:p>
      <w:pPr>
        <w:autoSpaceDE w:val="0"/>
        <w:autoSpaceDN w:val="0"/>
        <w:adjustRightInd w:val="0"/>
        <w:jc w:val="center"/>
        <w:outlineLvl w:val="0"/>
        <w:rPr>
          <w:rFonts w:ascii="宋体" w:hAnsi="宋体" w:cs="宋体"/>
          <w:b/>
          <w:bCs/>
          <w:color w:val="000000" w:themeColor="text1"/>
          <w:kern w:val="0"/>
          <w:sz w:val="32"/>
          <w:szCs w:val="32"/>
          <w14:textFill>
            <w14:solidFill>
              <w14:schemeClr w14:val="tx1"/>
            </w14:solidFill>
          </w14:textFill>
        </w:rPr>
      </w:pPr>
      <w:bookmarkStart w:id="8" w:name="_Toc3923"/>
      <w:bookmarkStart w:id="9" w:name="_Toc1150"/>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五</w:t>
      </w:r>
      <w:r>
        <w:rPr>
          <w:rFonts w:hint="eastAsia" w:ascii="宋体" w:hAnsi="宋体" w:cs="宋体"/>
          <w:b/>
          <w:bCs/>
          <w:color w:val="000000" w:themeColor="text1"/>
          <w:kern w:val="0"/>
          <w:sz w:val="32"/>
          <w:szCs w:val="32"/>
          <w14:textFill>
            <w14:solidFill>
              <w14:schemeClr w14:val="tx1"/>
            </w14:solidFill>
          </w14:textFill>
        </w:rPr>
        <w:t>章</w:t>
      </w:r>
      <w:r>
        <w:rPr>
          <w:rFonts w:ascii="宋体" w:hAnsi="宋体" w:cs="宋体"/>
          <w:b/>
          <w:bCs/>
          <w:color w:val="000000" w:themeColor="text1"/>
          <w:kern w:val="0"/>
          <w:sz w:val="32"/>
          <w:szCs w:val="32"/>
          <w14:textFill>
            <w14:solidFill>
              <w14:schemeClr w14:val="tx1"/>
            </w14:solidFill>
          </w14:textFill>
        </w:rPr>
        <w:t xml:space="preserve"> </w:t>
      </w:r>
      <w:bookmarkEnd w:id="8"/>
      <w:bookmarkEnd w:id="9"/>
      <w:r>
        <w:rPr>
          <w:rFonts w:hint="eastAsia" w:ascii="宋体" w:hAnsi="宋体" w:cs="宋体"/>
          <w:b/>
          <w:bCs/>
          <w:color w:val="000000" w:themeColor="text1"/>
          <w:kern w:val="0"/>
          <w:sz w:val="32"/>
          <w:szCs w:val="32"/>
          <w14:textFill>
            <w14:solidFill>
              <w14:schemeClr w14:val="tx1"/>
            </w14:solidFill>
          </w14:textFill>
        </w:rPr>
        <w:t>磋商程序及方法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hAnsi="宋体" w:cs="黑体"/>
          <w:b/>
          <w:bCs w:val="0"/>
          <w:color w:val="000000" w:themeColor="text1"/>
          <w:sz w:val="21"/>
          <w:szCs w:val="21"/>
          <w14:textFill>
            <w14:solidFill>
              <w14:schemeClr w14:val="tx1"/>
            </w14:solidFill>
          </w14:textFill>
        </w:rPr>
      </w:pPr>
      <w:r>
        <w:rPr>
          <w:rFonts w:hint="eastAsia" w:hAnsi="宋体" w:cs="黑体"/>
          <w:b/>
          <w:bCs w:val="0"/>
          <w:color w:val="000000" w:themeColor="text1"/>
          <w:sz w:val="21"/>
          <w:szCs w:val="21"/>
          <w14:textFill>
            <w14:solidFill>
              <w14:schemeClr w14:val="tx1"/>
            </w14:solidFill>
          </w14:textFill>
        </w:rPr>
        <w:t>一、磋商工作中的原则及组织</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1.原则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原则采购代理机构组织磋商，在监督部门监督下,根据《中华人民共和国政府采购法》和《政府采购竞争性磋商采购方式管理暂行办法》等法律规章，组建磋商小组，由采购人代表和磋商专家共同组成，磋商小组成员应坚持“公开、公平、公正 ”的宗旨，认真细致地做好磋商工作。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（1）评审小组成员人数不少于3人，为单数，其中技术、经济等方面的专家不少于成员总数的三分之二。</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（2）评审小组成员应当客观、公正的履行职责，遵守职业道德，对所提出的评审意见承担个人责任。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（3）评审小组成员和与评审活动有关的工作人员不得透露对磋商响应性文件的评审和比较、中标供应商的推荐情况以及与评审有关的其他情况。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2.组织</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（1）磋商小组：由采购人代表和从专家库随机抽取的专家组成磋商小组。磋商小组根据竞争性磋商文件要求负责磋商响应性文件的商务审核和技术评价。</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（2）采购代理机构：由</w:t>
      </w:r>
      <w:r>
        <w:rPr>
          <w:rFonts w:hint="eastAsia" w:hAnsi="宋体" w:cs="黑体"/>
          <w:b w:val="0"/>
          <w:bCs/>
          <w:color w:val="000000" w:themeColor="text1"/>
          <w:sz w:val="21"/>
          <w:szCs w:val="21"/>
          <w:lang w:val="en-US" w:eastAsia="zh-CN"/>
          <w14:textFill>
            <w14:solidFill>
              <w14:schemeClr w14:val="tx1"/>
            </w14:solidFill>
          </w14:textFill>
        </w:rPr>
        <w:t>甘肃大汇项目管理</w:t>
      </w:r>
      <w:r>
        <w:rPr>
          <w:rFonts w:hint="eastAsia" w:hAnsi="宋体" w:cs="黑体"/>
          <w:b w:val="0"/>
          <w:bCs/>
          <w:color w:val="000000" w:themeColor="text1"/>
          <w:sz w:val="21"/>
          <w:szCs w:val="21"/>
          <w14:textFill>
            <w14:solidFill>
              <w14:schemeClr w14:val="tx1"/>
            </w14:solidFill>
          </w14:textFill>
        </w:rPr>
        <w:t>有限公司工作人员组成，负责竞争性磋商文件的制作、对外联系、磋商、磋商的会务工作、整理并向磋商组分发竞争性磋商文件、磋商响应性文件、做好磋商会议记录、对磋商过程中的原始文件进行归档、随时印发 需要的文件资料、对各种咨询函件及档案文件的统收统发、负责对 磋商小组推荐的拟中标结果进行审核。</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hAnsi="宋体" w:cs="黑体"/>
          <w:b/>
          <w:bCs w:val="0"/>
          <w:color w:val="000000" w:themeColor="text1"/>
          <w:sz w:val="21"/>
          <w:szCs w:val="21"/>
          <w14:textFill>
            <w14:solidFill>
              <w14:schemeClr w14:val="tx1"/>
            </w14:solidFill>
          </w14:textFill>
        </w:rPr>
      </w:pPr>
      <w:r>
        <w:rPr>
          <w:rFonts w:hint="eastAsia" w:hAnsi="宋体" w:cs="黑体"/>
          <w:b/>
          <w:bCs w:val="0"/>
          <w:color w:val="000000" w:themeColor="text1"/>
          <w:sz w:val="21"/>
          <w:szCs w:val="21"/>
          <w14:textFill>
            <w14:solidFill>
              <w14:schemeClr w14:val="tx1"/>
            </w14:solidFill>
          </w14:textFill>
        </w:rPr>
        <w:t>二、磋商形式及程序</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磋商小组成员根据磋商文件规定的评审程序、评审方法及评审标准进行独立评审。未实质性响应磋商文件的响应文件按无效响应处理，磋商小组应当告知提交响应文件的供应商。磋商文件内容违 反国家有关强制性规定的，磋商小组应当停止评审并向招标人或者采购代理机构说明情况。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1）资格性和符合性审查：磋商小组先对资质证明文件、响应文件的有效性、完整性和对磋商文件的响应程度进行审查，以确定是否对磋商文件的要求做出实质性响应，未对磋商文件做出实质性响应的供应商不得进入具体磋商程序，合格者进入第二轮，不合格者即被淘汰。</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2）磋商：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及时以书面形式同时通知所有参加磋商的供应商。供应商应按照磋商文件的变动情况和磋商小组的要求重新提交响应性文件，并由法定代表人或授权代表签字或者加盖公章。</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磋商文件能够详细列明采购需求的技术、服务要求的，磋商结束后，磋商小组将要求所有实质性响应的供应商在规定时间内提交最后报价。最后报价是供应商响应文件的有限组成部分。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已提交相应文件的供应商，在提交最后报价之前，可以根据磋商情况退出磋商。退还退出磋商的供应商的磋商保证金。</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（3）最后报价：磋商小组应要求所有实质性响应的供应商在规定时间内提交最后报价(最后报价不得超过第一轮报价)，报价必须以书面形式现场确认。</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（4）综合评审：经磋商确定最终采购需求和提交最后报价的供应商后，由磋商小组采用综合评分法对提交最后报价的供应商的响应文件和最后报价进行综合评分。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评审时，评审小组各成员独立对每个有效响应的文件进行评价、打分，然后汇总每个供应商每项评分因素的得分。具体评分办法 详见评分标准表格。</w:t>
      </w:r>
    </w:p>
    <w:p>
      <w:pPr>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br w:type="page"/>
      </w:r>
    </w:p>
    <w:tbl>
      <w:tblPr>
        <w:tblStyle w:val="33"/>
        <w:tblpPr w:leftFromText="180" w:rightFromText="180" w:vertAnchor="text" w:horzAnchor="page" w:tblpX="1390" w:tblpY="600"/>
        <w:tblOverlap w:val="never"/>
        <w:tblW w:w="9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221"/>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280" w:type="dxa"/>
            <w:noWrap w:val="0"/>
            <w:vAlign w:val="center"/>
          </w:tcPr>
          <w:p>
            <w:pPr>
              <w:spacing w:line="480" w:lineRule="exact"/>
              <w:jc w:val="center"/>
              <w:rPr>
                <w:rFonts w:hint="eastAsia" w:ascii="宋体" w:hAnsi="宋体" w:cs="宋体"/>
                <w:b/>
                <w:color w:val="000000"/>
                <w:sz w:val="24"/>
                <w:szCs w:val="24"/>
              </w:rPr>
            </w:pPr>
            <w:r>
              <w:rPr>
                <w:rFonts w:hint="eastAsia" w:ascii="宋体" w:hAnsi="宋体" w:cs="宋体"/>
                <w:color w:val="000000"/>
                <w:kern w:val="0"/>
                <w:sz w:val="24"/>
                <w:szCs w:val="24"/>
              </w:rPr>
              <w:t>评审要素</w:t>
            </w:r>
          </w:p>
        </w:tc>
        <w:tc>
          <w:tcPr>
            <w:tcW w:w="8498" w:type="dxa"/>
            <w:gridSpan w:val="2"/>
            <w:noWrap w:val="0"/>
            <w:vAlign w:val="center"/>
          </w:tcPr>
          <w:p>
            <w:pPr>
              <w:spacing w:line="480" w:lineRule="exact"/>
              <w:jc w:val="center"/>
              <w:rPr>
                <w:rFonts w:hint="eastAsia" w:ascii="宋体" w:hAnsi="宋体" w:cs="宋体"/>
                <w:b/>
                <w:color w:val="000000"/>
                <w:sz w:val="24"/>
                <w:szCs w:val="24"/>
              </w:rPr>
            </w:pPr>
            <w:r>
              <w:rPr>
                <w:rFonts w:hint="eastAsia" w:ascii="宋体" w:hAnsi="宋体" w:cs="宋体"/>
                <w:color w:val="000000"/>
                <w:kern w:val="0"/>
                <w:sz w:val="24"/>
                <w:szCs w:val="24"/>
              </w:rPr>
              <w:t>主要评审内容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1280" w:type="dxa"/>
            <w:tcBorders>
              <w:bottom w:val="single" w:color="auto" w:sz="4" w:space="0"/>
            </w:tcBorders>
            <w:noWrap w:val="0"/>
            <w:vAlign w:val="center"/>
          </w:tcPr>
          <w:p>
            <w:pPr>
              <w:widowControl/>
              <w:snapToGrid w:val="0"/>
              <w:spacing w:line="480" w:lineRule="exact"/>
              <w:jc w:val="left"/>
              <w:rPr>
                <w:rFonts w:hint="eastAsia" w:ascii="宋体" w:hAnsi="宋体" w:cs="宋体"/>
                <w:color w:val="000000"/>
                <w:kern w:val="0"/>
                <w:sz w:val="22"/>
                <w:szCs w:val="22"/>
              </w:rPr>
            </w:pPr>
            <w:r>
              <w:rPr>
                <w:rFonts w:hint="eastAsia" w:ascii="宋体" w:hAnsi="宋体" w:cs="宋体"/>
                <w:color w:val="000000"/>
                <w:kern w:val="0"/>
                <w:sz w:val="22"/>
                <w:szCs w:val="22"/>
              </w:rPr>
              <w:t>价格得分（30分）</w:t>
            </w:r>
          </w:p>
        </w:tc>
        <w:tc>
          <w:tcPr>
            <w:tcW w:w="8498" w:type="dxa"/>
            <w:gridSpan w:val="2"/>
            <w:noWrap w:val="0"/>
            <w:vAlign w:val="center"/>
          </w:tcPr>
          <w:p>
            <w:pPr>
              <w:widowControl/>
              <w:snapToGrid w:val="0"/>
              <w:spacing w:line="48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rPr>
              <w:t>在价格评分时，有效报价最低的为评标基准价，其价格分为满分30分；其他供应商报价得分按以下公式计算：投标报价得分＝（评标基准价/投标报价）×30；</w:t>
            </w:r>
          </w:p>
          <w:p>
            <w:pPr>
              <w:widowControl/>
              <w:snapToGrid w:val="0"/>
              <w:spacing w:line="48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rPr>
              <w:t>注：根据中华人民共和国财政部令第 87 号《政府采购货物和服务招标投标管理办法》第六十条规定，评标委员会认为供应商的报价明显低于其他通过符合性审查供应商的报价，有可能影响产品质量或者不能诚信履约的，应当要求其在评标现场提供能证明其报价合理性的书面说明或提交相关证明材料。否则，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0" w:type="dxa"/>
            <w:vMerge w:val="restart"/>
            <w:tcBorders>
              <w:top w:val="single" w:color="auto" w:sz="4" w:space="0"/>
              <w:left w:val="single" w:color="auto" w:sz="4" w:space="0"/>
              <w:right w:val="single" w:color="auto" w:sz="4" w:space="0"/>
            </w:tcBorders>
            <w:noWrap w:val="0"/>
            <w:vAlign w:val="center"/>
          </w:tcPr>
          <w:p>
            <w:pPr>
              <w:spacing w:line="480" w:lineRule="exact"/>
              <w:rPr>
                <w:rFonts w:hint="eastAsia" w:ascii="宋体" w:hAnsi="宋体" w:eastAsia="宋体" w:cs="宋体"/>
                <w:color w:val="000000"/>
                <w:kern w:val="0"/>
                <w:sz w:val="22"/>
                <w:szCs w:val="22"/>
              </w:rPr>
            </w:pPr>
          </w:p>
          <w:p>
            <w:pPr>
              <w:spacing w:line="480" w:lineRule="exact"/>
              <w:rPr>
                <w:rFonts w:hint="eastAsia" w:ascii="宋体" w:hAnsi="宋体" w:cs="宋体"/>
                <w:color w:val="000000"/>
                <w:kern w:val="0"/>
                <w:sz w:val="22"/>
                <w:szCs w:val="22"/>
              </w:rPr>
            </w:pPr>
            <w:r>
              <w:rPr>
                <w:rFonts w:hint="eastAsia" w:ascii="宋体" w:hAnsi="宋体" w:eastAsia="宋体" w:cs="宋体"/>
                <w:color w:val="000000"/>
                <w:kern w:val="0"/>
                <w:sz w:val="22"/>
                <w:szCs w:val="22"/>
              </w:rPr>
              <w:t>技术部分（45分）</w:t>
            </w:r>
          </w:p>
        </w:tc>
        <w:tc>
          <w:tcPr>
            <w:tcW w:w="1221" w:type="dxa"/>
            <w:tcBorders>
              <w:left w:val="single" w:color="auto" w:sz="4" w:space="0"/>
            </w:tcBorders>
            <w:noWrap w:val="0"/>
            <w:vAlign w:val="center"/>
          </w:tcPr>
          <w:p>
            <w:pPr>
              <w:pStyle w:val="30"/>
              <w:spacing w:before="0" w:beforeAutospacing="0" w:after="0" w:afterAutospacing="0" w:line="480" w:lineRule="exact"/>
              <w:jc w:val="center"/>
              <w:rPr>
                <w:rFonts w:hint="eastAsia"/>
                <w:color w:val="000000"/>
                <w:sz w:val="22"/>
                <w:szCs w:val="22"/>
              </w:rPr>
            </w:pPr>
            <w:r>
              <w:rPr>
                <w:rFonts w:hint="eastAsia"/>
                <w:color w:val="000000"/>
                <w:sz w:val="22"/>
                <w:szCs w:val="22"/>
              </w:rPr>
              <w:t>技术参数响应指标</w:t>
            </w:r>
          </w:p>
          <w:p>
            <w:pPr>
              <w:pStyle w:val="30"/>
              <w:spacing w:before="0" w:beforeAutospacing="0" w:after="0" w:afterAutospacing="0" w:line="480" w:lineRule="exact"/>
              <w:jc w:val="center"/>
              <w:rPr>
                <w:rFonts w:hint="eastAsia"/>
                <w:color w:val="000000"/>
                <w:sz w:val="22"/>
                <w:szCs w:val="22"/>
              </w:rPr>
            </w:pPr>
            <w:r>
              <w:rPr>
                <w:rFonts w:hint="eastAsia"/>
                <w:color w:val="000000"/>
                <w:sz w:val="22"/>
                <w:szCs w:val="22"/>
              </w:rPr>
              <w:t>（30分）</w:t>
            </w:r>
          </w:p>
        </w:tc>
        <w:tc>
          <w:tcPr>
            <w:tcW w:w="7277" w:type="dxa"/>
            <w:noWrap w:val="0"/>
            <w:vAlign w:val="center"/>
          </w:tcPr>
          <w:p>
            <w:pPr>
              <w:spacing w:line="480" w:lineRule="exact"/>
              <w:rPr>
                <w:rFonts w:hint="eastAsia" w:ascii="宋体" w:hAnsi="宋体" w:cs="宋体"/>
                <w:color w:val="000000"/>
                <w:kern w:val="0"/>
                <w:sz w:val="22"/>
                <w:szCs w:val="22"/>
              </w:rPr>
            </w:pPr>
            <w:r>
              <w:rPr>
                <w:rFonts w:hint="eastAsia" w:ascii="宋体" w:hAnsi="宋体" w:cs="宋体"/>
                <w:color w:val="000000"/>
                <w:kern w:val="0"/>
                <w:sz w:val="22"/>
                <w:szCs w:val="22"/>
              </w:rPr>
              <w:t>技术响应：技术参数完全满足或优于招标文件规定的相应技术指标、参数的得30分，重要技术参数（★项）每有一项不满足（负偏离）扣</w:t>
            </w:r>
            <w:r>
              <w:rPr>
                <w:rFonts w:hint="eastAsia" w:ascii="宋体" w:hAnsi="宋体" w:cs="宋体"/>
                <w:color w:val="000000"/>
                <w:kern w:val="0"/>
                <w:sz w:val="22"/>
                <w:szCs w:val="22"/>
                <w:lang w:val="en-US" w:eastAsia="zh-CN"/>
              </w:rPr>
              <w:t>5</w:t>
            </w:r>
            <w:r>
              <w:rPr>
                <w:rFonts w:hint="eastAsia" w:ascii="宋体" w:hAnsi="宋体" w:cs="宋体"/>
                <w:color w:val="000000"/>
                <w:kern w:val="0"/>
                <w:sz w:val="22"/>
                <w:szCs w:val="22"/>
              </w:rPr>
              <w:t>分，其他技术指标、参数每有一项不满足扣2 分，扣完为止。（满分30分）（须提供</w:t>
            </w:r>
            <w:r>
              <w:rPr>
                <w:rFonts w:hint="eastAsia" w:ascii="宋体" w:hAnsi="宋体" w:cs="宋体"/>
                <w:color w:val="000000"/>
                <w:kern w:val="0"/>
                <w:sz w:val="22"/>
                <w:szCs w:val="22"/>
                <w:lang w:val="en-US" w:eastAsia="zh-CN"/>
              </w:rPr>
              <w:t>产品厂家授权、</w:t>
            </w:r>
            <w:r>
              <w:rPr>
                <w:rFonts w:hint="eastAsia" w:ascii="宋体" w:hAnsi="宋体" w:cs="宋体"/>
                <w:color w:val="000000"/>
                <w:kern w:val="0"/>
                <w:sz w:val="22"/>
                <w:szCs w:val="22"/>
              </w:rPr>
              <w:t>产品白皮书、检验报告或彩页等相关技术支持文件，并加盖生产厂商公章；如无技术文件支持或提供的文件无法证明投标产品满足招标参数要求的，按照负偏离扣</w:t>
            </w:r>
            <w:r>
              <w:rPr>
                <w:rFonts w:hint="eastAsia" w:ascii="宋体" w:hAnsi="宋体" w:cs="宋体"/>
                <w:color w:val="000000"/>
                <w:kern w:val="0"/>
                <w:sz w:val="22"/>
                <w:szCs w:val="22"/>
                <w:lang w:val="en-US" w:eastAsia="zh-CN"/>
              </w:rPr>
              <w:t>5</w:t>
            </w:r>
            <w:r>
              <w:rPr>
                <w:rFonts w:hint="eastAsia" w:ascii="宋体" w:hAnsi="宋体" w:cs="宋体"/>
                <w:color w:val="000000"/>
                <w:kern w:val="0"/>
                <w:sz w:val="22"/>
                <w:szCs w:val="22"/>
              </w:rPr>
              <w:t>分，不做废标处理）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1280" w:type="dxa"/>
            <w:vMerge w:val="continue"/>
            <w:tcBorders>
              <w:left w:val="single" w:color="auto" w:sz="4" w:space="0"/>
              <w:bottom w:val="single" w:color="auto" w:sz="4" w:space="0"/>
              <w:right w:val="single" w:color="auto" w:sz="4" w:space="0"/>
            </w:tcBorders>
            <w:noWrap w:val="0"/>
            <w:vAlign w:val="center"/>
          </w:tcPr>
          <w:p>
            <w:pPr>
              <w:widowControl/>
              <w:snapToGrid w:val="0"/>
              <w:spacing w:line="480" w:lineRule="exact"/>
              <w:jc w:val="left"/>
              <w:rPr>
                <w:rFonts w:hint="eastAsia" w:ascii="宋体" w:hAnsi="宋体" w:cs="宋体"/>
                <w:color w:val="000000"/>
                <w:kern w:val="0"/>
                <w:sz w:val="22"/>
                <w:szCs w:val="22"/>
              </w:rPr>
            </w:pPr>
          </w:p>
        </w:tc>
        <w:tc>
          <w:tcPr>
            <w:tcW w:w="1221" w:type="dxa"/>
            <w:tcBorders>
              <w:left w:val="single" w:color="auto" w:sz="4" w:space="0"/>
            </w:tcBorders>
            <w:noWrap w:val="0"/>
            <w:vAlign w:val="center"/>
          </w:tcPr>
          <w:p>
            <w:pPr>
              <w:pStyle w:val="30"/>
              <w:spacing w:before="0" w:beforeAutospacing="0" w:after="0" w:afterAutospacing="0" w:line="480" w:lineRule="exact"/>
              <w:jc w:val="center"/>
              <w:rPr>
                <w:rFonts w:hint="eastAsia"/>
                <w:color w:val="000000"/>
                <w:sz w:val="22"/>
                <w:szCs w:val="22"/>
              </w:rPr>
            </w:pPr>
            <w:r>
              <w:rPr>
                <w:rFonts w:hint="eastAsia" w:cs="Times New Roman"/>
                <w:color w:val="000000"/>
                <w:sz w:val="22"/>
                <w:szCs w:val="20"/>
              </w:rPr>
              <w:t>实施方案15分</w:t>
            </w:r>
          </w:p>
        </w:tc>
        <w:tc>
          <w:tcPr>
            <w:tcW w:w="7277" w:type="dxa"/>
            <w:noWrap w:val="0"/>
            <w:vAlign w:val="center"/>
          </w:tcPr>
          <w:p>
            <w:pPr>
              <w:spacing w:line="480" w:lineRule="exact"/>
              <w:rPr>
                <w:rFonts w:hint="eastAsia" w:ascii="宋体" w:hAnsi="宋体" w:cs="宋体"/>
                <w:color w:val="000000"/>
                <w:kern w:val="0"/>
                <w:sz w:val="22"/>
                <w:szCs w:val="22"/>
              </w:rPr>
            </w:pPr>
            <w:r>
              <w:rPr>
                <w:rFonts w:hint="eastAsia" w:ascii="宋体" w:hAnsi="宋体" w:cs="宋体"/>
                <w:color w:val="000000"/>
                <w:kern w:val="0"/>
                <w:sz w:val="22"/>
                <w:szCs w:val="22"/>
              </w:rPr>
              <w:t>实施方案：有详细的实施方案且方案涉及产品保养措施、注意事项，操作规范、工作原理优势；且进度计划、安装调试措施得当，质量保证措施合理，紧急预案措施得当、完善的得15分；有较详细的实施方案、进度计划及保证措施，安装调试措施、质量保证措施、紧急预案措施等基本合理、可行，针对性一般的得</w:t>
            </w:r>
            <w:r>
              <w:rPr>
                <w:rFonts w:ascii="宋体" w:hAnsi="宋体" w:cs="宋体"/>
                <w:color w:val="000000"/>
                <w:kern w:val="0"/>
                <w:sz w:val="22"/>
                <w:szCs w:val="22"/>
              </w:rPr>
              <w:t>10</w:t>
            </w:r>
            <w:r>
              <w:rPr>
                <w:rFonts w:hint="eastAsia" w:ascii="宋体" w:hAnsi="宋体" w:cs="宋体"/>
                <w:color w:val="000000"/>
                <w:kern w:val="0"/>
                <w:sz w:val="22"/>
                <w:szCs w:val="22"/>
              </w:rPr>
              <w:t>分；实施方案不够具体、没有针对性，措施可行度不高的得</w:t>
            </w:r>
            <w:r>
              <w:rPr>
                <w:rFonts w:ascii="宋体" w:hAnsi="宋体" w:cs="宋体"/>
                <w:color w:val="000000"/>
                <w:kern w:val="0"/>
                <w:sz w:val="22"/>
                <w:szCs w:val="22"/>
              </w:rPr>
              <w:t>5</w:t>
            </w:r>
            <w:r>
              <w:rPr>
                <w:rFonts w:hint="eastAsia" w:ascii="宋体" w:hAnsi="宋体" w:cs="宋体"/>
                <w:color w:val="000000"/>
                <w:kern w:val="0"/>
                <w:sz w:val="22"/>
                <w:szCs w:val="22"/>
              </w:rPr>
              <w:t>分，未提供者不得分。（满分15分）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0" w:type="dxa"/>
            <w:vMerge w:val="restart"/>
            <w:tcBorders>
              <w:top w:val="single" w:color="auto" w:sz="4" w:space="0"/>
              <w:bottom w:val="single" w:color="auto" w:sz="4" w:space="0"/>
            </w:tcBorders>
            <w:noWrap w:val="0"/>
            <w:vAlign w:val="center"/>
          </w:tcPr>
          <w:p>
            <w:pPr>
              <w:spacing w:line="480" w:lineRule="exact"/>
              <w:rPr>
                <w:rFonts w:hint="eastAsia" w:ascii="宋体" w:hAnsi="宋体" w:eastAsia="宋体" w:cs="宋体"/>
                <w:color w:val="000000"/>
                <w:kern w:val="0"/>
                <w:sz w:val="22"/>
                <w:szCs w:val="22"/>
              </w:rPr>
            </w:pPr>
          </w:p>
          <w:p>
            <w:pPr>
              <w:spacing w:line="480" w:lineRule="exact"/>
              <w:rPr>
                <w:rFonts w:hint="eastAsia" w:ascii="宋体" w:hAnsi="宋体" w:eastAsia="宋体" w:cs="宋体"/>
                <w:color w:val="000000"/>
                <w:kern w:val="0"/>
                <w:sz w:val="22"/>
                <w:szCs w:val="22"/>
              </w:rPr>
            </w:pPr>
          </w:p>
          <w:p>
            <w:pPr>
              <w:spacing w:line="480" w:lineRule="exact"/>
              <w:rPr>
                <w:rFonts w:hint="eastAsia" w:ascii="宋体" w:hAnsi="宋体" w:eastAsia="宋体" w:cs="宋体"/>
                <w:color w:val="000000"/>
                <w:kern w:val="0"/>
                <w:sz w:val="22"/>
                <w:szCs w:val="22"/>
              </w:rPr>
            </w:pPr>
          </w:p>
          <w:p>
            <w:pPr>
              <w:spacing w:line="480" w:lineRule="exact"/>
              <w:rPr>
                <w:rFonts w:hint="eastAsia" w:ascii="宋体" w:hAnsi="宋体" w:eastAsia="宋体" w:cs="宋体"/>
                <w:color w:val="000000"/>
                <w:kern w:val="0"/>
                <w:sz w:val="22"/>
                <w:szCs w:val="22"/>
              </w:rPr>
            </w:pPr>
          </w:p>
          <w:p>
            <w:pPr>
              <w:spacing w:line="480" w:lineRule="exact"/>
              <w:rPr>
                <w:rFonts w:hint="eastAsia" w:ascii="宋体" w:hAnsi="宋体" w:eastAsia="宋体" w:cs="宋体"/>
                <w:color w:val="000000"/>
                <w:kern w:val="0"/>
                <w:sz w:val="22"/>
                <w:szCs w:val="22"/>
              </w:rPr>
            </w:pPr>
          </w:p>
          <w:p>
            <w:pPr>
              <w:spacing w:line="480" w:lineRule="exac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商务得分（25分）</w:t>
            </w:r>
          </w:p>
        </w:tc>
        <w:tc>
          <w:tcPr>
            <w:tcW w:w="1221" w:type="dxa"/>
            <w:noWrap w:val="0"/>
            <w:vAlign w:val="center"/>
          </w:tcPr>
          <w:p>
            <w:pPr>
              <w:spacing w:line="480" w:lineRule="exac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投标文件制作（5分）</w:t>
            </w:r>
          </w:p>
        </w:tc>
        <w:tc>
          <w:tcPr>
            <w:tcW w:w="7277" w:type="dxa"/>
            <w:noWrap w:val="0"/>
            <w:vAlign w:val="center"/>
          </w:tcPr>
          <w:p>
            <w:pPr>
              <w:spacing w:line="480" w:lineRule="exact"/>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投标文件按招标文件规定的格式制作，投标附件资料齐全、详实、充分，顺序编制精美，字迹清晰，书面整洁无涂改，没有缺漏项，价格数量等内容完善、所提供与投标产品相同配置及能数的说明书或彩页能详细反映招标文件技术参数的计3-5 分。投标文件的编制规范性一般， 文件构成基本完整， 条例基本清晰的得1-2分； 投标文件的编制规范性差， 构成不完整， 条例不清晰，文字模糊不得分。（满分5分）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0" w:type="dxa"/>
            <w:vMerge w:val="continue"/>
            <w:tcBorders>
              <w:top w:val="single" w:color="auto" w:sz="4" w:space="0"/>
              <w:bottom w:val="single" w:color="auto" w:sz="4" w:space="0"/>
            </w:tcBorders>
            <w:noWrap w:val="0"/>
            <w:vAlign w:val="center"/>
          </w:tcPr>
          <w:p>
            <w:pPr>
              <w:widowControl/>
              <w:snapToGrid w:val="0"/>
              <w:spacing w:line="480" w:lineRule="exact"/>
              <w:jc w:val="left"/>
              <w:rPr>
                <w:rFonts w:hint="eastAsia" w:ascii="宋体" w:hAnsi="宋体" w:cs="宋体"/>
                <w:color w:val="000000"/>
                <w:kern w:val="0"/>
                <w:sz w:val="22"/>
                <w:szCs w:val="22"/>
              </w:rPr>
            </w:pPr>
          </w:p>
        </w:tc>
        <w:tc>
          <w:tcPr>
            <w:tcW w:w="1221" w:type="dxa"/>
            <w:noWrap w:val="0"/>
            <w:vAlign w:val="center"/>
          </w:tcPr>
          <w:p>
            <w:pPr>
              <w:pStyle w:val="30"/>
              <w:spacing w:before="0" w:beforeAutospacing="0" w:after="0" w:afterAutospacing="0" w:line="480" w:lineRule="exact"/>
              <w:jc w:val="both"/>
              <w:rPr>
                <w:color w:val="auto"/>
                <w:sz w:val="22"/>
                <w:szCs w:val="22"/>
              </w:rPr>
            </w:pPr>
            <w:r>
              <w:rPr>
                <w:rFonts w:hint="eastAsia"/>
                <w:color w:val="auto"/>
                <w:sz w:val="22"/>
                <w:szCs w:val="22"/>
              </w:rPr>
              <w:t>企业实力（4分）</w:t>
            </w:r>
          </w:p>
        </w:tc>
        <w:tc>
          <w:tcPr>
            <w:tcW w:w="7277" w:type="dxa"/>
            <w:noWrap w:val="0"/>
            <w:vAlign w:val="center"/>
          </w:tcPr>
          <w:p>
            <w:pPr>
              <w:spacing w:line="480" w:lineRule="exact"/>
              <w:ind w:firstLine="440" w:firstLineChars="200"/>
              <w:rPr>
                <w:rFonts w:hint="eastAsia" w:ascii="宋体" w:hAnsi="宋体" w:cs="宋体"/>
                <w:color w:val="auto"/>
                <w:kern w:val="0"/>
                <w:sz w:val="22"/>
                <w:szCs w:val="22"/>
              </w:rPr>
            </w:pPr>
            <w:r>
              <w:rPr>
                <w:rFonts w:hint="eastAsia" w:ascii="宋体" w:hAnsi="宋体" w:cs="宋体"/>
                <w:color w:val="auto"/>
                <w:kern w:val="0"/>
                <w:sz w:val="22"/>
                <w:szCs w:val="22"/>
              </w:rPr>
              <w:t>为确保设备的可靠性：需提供生产厂家的质量体系认证ISO9001证书、ISO13485证书、ISO14001体系认证及CE认证证书，每提供一项得</w:t>
            </w:r>
            <w:r>
              <w:rPr>
                <w:rFonts w:hint="default" w:ascii="宋体" w:hAnsi="宋体" w:cs="宋体"/>
                <w:color w:val="auto"/>
                <w:kern w:val="0"/>
                <w:sz w:val="22"/>
                <w:szCs w:val="22"/>
                <w:lang w:val="en-US"/>
              </w:rPr>
              <w:t>0.5</w:t>
            </w:r>
            <w:r>
              <w:rPr>
                <w:rFonts w:hint="eastAsia" w:ascii="宋体" w:hAnsi="宋体" w:cs="宋体"/>
                <w:color w:val="auto"/>
                <w:kern w:val="0"/>
                <w:sz w:val="22"/>
                <w:szCs w:val="22"/>
              </w:rPr>
              <w:t>分，不提供不得分</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提供</w:t>
            </w:r>
            <w:r>
              <w:rPr>
                <w:rFonts w:hint="default" w:ascii="宋体" w:hAnsi="宋体" w:cs="宋体"/>
                <w:color w:val="auto"/>
                <w:kern w:val="0"/>
                <w:sz w:val="22"/>
                <w:szCs w:val="22"/>
                <w:lang w:val="en-US" w:eastAsia="zh-CN"/>
              </w:rPr>
              <w:t>2</w:t>
            </w:r>
            <w:r>
              <w:rPr>
                <w:rFonts w:hint="eastAsia" w:ascii="宋体" w:hAnsi="宋体" w:cs="宋体"/>
                <w:color w:val="auto"/>
                <w:kern w:val="0"/>
                <w:sz w:val="22"/>
                <w:szCs w:val="22"/>
                <w:lang w:val="en-US" w:eastAsia="zh-CN"/>
              </w:rPr>
              <w:t>年内本地区同类项目业绩（以中标通知书或合同为准）提供得</w:t>
            </w:r>
            <w:r>
              <w:rPr>
                <w:rFonts w:hint="default" w:ascii="宋体" w:hAnsi="宋体" w:cs="宋体"/>
                <w:color w:val="auto"/>
                <w:kern w:val="0"/>
                <w:sz w:val="22"/>
                <w:szCs w:val="22"/>
                <w:lang w:val="en-US" w:eastAsia="zh-CN"/>
              </w:rPr>
              <w:t>2</w:t>
            </w:r>
            <w:r>
              <w:rPr>
                <w:rFonts w:hint="eastAsia" w:ascii="宋体" w:hAnsi="宋体" w:cs="宋体"/>
                <w:color w:val="auto"/>
                <w:kern w:val="0"/>
                <w:sz w:val="22"/>
                <w:szCs w:val="22"/>
                <w:lang w:val="en-US" w:eastAsia="zh-CN"/>
              </w:rPr>
              <w:t>分，不提供不得分。</w:t>
            </w:r>
            <w:r>
              <w:rPr>
                <w:rFonts w:hint="eastAsia" w:ascii="宋体" w:hAnsi="宋体" w:cs="宋体"/>
                <w:color w:val="auto"/>
                <w:kern w:val="0"/>
                <w:sz w:val="22"/>
                <w:szCs w:val="22"/>
              </w:rPr>
              <w:t>（满分4分）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280" w:type="dxa"/>
            <w:vMerge w:val="continue"/>
            <w:tcBorders>
              <w:top w:val="single" w:color="auto" w:sz="4" w:space="0"/>
              <w:bottom w:val="single" w:color="auto" w:sz="4" w:space="0"/>
            </w:tcBorders>
            <w:noWrap w:val="0"/>
            <w:vAlign w:val="center"/>
          </w:tcPr>
          <w:p>
            <w:pPr>
              <w:spacing w:line="480" w:lineRule="exact"/>
              <w:jc w:val="center"/>
              <w:rPr>
                <w:rFonts w:hint="eastAsia" w:ascii="宋体" w:hAnsi="宋体" w:cs="宋体"/>
                <w:color w:val="000000"/>
                <w:sz w:val="22"/>
                <w:szCs w:val="22"/>
              </w:rPr>
            </w:pPr>
          </w:p>
        </w:tc>
        <w:tc>
          <w:tcPr>
            <w:tcW w:w="1221" w:type="dxa"/>
            <w:noWrap w:val="0"/>
            <w:vAlign w:val="center"/>
          </w:tcPr>
          <w:p>
            <w:pPr>
              <w:pStyle w:val="30"/>
              <w:spacing w:before="0" w:beforeAutospacing="0" w:after="0" w:afterAutospacing="0" w:line="480" w:lineRule="exact"/>
              <w:jc w:val="center"/>
              <w:rPr>
                <w:rFonts w:hint="eastAsia"/>
                <w:color w:val="000000"/>
                <w:sz w:val="22"/>
                <w:szCs w:val="22"/>
              </w:rPr>
            </w:pPr>
            <w:r>
              <w:rPr>
                <w:rFonts w:hint="eastAsia"/>
                <w:color w:val="000000"/>
                <w:sz w:val="22"/>
                <w:szCs w:val="22"/>
                <w:lang w:val="zh-CN"/>
              </w:rPr>
              <w:t>售后服务（</w:t>
            </w:r>
            <w:r>
              <w:rPr>
                <w:rFonts w:hint="eastAsia"/>
                <w:color w:val="000000"/>
                <w:sz w:val="22"/>
                <w:szCs w:val="22"/>
              </w:rPr>
              <w:t>16分</w:t>
            </w:r>
            <w:r>
              <w:rPr>
                <w:rFonts w:hint="eastAsia"/>
                <w:color w:val="000000"/>
                <w:sz w:val="22"/>
                <w:szCs w:val="22"/>
                <w:lang w:val="zh-CN"/>
              </w:rPr>
              <w:t>）</w:t>
            </w:r>
          </w:p>
        </w:tc>
        <w:tc>
          <w:tcPr>
            <w:tcW w:w="7277" w:type="dxa"/>
            <w:noWrap w:val="0"/>
            <w:vAlign w:val="center"/>
          </w:tcPr>
          <w:p>
            <w:pPr>
              <w:spacing w:line="480" w:lineRule="exact"/>
              <w:rPr>
                <w:rFonts w:hint="eastAsia" w:ascii="宋体" w:hAnsi="宋体" w:cs="宋体"/>
                <w:color w:val="000000"/>
                <w:kern w:val="0"/>
                <w:sz w:val="22"/>
                <w:szCs w:val="22"/>
              </w:rPr>
            </w:pPr>
            <w:r>
              <w:rPr>
                <w:rFonts w:hint="eastAsia" w:ascii="宋体" w:hAnsi="宋体" w:cs="宋体"/>
                <w:color w:val="000000"/>
                <w:kern w:val="0"/>
                <w:sz w:val="22"/>
                <w:szCs w:val="22"/>
              </w:rPr>
              <w:t>根据供应商针对本项目提供完整售后服务方案或承诺（售后服务方案或承诺包括但不限于安装调试、质保期限、服务响应和故障排除、日常维护及保养措施、应急措施和售后服务时间等），内容编写充分且条理清晰，具有可实施性、科学性和合理性，具有专业技术人员负责设备的安装、调试及技术服务，技术人员配置合理，得16分；售后服务方案编写条理基本清晰，方案内容和人员配备虽有欠缺或不完善的地方，但尚不影响项目的实施和售后服务，得10分；实施方案编写条理不够清晰，内容简略、与项目实际情况相差较大或者没有配备专业技术人员的得5分，没有实施方案的不得分。（满分16分）</w:t>
            </w:r>
          </w:p>
        </w:tc>
      </w:tr>
    </w:tbl>
    <w:p/>
    <w:p>
      <w:pPr>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备注：</w:t>
      </w:r>
    </w:p>
    <w:p>
      <w:pPr>
        <w:ind w:firstLine="522"/>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一、1、根据《政府采购促进中小企业发展暂行办法》（财库［2011］181 号）和工信部联企业〔2011〕300号文件规定，对小型和微型企业产品的价格给予6%的扣除，用扣除后的价格参与评审；</w:t>
      </w:r>
    </w:p>
    <w:p>
      <w:pPr>
        <w:ind w:firstLine="522"/>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大中型企业和和其他自然人、法人或者其他组织与小型、微型企业组成联合体共同参加非专门面向中小企业的政府采购活动的，小微企业的合同金额占联合体协议合同总金额 30%以上的，给予联合体3%的价格扣除，用扣除后的价格参与评审。</w:t>
      </w:r>
    </w:p>
    <w:p>
      <w:pPr>
        <w:ind w:firstLine="522"/>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2、根据《财政部司法部关于政府采购支持监狱企业发展有关问题的通知》（财库［2014］68 号）的规定，对监狱企业产品的价格给予6%扣除，用扣除后的价格参与评审。参加政府采购活动的监狱企业必须提供由省级以上监狱管理局、戒毒管理局（含新疆生产建设兵团）出具的属于监狱企业的证明文件</w:t>
      </w:r>
    </w:p>
    <w:p>
      <w:pPr>
        <w:ind w:firstLine="522"/>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3、根据《财政部民政部中国残疾人联合会关于促进残疾人就业政府采购政策的通知》（财库【2017】141号）文件规定，对满足价格扣除条件且在磋商响应文件中提交了《残疾人福利性单位声明函》等证明文件的供应商，其投标报价扣除6%后参与评审。</w:t>
      </w:r>
    </w:p>
    <w:p>
      <w:pPr>
        <w:pStyle w:val="13"/>
        <w:ind w:left="0" w:leftChars="0" w:firstLine="400" w:firstLineChars="200"/>
        <w:rPr>
          <w:rFonts w:ascii="宋体" w:hAnsi="宋体" w:cs="宋体"/>
          <w:b/>
          <w:bCs/>
          <w:color w:val="FF0000"/>
          <w:sz w:val="28"/>
          <w:szCs w:val="28"/>
        </w:rPr>
      </w:pPr>
      <w:r>
        <w:rPr>
          <w:rFonts w:hint="eastAsia" w:ascii="宋体" w:hAnsi="宋体"/>
          <w:b/>
          <w:bCs/>
          <w:color w:val="000000" w:themeColor="text1"/>
          <w:spacing w:val="10"/>
          <w:sz w:val="18"/>
          <w:szCs w:val="18"/>
          <w14:textFill>
            <w14:solidFill>
              <w14:schemeClr w14:val="tx1"/>
            </w14:solidFill>
          </w14:textFill>
        </w:rPr>
        <w:t>二、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三、拟成交供应商确定的原则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磋商小组应根据综合评分情况，按照评审得分由高到低顺序确定成交供应商，评审得分相同的，按照最后报价最高者优先确定，评审得分且最后报价相同的，按照技术指标优者优先确定。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四、拟成交供应商的确定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招标方授权磋商小组直接确定成交供应商。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招标方原则上在确定评审得分最高的前提下，确定拟成交供应商。当评审得分最高的供应商放弃成交、或因不可抗力提出不能履行合同或磋商小组一致认为评分畸高、畸低的供应商，招标方应重新开展招标活动。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拟成交供应商确定后，由招标方以公告的方式向拟成交供应商以及其他采购当事人发出拟成交公告，拟成交公示届满后，由招标方向成交供应商发出成交通知书，并要求其与招标人签订合同。</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五、合同的授予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（一）成交通知书</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招标方根据磋商小组的评审结果，公布拟成交结果。在法定公示时间后且无质疑的情况下，该结果将做为是正式成交或签订合同的凭据，招标方将以书面形式通知成交供应商。在该通知书中将给出成交供应商应按本合同实施、完成和维护项目的成交价格(合同条件中称为“合同价格”)以及其他相关事项。</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成交通知书将成为合同的组成部分。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（二）合同授予原则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招标方将把合同授予经磋商小组评审推荐，在法定公示时间后 , 收到成交通知书的供应商为最终成交供应商。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（三）合同的签署</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成交供应商按成交通知书中规定的时间和地点，由法定代表人或被授权人与需方签订合同。需方与成交供应商是合同权利与义务的直接、全部责任承担人。招标方所发出的成交通知书对需方和成 交供应商具有同等法律效力。</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成交通知书发出后，需方拒绝签订供货合同或擅自改变成交内容，按照《中华人民共和国合同法》定金罚则及损害赔偿的原则处罚并办理。若成交供应商不能在规定时间内与需方签订合同，或变相签订合同，招标方可采取取消其成交资格并没收其谈判保证金等措施，并可按照财政部令[2004]18号第六十八条、第七十五条、第七十六条规定办理。拒绝签订政府采购合同的成交供应商不得参加对该项目重新开展的采购活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六、成交未果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在磋商招标中，出现下列情形之一的，宣布成交未果：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依据财政部关于政府采购竞争性磋商采购方式管理暂行办法有关问题的补充通知(财库〔2015124号)采用竞争性磋商采购方式采购的政府购买服务项目(含政府和社会资本合作项目)，在采购过程中符合要求的供应商(社会资本)只有2家的，竞争性磋商采购活动可以继续进行。采购过程中符合要求的供应商(社会资本)只有1家的 , 采购人(项目实施机构)或者采购代理机构应当终止竞争性磋商采购活动，发布项目终止公告并说明原因，重新开展采购活动；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2)出现影响招标公正的违法、违规行为的；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3)供应商的报价均超过了招标预算，需方不能支付的；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4)因情况变化，不再符合规定的竞争性磋商招标方式适用情形的；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5)因重大变故，招标任务取消的。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宣布成交未果后，招标方应当将成交未果理由通知所有招标当事人。</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七、磋商无效响应</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遇到下列情况之一时,供应商递交的磋商响应性文件将被视为无效响应:</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（1）磋商响应性文件未按规定编制、标注、密封、封装的；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（2）超出供应商经营范围参与磋商的；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（3）磋商响应性文件中无供应商公章和法人或者法人授权代理人的印章或签字的；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（4）磋商函、法人授权函、投标报价表及投标货物偏离表未按规定格式填报的；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（5）供应商未能提供法人授权函等证明文件和资料的，或提供的证件不齐或无效；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（6）磋商响应性文件未按照磋商文件规定的格式填写，或者填写的内容不全，或者辨认不清产生歧义，或者涂改处未加盖投标人公章及法人或法人授权的代理人的印章或签字的；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（7）磋商响应性文件中每包以两个及两个以上的方案参与竞争性磋商的(磋商文件另有规定的除外)；</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（8）磋商响应性文件未能对磋商文件提出的要求和条件作出实质性响应的；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（9）供应商资格条件不符合国家有关规定和谈判文件要求的，或者拒不按照要求对磋商响应性文件进行澄清、说明或者补正的；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（10）磋商响应性文件附有招标方不能接受的条件的；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（11）参与磋商的产品(同一品牌、型号)，在同一地区同一时间段内成交供应商不能保证其实际成交价格低于其他任何非政府招标价格的；其中：</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①磋商阶段应视为无效响应；</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②已成交而无供货的视为成交无效；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③已供货者，成交供应商应承担由此给需方造成的损失。</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（12）经评审委员会认定，认为生产制造企业通过控制授权函等方式，恶意抬高其产品价格。降低服务质量，价格明显高于在同一地区同一时间段内任何政府招标价格的；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（13）磋商有效期不足60天的；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（14）在磋商过程中，如果供应商试图在审查、澄清、比较及授予合同方面向招标方施加任何影响的；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（15）供应商以他人名义参加谈判、串通参加谈判、以行贿手段谋取成交或者以弄虚作假等方式谋取成交的；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（16）对于同一品牌同一型号产品生产制造商总部委托两家及两家以上代理商参加磋商的；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（17）违反《中华人民共和国招投标法》的；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（18）磋商文件规定的其它无效响应条件。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本磋商文件由招标方负责解释，未尽事宜另行商定。</w:t>
      </w:r>
    </w:p>
    <w:p/>
    <w:p>
      <w:pPr>
        <w:rPr>
          <w:rFonts w:hint="eastAsia"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br w:type="page"/>
      </w:r>
    </w:p>
    <w:p>
      <w:pPr>
        <w:autoSpaceDE w:val="0"/>
        <w:autoSpaceDN w:val="0"/>
        <w:adjustRightInd w:val="0"/>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六</w:t>
      </w:r>
      <w:r>
        <w:rPr>
          <w:rFonts w:hint="eastAsia" w:ascii="宋体" w:hAnsi="宋体" w:cs="宋体"/>
          <w:b/>
          <w:bCs/>
          <w:color w:val="000000" w:themeColor="text1"/>
          <w:kern w:val="0"/>
          <w:sz w:val="32"/>
          <w:szCs w:val="32"/>
          <w14:textFill>
            <w14:solidFill>
              <w14:schemeClr w14:val="tx1"/>
            </w14:solidFill>
          </w14:textFill>
        </w:rPr>
        <w:t>章</w:t>
      </w:r>
      <w:r>
        <w:rPr>
          <w:rFonts w:ascii="宋体" w:hAnsi="宋体" w:cs="宋体"/>
          <w:b/>
          <w:bCs/>
          <w:color w:val="000000" w:themeColor="text1"/>
          <w:kern w:val="0"/>
          <w:sz w:val="32"/>
          <w:szCs w:val="32"/>
          <w14:textFill>
            <w14:solidFill>
              <w14:schemeClr w14:val="tx1"/>
            </w14:solidFill>
          </w14:textFill>
        </w:rPr>
        <w:t xml:space="preserve"> </w:t>
      </w:r>
      <w:r>
        <w:rPr>
          <w:rFonts w:hint="eastAsia" w:ascii="宋体" w:hAnsi="宋体" w:cs="宋体"/>
          <w:b/>
          <w:bCs/>
          <w:color w:val="000000" w:themeColor="text1"/>
          <w:kern w:val="0"/>
          <w:sz w:val="32"/>
          <w:szCs w:val="32"/>
          <w14:textFill>
            <w14:solidFill>
              <w14:schemeClr w14:val="tx1"/>
            </w14:solidFill>
          </w14:textFill>
        </w:rPr>
        <w:t xml:space="preserve"> 政府采购合同（仅供参考具体由甲乙双方协商）</w:t>
      </w:r>
    </w:p>
    <w:p>
      <w:pPr>
        <w:pStyle w:val="135"/>
        <w:jc w:val="center"/>
        <w:rPr>
          <w:rFonts w:hAnsi="宋体"/>
          <w:b/>
          <w:color w:val="000000" w:themeColor="text1"/>
          <w:sz w:val="21"/>
          <w:szCs w:val="21"/>
          <w14:textFill>
            <w14:solidFill>
              <w14:schemeClr w14:val="tx1"/>
            </w14:solidFill>
          </w14:textFill>
        </w:rPr>
      </w:pPr>
      <w:r>
        <w:rPr>
          <w:rFonts w:hint="eastAsia" w:hAnsi="宋体" w:cs="黑体"/>
          <w:b/>
          <w:color w:val="000000" w:themeColor="text1"/>
          <w:sz w:val="21"/>
          <w:szCs w:val="21"/>
          <w14:textFill>
            <w14:solidFill>
              <w14:schemeClr w14:val="tx1"/>
            </w14:solidFill>
          </w14:textFill>
        </w:rPr>
        <w:t>一、合同格式条款</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 </w:t>
      </w:r>
      <w:r>
        <w:rPr>
          <w:rFonts w:hint="eastAsia" w:ascii="宋体" w:hAnsi="宋体"/>
          <w:b/>
          <w:color w:val="000000" w:themeColor="text1"/>
          <w:szCs w:val="21"/>
          <w14:textFill>
            <w14:solidFill>
              <w14:schemeClr w14:val="tx1"/>
            </w14:solidFill>
          </w14:textFill>
        </w:rPr>
        <w:t>定义</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 </w:t>
      </w:r>
      <w:r>
        <w:rPr>
          <w:rFonts w:hint="eastAsia" w:ascii="宋体" w:hAnsi="宋体"/>
          <w:color w:val="000000" w:themeColor="text1"/>
          <w:szCs w:val="21"/>
          <w14:textFill>
            <w14:solidFill>
              <w14:schemeClr w14:val="tx1"/>
            </w14:solidFill>
          </w14:textFill>
        </w:rPr>
        <w:t>合同当事人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）采购人</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以下称甲方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是指使用财政性资金，通过政府采购程序向供应商购买货物、服务的国家机关、事业单位、团体组织。</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以下称乙方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是指参加政府采购活动而取得中标结果，并向采购人提供货物、服务的法人、其他组织或者自然人。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1.2. </w:t>
      </w:r>
      <w:r>
        <w:rPr>
          <w:rFonts w:hint="eastAsia" w:ascii="宋体" w:hAnsi="宋体"/>
          <w:color w:val="000000" w:themeColor="text1"/>
          <w:szCs w:val="21"/>
          <w14:textFill>
            <w14:solidFill>
              <w14:schemeClr w14:val="tx1"/>
            </w14:solidFill>
          </w14:textFill>
        </w:rPr>
        <w:t>本合同下列术语应解释为：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）“合同”系指甲乙双方签署的、政府采购合同协议书中载明的甲乙双方所达成的协议，包括所有的附件、附录和上述文件所提到的构成合同的所有文件。</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）“合同价”系指根据本合同规定乙方在正确地完全履行合同义务后甲方应支付给乙方的价款。</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）“货物”系指乙方根据本合同规定须向甲方提供的各种形态和种类的物品，包括原材料、设备、产品</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包括软件</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及相关的备品备件、工具、手册及其它技术资料和材料。</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）“伴随服务”系指根据本合同规定乙方承担与供货有关的辅助服务，如运输、保险以及其它的伴随服务，例如安装、调试、提供技术协助、培训和合同中规定乙方应承担的其它义务。</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）“合同条款”系指本合同条款。</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 </w:t>
      </w:r>
      <w:r>
        <w:rPr>
          <w:rFonts w:hint="eastAsia" w:ascii="宋体" w:hAnsi="宋体"/>
          <w:b/>
          <w:color w:val="000000" w:themeColor="text1"/>
          <w:szCs w:val="21"/>
          <w14:textFill>
            <w14:solidFill>
              <w14:schemeClr w14:val="tx1"/>
            </w14:solidFill>
          </w14:textFill>
        </w:rPr>
        <w:t>合同的适用范围</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 </w:t>
      </w:r>
      <w:r>
        <w:rPr>
          <w:rFonts w:hint="eastAsia" w:ascii="宋体" w:hAnsi="宋体"/>
          <w:color w:val="000000" w:themeColor="text1"/>
          <w:szCs w:val="21"/>
          <w14:textFill>
            <w14:solidFill>
              <w14:schemeClr w14:val="tx1"/>
            </w14:solidFill>
          </w14:textFill>
        </w:rPr>
        <w:t>本合同条款适用于没有被本合同其他部分的条款所取代的范围。</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 </w:t>
      </w:r>
      <w:r>
        <w:rPr>
          <w:rFonts w:hint="eastAsia" w:ascii="宋体" w:hAnsi="宋体"/>
          <w:color w:val="000000" w:themeColor="text1"/>
          <w:szCs w:val="21"/>
          <w14:textFill>
            <w14:solidFill>
              <w14:schemeClr w14:val="tx1"/>
            </w14:solidFill>
          </w14:textFill>
        </w:rPr>
        <w:t>合同内容根据磋商文件、磋商响应文件而确定。</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3. </w:t>
      </w:r>
      <w:r>
        <w:rPr>
          <w:rFonts w:hint="eastAsia" w:ascii="宋体" w:hAnsi="宋体"/>
          <w:b/>
          <w:color w:val="000000" w:themeColor="text1"/>
          <w:szCs w:val="21"/>
          <w14:textFill>
            <w14:solidFill>
              <w14:schemeClr w14:val="tx1"/>
            </w14:solidFill>
          </w14:textFill>
        </w:rPr>
        <w:t>合同标的及金额</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3.1. </w:t>
      </w:r>
      <w:r>
        <w:rPr>
          <w:rFonts w:hint="eastAsia" w:ascii="宋体" w:hAnsi="宋体"/>
          <w:color w:val="000000" w:themeColor="text1"/>
          <w:szCs w:val="21"/>
          <w14:textFill>
            <w14:solidFill>
              <w14:schemeClr w14:val="tx1"/>
            </w14:solidFill>
          </w14:textFill>
        </w:rPr>
        <w:t>合同标的及金额应与中标结果一致。</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4. </w:t>
      </w:r>
      <w:r>
        <w:rPr>
          <w:rFonts w:hint="eastAsia" w:ascii="宋体" w:hAnsi="宋体"/>
          <w:b/>
          <w:color w:val="000000" w:themeColor="text1"/>
          <w:szCs w:val="21"/>
          <w14:textFill>
            <w14:solidFill>
              <w14:schemeClr w14:val="tx1"/>
            </w14:solidFill>
          </w14:textFill>
        </w:rPr>
        <w:t>合同价款</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4.1. </w:t>
      </w:r>
      <w:r>
        <w:rPr>
          <w:rFonts w:hint="eastAsia" w:ascii="宋体" w:hAnsi="宋体"/>
          <w:color w:val="000000" w:themeColor="text1"/>
          <w:szCs w:val="21"/>
          <w14:textFill>
            <w14:solidFill>
              <w14:schemeClr w14:val="tx1"/>
            </w14:solidFill>
          </w14:textFill>
        </w:rPr>
        <w:t>乙方为履行本合同而发生的所有费用均应包含在合同价款中，甲方不再另行支付其它任何费用。</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5. </w:t>
      </w:r>
      <w:r>
        <w:rPr>
          <w:rFonts w:hint="eastAsia" w:ascii="宋体" w:hAnsi="宋体"/>
          <w:b/>
          <w:color w:val="000000" w:themeColor="text1"/>
          <w:szCs w:val="21"/>
          <w14:textFill>
            <w14:solidFill>
              <w14:schemeClr w14:val="tx1"/>
            </w14:solidFill>
          </w14:textFill>
        </w:rPr>
        <w:t>履行合同的时间、地点和方式</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5.1. </w:t>
      </w:r>
      <w:r>
        <w:rPr>
          <w:rFonts w:hint="eastAsia" w:ascii="宋体" w:hAnsi="宋体"/>
          <w:color w:val="000000" w:themeColor="text1"/>
          <w:szCs w:val="21"/>
          <w14:textFill>
            <w14:solidFill>
              <w14:schemeClr w14:val="tx1"/>
            </w14:solidFill>
          </w14:textFill>
        </w:rPr>
        <w:t>乙方应当在甲方确定的时间、指定的地点履行合同。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5.2. </w:t>
      </w:r>
      <w:r>
        <w:rPr>
          <w:rFonts w:hint="eastAsia" w:ascii="宋体" w:hAnsi="宋体"/>
          <w:color w:val="000000" w:themeColor="text1"/>
          <w:szCs w:val="21"/>
          <w14:textFill>
            <w14:solidFill>
              <w14:schemeClr w14:val="tx1"/>
            </w14:solidFill>
          </w14:textFill>
        </w:rPr>
        <w:t>乙方提供服务的应当在甲方指定的地点完成服务项目。</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6. </w:t>
      </w:r>
      <w:r>
        <w:rPr>
          <w:rFonts w:hint="eastAsia" w:ascii="宋体" w:hAnsi="宋体"/>
          <w:b/>
          <w:color w:val="000000" w:themeColor="text1"/>
          <w:szCs w:val="21"/>
          <w14:textFill>
            <w14:solidFill>
              <w14:schemeClr w14:val="tx1"/>
            </w14:solidFill>
          </w14:textFill>
        </w:rPr>
        <w:t>货物的验收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6.1. </w:t>
      </w:r>
      <w:r>
        <w:rPr>
          <w:rFonts w:hint="eastAsia" w:ascii="宋体" w:hAnsi="宋体"/>
          <w:color w:val="000000" w:themeColor="text1"/>
          <w:szCs w:val="21"/>
          <w14:textFill>
            <w14:solidFill>
              <w14:schemeClr w14:val="tx1"/>
            </w14:solidFill>
          </w14:textFill>
        </w:rPr>
        <w:t>甲方在收到乙方交付的货物后应当及时组织验收。</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6.2. </w:t>
      </w:r>
      <w:r>
        <w:rPr>
          <w:rFonts w:hint="eastAsia" w:ascii="宋体" w:hAnsi="宋体"/>
          <w:color w:val="000000" w:themeColor="text1"/>
          <w:szCs w:val="21"/>
          <w14:textFill>
            <w14:solidFill>
              <w14:schemeClr w14:val="tx1"/>
            </w14:solidFill>
          </w14:textFill>
        </w:rPr>
        <w:t>货物的表面瑕疵，甲方应在验收时当面提出；对质量问题有异议的应在安装调试后十个工作日内提出。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6.3. </w:t>
      </w:r>
      <w:r>
        <w:rPr>
          <w:rFonts w:hint="eastAsia" w:ascii="宋体" w:hAnsi="宋体"/>
          <w:color w:val="000000" w:themeColor="text1"/>
          <w:szCs w:val="21"/>
          <w14:textFill>
            <w14:solidFill>
              <w14:schemeClr w14:val="tx1"/>
            </w14:solidFill>
          </w14:textFill>
        </w:rPr>
        <w:t>在验收过程中发现数量不足或有质量、技术等问题，乙方应负责按照甲方的要求采取补足、更换或退货等处理措施，并承担由此发生的一切费用和损失。</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6.4. </w:t>
      </w:r>
      <w:r>
        <w:rPr>
          <w:rFonts w:hint="eastAsia" w:ascii="宋体" w:hAnsi="宋体"/>
          <w:color w:val="000000" w:themeColor="text1"/>
          <w:szCs w:val="21"/>
          <w14:textFill>
            <w14:solidFill>
              <w14:schemeClr w14:val="tx1"/>
            </w14:solidFill>
          </w14:textFill>
        </w:rPr>
        <w:t>甲方在乙方按合同规定交货或安装、调试后，无正当理由而拖延接收、验收或拒绝接收、验收的，应承担因此给乙方造成的直接损失。</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6.5. </w:t>
      </w:r>
      <w:r>
        <w:rPr>
          <w:rFonts w:hint="eastAsia" w:ascii="宋体" w:hAnsi="宋体"/>
          <w:color w:val="000000" w:themeColor="text1"/>
          <w:szCs w:val="21"/>
          <w14:textFill>
            <w14:solidFill>
              <w14:schemeClr w14:val="tx1"/>
            </w14:solidFill>
          </w14:textFill>
        </w:rPr>
        <w:t>甲方对货物进行检查验收合格后，应当收取发票并在《交货验收单》上签署验收意见及加盖单位印章。</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6.6. </w:t>
      </w:r>
      <w:r>
        <w:rPr>
          <w:rFonts w:hint="eastAsia" w:ascii="宋体" w:hAnsi="宋体"/>
          <w:color w:val="000000" w:themeColor="text1"/>
          <w:szCs w:val="21"/>
          <w14:textFill>
            <w14:solidFill>
              <w14:schemeClr w14:val="tx1"/>
            </w14:solidFill>
          </w14:textFill>
        </w:rPr>
        <w:t>大型或者复杂的货物采购项目，甲方可以邀请国家认可的质量检测机构参加验收工作，并由其出具验收报告单。</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6.7. </w:t>
      </w:r>
      <w:r>
        <w:rPr>
          <w:rFonts w:hint="eastAsia" w:ascii="宋体" w:hAnsi="宋体"/>
          <w:color w:val="000000" w:themeColor="text1"/>
          <w:szCs w:val="21"/>
          <w14:textFill>
            <w14:solidFill>
              <w14:schemeClr w14:val="tx1"/>
            </w14:solidFill>
          </w14:textFill>
        </w:rPr>
        <w:t>乙方提供的进口产品，乙方应出示中华人民共和国进出口商品检验部门出具的检验证书（磋商文件</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“技术规格、参数及要求”另有约定的除外）。</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7. </w:t>
      </w:r>
      <w:r>
        <w:rPr>
          <w:rFonts w:hint="eastAsia" w:ascii="宋体" w:hAnsi="宋体"/>
          <w:b/>
          <w:color w:val="000000" w:themeColor="text1"/>
          <w:szCs w:val="21"/>
          <w14:textFill>
            <w14:solidFill>
              <w14:schemeClr w14:val="tx1"/>
            </w14:solidFill>
          </w14:textFill>
        </w:rPr>
        <w:t>货物包装要求</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7.1. </w:t>
      </w:r>
      <w:r>
        <w:rPr>
          <w:rFonts w:hint="eastAsia" w:ascii="宋体" w:hAnsi="宋体"/>
          <w:color w:val="000000" w:themeColor="text1"/>
          <w:szCs w:val="21"/>
          <w14:textFill>
            <w14:solidFill>
              <w14:schemeClr w14:val="tx1"/>
            </w14:solidFill>
          </w14:textFill>
        </w:rPr>
        <w:t>乙方所出售的全部货物均应按标准保护措施进行包装，包装应适应于远距离运输、防潮、防震、防锈和防野蛮装卸等要求，以确保货物安全无损地运抵指定现场。由于包装防护措施不妥而引起的损坏、丢失由乙方负责。</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7.2. </w:t>
      </w:r>
      <w:r>
        <w:rPr>
          <w:rFonts w:hint="eastAsia" w:ascii="宋体" w:hAnsi="宋体"/>
          <w:color w:val="000000" w:themeColor="text1"/>
          <w:szCs w:val="21"/>
          <w14:textFill>
            <w14:solidFill>
              <w14:schemeClr w14:val="tx1"/>
            </w14:solidFill>
          </w14:textFill>
        </w:rPr>
        <w:t>每一个包装箱内应附一份详细装箱单、质量证书和保修保养证书。</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8. </w:t>
      </w:r>
      <w:r>
        <w:rPr>
          <w:rFonts w:hint="eastAsia" w:ascii="宋体" w:hAnsi="宋体"/>
          <w:b/>
          <w:color w:val="000000" w:themeColor="text1"/>
          <w:szCs w:val="21"/>
          <w14:textFill>
            <w14:solidFill>
              <w14:schemeClr w14:val="tx1"/>
            </w14:solidFill>
          </w14:textFill>
        </w:rPr>
        <w:t>运输和保险</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8.1. </w:t>
      </w:r>
      <w:r>
        <w:rPr>
          <w:rFonts w:hint="eastAsia" w:ascii="宋体" w:hAnsi="宋体"/>
          <w:color w:val="000000" w:themeColor="text1"/>
          <w:szCs w:val="21"/>
          <w14:textFill>
            <w14:solidFill>
              <w14:schemeClr w14:val="tx1"/>
            </w14:solidFill>
          </w14:textFill>
        </w:rPr>
        <w:t>乙方负责办理将货物运抵交货地点的一切运输和保险事项，相关费用应包括在合同总价中。</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9. </w:t>
      </w:r>
      <w:r>
        <w:rPr>
          <w:rFonts w:hint="eastAsia" w:ascii="宋体" w:hAnsi="宋体"/>
          <w:b/>
          <w:color w:val="000000" w:themeColor="text1"/>
          <w:szCs w:val="21"/>
          <w14:textFill>
            <w14:solidFill>
              <w14:schemeClr w14:val="tx1"/>
            </w14:solidFill>
          </w14:textFill>
        </w:rPr>
        <w:t>质量标准和保证</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9.1. </w:t>
      </w:r>
      <w:r>
        <w:rPr>
          <w:rFonts w:hint="eastAsia" w:ascii="宋体" w:hAnsi="宋体"/>
          <w:color w:val="000000" w:themeColor="text1"/>
          <w:szCs w:val="21"/>
          <w14:textFill>
            <w14:solidFill>
              <w14:schemeClr w14:val="tx1"/>
            </w14:solidFill>
          </w14:textFill>
        </w:rPr>
        <w:t>质量标准</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）本合同下交付的货物应符合</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“技术规格、参数与要求”所述的标准。如果没有提及适用标准，则应符合中华人民共和国有关机构发布的最新版本的标准。</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）采用中华人民共和国法定计量单位。</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）乙方所出售的货物还应符合国家有关安全、环保、卫生之规定。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9.2. </w:t>
      </w:r>
      <w:r>
        <w:rPr>
          <w:rFonts w:hint="eastAsia" w:ascii="宋体" w:hAnsi="宋体"/>
          <w:color w:val="000000" w:themeColor="text1"/>
          <w:szCs w:val="21"/>
          <w14:textFill>
            <w14:solidFill>
              <w14:schemeClr w14:val="tx1"/>
            </w14:solidFill>
          </w14:textFill>
        </w:rPr>
        <w:t>保证</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磋商文件规定或乙方承诺（两者以较长的为准）的质量保证期内，本保证保持有效。</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）在质量保证期内所发现的缺陷，甲方应尽快以书面形式通知乙方。</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）乙方收到通知后应在磋商文件规定或乙方承诺（两者以较长的为准）的响应时间内以合理的速度免费维修或更换有缺陷的货物或部件。</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）在质量保证期内，如果货物的质量或规格与合同不符，或证实货物是有缺陷的，包括潜在的缺陷或使用不符合要求的材料等，甲方可以根据本合同第</w:t>
      </w:r>
      <w:r>
        <w:rPr>
          <w:rFonts w:ascii="宋体" w:hAnsi="宋体"/>
          <w:color w:val="000000" w:themeColor="text1"/>
          <w:szCs w:val="21"/>
          <w14:textFill>
            <w14:solidFill>
              <w14:schemeClr w14:val="tx1"/>
            </w14:solidFill>
          </w14:textFill>
        </w:rPr>
        <w:t>15.1</w:t>
      </w:r>
      <w:r>
        <w:rPr>
          <w:rFonts w:hint="eastAsia" w:ascii="宋体" w:hAnsi="宋体"/>
          <w:color w:val="000000" w:themeColor="text1"/>
          <w:szCs w:val="21"/>
          <w14:textFill>
            <w14:solidFill>
              <w14:schemeClr w14:val="tx1"/>
            </w14:solidFill>
          </w14:textFill>
        </w:rPr>
        <w:t>条规定以书面形式向乙方提出补救措施或索赔。</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）乙方在约定的时间内未能弥补缺陷，甲方可采取必要的补救措施，但其风险和费用将由乙方承担，甲方根据合同规定对乙方行使的其他权利不受影响。</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（6）乙方向甲方缴纳5%的质量保证金</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10. </w:t>
      </w:r>
      <w:r>
        <w:rPr>
          <w:rFonts w:hint="eastAsia" w:ascii="宋体" w:hAnsi="宋体"/>
          <w:b/>
          <w:color w:val="000000" w:themeColor="text1"/>
          <w:szCs w:val="21"/>
          <w14:textFill>
            <w14:solidFill>
              <w14:schemeClr w14:val="tx1"/>
            </w14:solidFill>
          </w14:textFill>
        </w:rPr>
        <w:t>权利瑕疵担保</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10.1. </w:t>
      </w:r>
      <w:r>
        <w:rPr>
          <w:rFonts w:hint="eastAsia" w:ascii="宋体" w:hAnsi="宋体"/>
          <w:color w:val="000000" w:themeColor="text1"/>
          <w:szCs w:val="21"/>
          <w14:textFill>
            <w14:solidFill>
              <w14:schemeClr w14:val="tx1"/>
            </w14:solidFill>
          </w14:textFill>
        </w:rPr>
        <w:t>乙方保证对其出售的货物享有合法的权利。</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10.2. </w:t>
      </w:r>
      <w:r>
        <w:rPr>
          <w:rFonts w:hint="eastAsia" w:ascii="宋体" w:hAnsi="宋体"/>
          <w:color w:val="000000" w:themeColor="text1"/>
          <w:szCs w:val="21"/>
          <w14:textFill>
            <w14:solidFill>
              <w14:schemeClr w14:val="tx1"/>
            </w14:solidFill>
          </w14:textFill>
        </w:rPr>
        <w:t>乙方保证在其出售的货物上不存在任何未曾向甲方透露的担保物权，如抵押权、质押权、留置权等。</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10.3. </w:t>
      </w:r>
      <w:r>
        <w:rPr>
          <w:rFonts w:hint="eastAsia" w:ascii="宋体" w:hAnsi="宋体"/>
          <w:color w:val="000000" w:themeColor="text1"/>
          <w:szCs w:val="21"/>
          <w14:textFill>
            <w14:solidFill>
              <w14:schemeClr w14:val="tx1"/>
            </w14:solidFill>
          </w14:textFill>
        </w:rPr>
        <w:t>如甲方使用该货物构成上述侵权的，则由乙方承担全部责任。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11. </w:t>
      </w:r>
      <w:r>
        <w:rPr>
          <w:rFonts w:hint="eastAsia" w:ascii="宋体" w:hAnsi="宋体"/>
          <w:b/>
          <w:color w:val="000000" w:themeColor="text1"/>
          <w:szCs w:val="21"/>
          <w14:textFill>
            <w14:solidFill>
              <w14:schemeClr w14:val="tx1"/>
            </w14:solidFill>
          </w14:textFill>
        </w:rPr>
        <w:t>知识产权保护</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11.1. </w:t>
      </w:r>
      <w:r>
        <w:rPr>
          <w:rFonts w:hint="eastAsia" w:ascii="宋体" w:hAnsi="宋体"/>
          <w:color w:val="000000" w:themeColor="text1"/>
          <w:szCs w:val="21"/>
          <w14:textFill>
            <w14:solidFill>
              <w14:schemeClr w14:val="tx1"/>
            </w14:solidFill>
          </w14:textFill>
        </w:rPr>
        <w:t>乙方对其所销售的货物应当享有知识产权或经权利人合法授权，保证没有侵犯任何第三人的知识产权和商业秘密等权利。</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11.2. </w:t>
      </w:r>
      <w:r>
        <w:rPr>
          <w:rFonts w:hint="eastAsia" w:ascii="宋体" w:hAnsi="宋体"/>
          <w:color w:val="000000" w:themeColor="text1"/>
          <w:szCs w:val="21"/>
          <w14:textFill>
            <w14:solidFill>
              <w14:schemeClr w14:val="tx1"/>
            </w14:solidFill>
          </w14:textFill>
        </w:rPr>
        <w:t>甲方使用乙方提供的货物对第三人构成侵权的，应当由乙方承担全部法律责任，给甲方造成损害的，乙方应当承担赔偿责任。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11.3. </w:t>
      </w:r>
      <w:r>
        <w:rPr>
          <w:rFonts w:hint="eastAsia" w:ascii="宋体" w:hAnsi="宋体"/>
          <w:color w:val="000000" w:themeColor="text1"/>
          <w:szCs w:val="21"/>
          <w14:textFill>
            <w14:solidFill>
              <w14:schemeClr w14:val="tx1"/>
            </w14:solidFill>
          </w14:textFill>
        </w:rPr>
        <w:t>甲方委托乙方开发的产品，甲方享有知识产权，未经甲方许可不得转让任何第三人。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12. </w:t>
      </w:r>
      <w:r>
        <w:rPr>
          <w:rFonts w:hint="eastAsia" w:ascii="宋体" w:hAnsi="宋体"/>
          <w:b/>
          <w:color w:val="000000" w:themeColor="text1"/>
          <w:szCs w:val="21"/>
          <w14:textFill>
            <w14:solidFill>
              <w14:schemeClr w14:val="tx1"/>
            </w14:solidFill>
          </w14:textFill>
        </w:rPr>
        <w:t>保密义务</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12.1. </w:t>
      </w:r>
      <w:r>
        <w:rPr>
          <w:rFonts w:hint="eastAsia" w:ascii="宋体" w:hAnsi="宋体"/>
          <w:color w:val="000000" w:themeColor="text1"/>
          <w:szCs w:val="21"/>
          <w14:textFill>
            <w14:solidFill>
              <w14:schemeClr w14:val="tx1"/>
            </w14:solidFill>
          </w14:textFill>
        </w:rPr>
        <w:t>甲、乙双方在采购和履行合同过程中所获悉的对方属于保密的内容，双方均有保密义务</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13. </w:t>
      </w:r>
      <w:r>
        <w:rPr>
          <w:rFonts w:hint="eastAsia" w:ascii="宋体" w:hAnsi="宋体"/>
          <w:b/>
          <w:color w:val="000000" w:themeColor="text1"/>
          <w:szCs w:val="21"/>
          <w14:textFill>
            <w14:solidFill>
              <w14:schemeClr w14:val="tx1"/>
            </w14:solidFill>
          </w14:textFill>
        </w:rPr>
        <w:t>合同价款支付</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13.1. </w:t>
      </w:r>
      <w:r>
        <w:rPr>
          <w:rFonts w:hint="eastAsia" w:ascii="宋体" w:hAnsi="宋体"/>
          <w:color w:val="000000" w:themeColor="text1"/>
          <w:szCs w:val="21"/>
          <w14:textFill>
            <w14:solidFill>
              <w14:schemeClr w14:val="tx1"/>
            </w14:solidFill>
          </w14:textFill>
        </w:rPr>
        <w:t>验收合格后，乙方出具正规发票给甲方，凭甲方开具的《政府采购合同验收报告单》办理合同价款结算手续。</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13.2. </w:t>
      </w:r>
      <w:r>
        <w:rPr>
          <w:rFonts w:hint="eastAsia" w:ascii="宋体" w:hAnsi="宋体"/>
          <w:color w:val="000000" w:themeColor="text1"/>
          <w:szCs w:val="21"/>
          <w14:textFill>
            <w14:solidFill>
              <w14:schemeClr w14:val="tx1"/>
            </w14:solidFill>
          </w14:textFill>
        </w:rPr>
        <w:t>支付合同价款时，一律不向乙方以外的任何第三方办理付款手续。开户行和帐号以签订的政府采购合同为准，如果乙方要求变更，则乙方必须提供加盖了财务专用章、法定代表人签字的证明文件，报经甲方审查同意。</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14. </w:t>
      </w:r>
      <w:r>
        <w:rPr>
          <w:rFonts w:hint="eastAsia" w:ascii="宋体" w:hAnsi="宋体"/>
          <w:b/>
          <w:color w:val="000000" w:themeColor="text1"/>
          <w:szCs w:val="21"/>
          <w14:textFill>
            <w14:solidFill>
              <w14:schemeClr w14:val="tx1"/>
            </w14:solidFill>
          </w14:textFill>
        </w:rPr>
        <w:t>伴随服务</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14.1. </w:t>
      </w:r>
      <w:r>
        <w:rPr>
          <w:rFonts w:hint="eastAsia" w:ascii="宋体" w:hAnsi="宋体"/>
          <w:color w:val="000000" w:themeColor="text1"/>
          <w:szCs w:val="21"/>
          <w14:textFill>
            <w14:solidFill>
              <w14:schemeClr w14:val="tx1"/>
            </w14:solidFill>
          </w14:textFill>
        </w:rPr>
        <w:t>乙方应向甲方提交所提供货物的技术文件，包括相应的中文技术文件，如：产品目录、图纸、操作手册、使用说明、维护手册或服务指南。这些文件应包装好随同货物一起发运。</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14.2. </w:t>
      </w:r>
      <w:r>
        <w:rPr>
          <w:rFonts w:hint="eastAsia" w:ascii="宋体" w:hAnsi="宋体"/>
          <w:color w:val="000000" w:themeColor="text1"/>
          <w:szCs w:val="21"/>
          <w14:textFill>
            <w14:solidFill>
              <w14:schemeClr w14:val="tx1"/>
            </w14:solidFill>
          </w14:textFill>
        </w:rPr>
        <w:t>乙方还应提供下列服务：</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）货物的现场移动、安装、调试、启动监督及技术支持；</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）提供货物组装和维修所需的专用工具和辅助材料；</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）在合同各方商定的一定期限内对所有的货物实施运行监督、维修，但前提条件是该服务并不能免除乙方在质量保证期内所承担的义务；</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）在制造商或项目现场就货物的安装、启动、运营、维护对甲方操作人员进行培训。</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14.3. </w:t>
      </w:r>
      <w:r>
        <w:rPr>
          <w:rFonts w:hint="eastAsia" w:ascii="宋体" w:hAnsi="宋体"/>
          <w:color w:val="000000" w:themeColor="text1"/>
          <w:szCs w:val="21"/>
          <w14:textFill>
            <w14:solidFill>
              <w14:schemeClr w14:val="tx1"/>
            </w14:solidFill>
          </w14:textFill>
        </w:rPr>
        <w:t>乙方提供的伴随服务的费用应包含在合同价款中，甲方不再另行支付。</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15. </w:t>
      </w:r>
      <w:r>
        <w:rPr>
          <w:rFonts w:hint="eastAsia" w:ascii="宋体" w:hAnsi="宋体"/>
          <w:b/>
          <w:color w:val="000000" w:themeColor="text1"/>
          <w:szCs w:val="21"/>
          <w14:textFill>
            <w14:solidFill>
              <w14:schemeClr w14:val="tx1"/>
            </w14:solidFill>
          </w14:textFill>
        </w:rPr>
        <w:t>违约责任</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15.1. </w:t>
      </w:r>
      <w:r>
        <w:rPr>
          <w:rFonts w:hint="eastAsia" w:ascii="宋体" w:hAnsi="宋体"/>
          <w:color w:val="000000" w:themeColor="text1"/>
          <w:szCs w:val="21"/>
          <w14:textFill>
            <w14:solidFill>
              <w14:schemeClr w14:val="tx1"/>
            </w14:solidFill>
          </w14:textFill>
        </w:rPr>
        <w:t>质量瑕疵的补救措施和索赔</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）如果乙方提供的产品不符合质量标准或存在产品质量缺陷，而甲方在合同条款第</w:t>
      </w: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条或合同的其他条款规定的检验、安装、调试、验收和质量保证期内，根据法定质量检测部门出具的检验证书向乙方提出了索赔，乙方应按照甲方同意的下列一种或几种方式结合起来解决索赔事宜：</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①乙方同意退货并将货款退还给甲方，由此发生的一切费用和损失由乙方承担。</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②根据货物的质量状况以及甲方所遭受的损失，经过甲乙双方商定降低货物的价格。</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③乙方应在接到甲方通知后七日内负责采用符合合同规定的规格、质量和性能要求的新零件、部件和设备来更换有缺陷的部分或修补缺陷部分，其费用由乙方负担。</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同时，乙方应在约定的质量保证期基础上相应延长修补和更换件的质量保证期。</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15.2. </w:t>
      </w:r>
      <w:r>
        <w:rPr>
          <w:rFonts w:hint="eastAsia" w:ascii="宋体" w:hAnsi="宋体"/>
          <w:color w:val="000000" w:themeColor="text1"/>
          <w:szCs w:val="21"/>
          <w14:textFill>
            <w14:solidFill>
              <w14:schemeClr w14:val="tx1"/>
            </w14:solidFill>
          </w14:textFill>
        </w:rPr>
        <w:t>迟延交货的违约责任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）除本合同第</w:t>
      </w:r>
      <w:r>
        <w:rPr>
          <w:rFonts w:ascii="宋体" w:hAnsi="宋体"/>
          <w:color w:val="000000" w:themeColor="text1"/>
          <w:szCs w:val="21"/>
          <w14:textFill>
            <w14:solidFill>
              <w14:schemeClr w14:val="tx1"/>
            </w14:solidFill>
          </w14:textFill>
        </w:rPr>
        <w:t>20</w:t>
      </w:r>
      <w:r>
        <w:rPr>
          <w:rFonts w:hint="eastAsia" w:ascii="宋体" w:hAnsi="宋体"/>
          <w:color w:val="000000" w:themeColor="text1"/>
          <w:szCs w:val="21"/>
          <w14:textFill>
            <w14:solidFill>
              <w14:schemeClr w14:val="tx1"/>
            </w14:solidFill>
          </w14:textFill>
        </w:rPr>
        <w:t>条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w:t>
      </w:r>
      <w:r>
        <w:rPr>
          <w:rFonts w:ascii="宋体" w:hAnsi="宋体"/>
          <w:color w:val="000000" w:themeColor="text1"/>
          <w:szCs w:val="21"/>
          <w14:textFill>
            <w14:solidFill>
              <w14:schemeClr w14:val="tx1"/>
            </w14:solidFill>
          </w14:textFill>
        </w:rPr>
        <w:t>0.5%</w:t>
      </w:r>
      <w:r>
        <w:rPr>
          <w:rFonts w:hint="eastAsia" w:ascii="宋体" w:hAnsi="宋体"/>
          <w:color w:val="000000" w:themeColor="text1"/>
          <w:szCs w:val="21"/>
          <w14:textFill>
            <w14:solidFill>
              <w14:schemeClr w14:val="tx1"/>
            </w14:solidFill>
          </w14:textFill>
        </w:rPr>
        <w:t>）计收，直至交货或提供服务为止。但误期赔偿费的最高限额不超过合同价的百分之五（</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）。一旦达到误期赔偿的最高限额，甲方可以终止合同。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）如果乙方迟延交货，甲方有权终止全部或部分合同，并依其认为适当的条件和方法购买与未交货物类似的货物，乙方应对购买类似货物所超出的那部分费用负责。但是，乙方应继续执行合同中未终止的部分。</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16. </w:t>
      </w:r>
      <w:r>
        <w:rPr>
          <w:rFonts w:hint="eastAsia" w:ascii="宋体" w:hAnsi="宋体"/>
          <w:b/>
          <w:color w:val="000000" w:themeColor="text1"/>
          <w:szCs w:val="21"/>
          <w14:textFill>
            <w14:solidFill>
              <w14:schemeClr w14:val="tx1"/>
            </w14:solidFill>
          </w14:textFill>
        </w:rPr>
        <w:t>合同的变更</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16.1. </w:t>
      </w:r>
      <w:r>
        <w:rPr>
          <w:rFonts w:hint="eastAsia" w:ascii="宋体" w:hAnsi="宋体"/>
          <w:color w:val="000000" w:themeColor="text1"/>
          <w:szCs w:val="21"/>
          <w14:textFill>
            <w14:solidFill>
              <w14:schemeClr w14:val="tx1"/>
            </w14:solidFill>
          </w14:textFill>
        </w:rPr>
        <w:t>在合同履行过程中，甲、乙双方可就合同履行的时间、地点和方式等协商进行变更。协商一致后，双方应签订书面的补充协议。</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16.2. </w:t>
      </w:r>
      <w:r>
        <w:rPr>
          <w:rFonts w:hint="eastAsia" w:ascii="宋体" w:hAnsi="宋体"/>
          <w:color w:val="000000" w:themeColor="text1"/>
          <w:szCs w:val="21"/>
          <w14:textFill>
            <w14:solidFill>
              <w14:schemeClr w14:val="tx1"/>
            </w14:solidFill>
          </w14:textFill>
        </w:rPr>
        <w:t>在不改变合同其他条款的前提下，甲方有权在合同价款百分之十的范围内追加与合同标的相同的货物或服务，并就此与乙方签订补充合同，乙方不得拒绝。</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16.3. </w:t>
      </w:r>
      <w:r>
        <w:rPr>
          <w:rFonts w:hint="eastAsia" w:ascii="宋体" w:hAnsi="宋体"/>
          <w:color w:val="000000" w:themeColor="text1"/>
          <w:szCs w:val="21"/>
          <w14:textFill>
            <w14:solidFill>
              <w14:schemeClr w14:val="tx1"/>
            </w14:solidFill>
          </w14:textFill>
        </w:rPr>
        <w:t>除双方签署书面协议，并成为合同不可分割的一部分外，本合同条件不得有任何变更。</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17. </w:t>
      </w:r>
      <w:r>
        <w:rPr>
          <w:rFonts w:hint="eastAsia" w:ascii="宋体" w:hAnsi="宋体"/>
          <w:b/>
          <w:color w:val="000000" w:themeColor="text1"/>
          <w:szCs w:val="21"/>
          <w14:textFill>
            <w14:solidFill>
              <w14:schemeClr w14:val="tx1"/>
            </w14:solidFill>
          </w14:textFill>
        </w:rPr>
        <w:t>合同中止与终止</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17.1. </w:t>
      </w:r>
      <w:r>
        <w:rPr>
          <w:rFonts w:hint="eastAsia" w:ascii="宋体" w:hAnsi="宋体"/>
          <w:color w:val="000000" w:themeColor="text1"/>
          <w:szCs w:val="21"/>
          <w14:textFill>
            <w14:solidFill>
              <w14:schemeClr w14:val="tx1"/>
            </w14:solidFill>
          </w14:textFill>
        </w:rPr>
        <w:t>合同的中止</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）合同在履行过程中，因采购计划调整，甲方可以要求中止履行，待计划确定后继续履行；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）合同履行过程中因供应商就采购过程或结果提起投诉的，甲方认为有必要或财政部门责令中止的，应当中止合同的履行。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17.2. </w:t>
      </w:r>
      <w:r>
        <w:rPr>
          <w:rFonts w:hint="eastAsia" w:ascii="宋体" w:hAnsi="宋体"/>
          <w:color w:val="000000" w:themeColor="text1"/>
          <w:szCs w:val="21"/>
          <w14:textFill>
            <w14:solidFill>
              <w14:schemeClr w14:val="tx1"/>
            </w14:solidFill>
          </w14:textFill>
        </w:rPr>
        <w:t>合同的终止</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）合同因有效期限届满而终止；</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）乙方未能依照本合同约定条件履行合同，已构成根本性违约的，甲方有权终止本合同，并追究乙方的违约责任。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）如果乙方丧失履约能力或被宣告破产，甲方可在任何时候以书面形式通知乙方终止合同而不给乙方补偿。</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）如果乙方在履行合同过程中有不正当竞争行为，甲方有权解除合同，并按《中华人民共和国反不正当竞争法》规定由有关部门追究其法律责任。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）如果合同的履行将损害国家利益或社会公共利益，甲方有权终止合同的履行，给乙方造成损失的予以相应补偿。</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18. </w:t>
      </w:r>
      <w:r>
        <w:rPr>
          <w:rFonts w:hint="eastAsia" w:ascii="宋体" w:hAnsi="宋体"/>
          <w:b/>
          <w:color w:val="000000" w:themeColor="text1"/>
          <w:szCs w:val="21"/>
          <w14:textFill>
            <w14:solidFill>
              <w14:schemeClr w14:val="tx1"/>
            </w14:solidFill>
          </w14:textFill>
        </w:rPr>
        <w:t>合同转让和分包</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18.1. </w:t>
      </w:r>
      <w:r>
        <w:rPr>
          <w:rFonts w:hint="eastAsia" w:ascii="宋体" w:hAnsi="宋体"/>
          <w:color w:val="000000" w:themeColor="text1"/>
          <w:szCs w:val="21"/>
          <w14:textFill>
            <w14:solidFill>
              <w14:schemeClr w14:val="tx1"/>
            </w14:solidFill>
          </w14:textFill>
        </w:rPr>
        <w:t>乙方不得以任何形式将合同转包。</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18.2. </w:t>
      </w:r>
      <w:r>
        <w:rPr>
          <w:rFonts w:hint="eastAsia" w:ascii="宋体" w:hAnsi="宋体"/>
          <w:color w:val="000000" w:themeColor="text1"/>
          <w:szCs w:val="21"/>
          <w14:textFill>
            <w14:solidFill>
              <w14:schemeClr w14:val="tx1"/>
            </w14:solidFill>
          </w14:textFill>
        </w:rPr>
        <w:t>乙方未在磋商响应文件中说明，不得将合同的非主体、非关键性工作分包给他人。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18.3. </w:t>
      </w:r>
      <w:r>
        <w:rPr>
          <w:rFonts w:hint="eastAsia" w:ascii="宋体" w:hAnsi="宋体"/>
          <w:color w:val="000000" w:themeColor="text1"/>
          <w:szCs w:val="21"/>
          <w14:textFill>
            <w14:solidFill>
              <w14:schemeClr w14:val="tx1"/>
            </w14:solidFill>
          </w14:textFill>
        </w:rPr>
        <w:t>根据政府采购支持中小企业发展政策规定，经甲方同意，获得政府采购合同的大型企业可依法向中小企业分包。</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19. </w:t>
      </w:r>
      <w:r>
        <w:rPr>
          <w:rFonts w:hint="eastAsia" w:ascii="宋体" w:hAnsi="宋体"/>
          <w:b/>
          <w:color w:val="000000" w:themeColor="text1"/>
          <w:szCs w:val="21"/>
          <w14:textFill>
            <w14:solidFill>
              <w14:schemeClr w14:val="tx1"/>
            </w14:solidFill>
          </w14:textFill>
        </w:rPr>
        <w:t>不可抗力</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19.1. </w:t>
      </w:r>
      <w:r>
        <w:rPr>
          <w:rFonts w:hint="eastAsia" w:ascii="宋体" w:hAnsi="宋体"/>
          <w:color w:val="000000" w:themeColor="text1"/>
          <w:szCs w:val="21"/>
          <w14:textFill>
            <w14:solidFill>
              <w14:schemeClr w14:val="tx1"/>
            </w14:solidFill>
          </w14:textFill>
        </w:rPr>
        <w:t>不可抗力是指合同双方不可预见、不可避免、不可克服的自然灾害和社会事件。</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19.2. </w:t>
      </w:r>
      <w:r>
        <w:rPr>
          <w:rFonts w:hint="eastAsia" w:ascii="宋体" w:hAnsi="宋体"/>
          <w:color w:val="000000" w:themeColor="text1"/>
          <w:szCs w:val="21"/>
          <w14:textFill>
            <w14:solidFill>
              <w14:schemeClr w14:val="tx1"/>
            </w14:solidFill>
          </w14:textFill>
        </w:rPr>
        <w:t>任何一方对由于不可抗力造成的部分或全部不能履行合同不承担违约责任。但迟延履行后发生不可抗力的，不能免除责任。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19.3. </w:t>
      </w:r>
      <w:r>
        <w:rPr>
          <w:rFonts w:hint="eastAsia" w:ascii="宋体" w:hAnsi="宋体"/>
          <w:color w:val="000000" w:themeColor="text1"/>
          <w:szCs w:val="21"/>
          <w14:textFill>
            <w14:solidFill>
              <w14:schemeClr w14:val="tx1"/>
            </w14:solidFill>
          </w14:textFill>
        </w:rPr>
        <w:t>遇有不可抗力的一方，应在三日内将事件的情况以书面形式通知另一方，并在事件发生后十日内，向另一方提交合同不能履行或部分不能履行或需要延期履行理由的报告。</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20. </w:t>
      </w:r>
      <w:r>
        <w:rPr>
          <w:rFonts w:hint="eastAsia" w:ascii="宋体" w:hAnsi="宋体"/>
          <w:b/>
          <w:color w:val="000000" w:themeColor="text1"/>
          <w:szCs w:val="21"/>
          <w14:textFill>
            <w14:solidFill>
              <w14:schemeClr w14:val="tx1"/>
            </w14:solidFill>
          </w14:textFill>
        </w:rPr>
        <w:t>解决争议的方法</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20.1. </w:t>
      </w:r>
      <w:r>
        <w:rPr>
          <w:rFonts w:hint="eastAsia" w:ascii="宋体" w:hAnsi="宋体"/>
          <w:color w:val="000000" w:themeColor="text1"/>
          <w:szCs w:val="21"/>
          <w14:textFill>
            <w14:solidFill>
              <w14:schemeClr w14:val="tx1"/>
            </w14:solidFill>
          </w14:textFill>
        </w:rPr>
        <w:t>合同各方应通过友好协商，解决在执行合同过程中所发生的或与合同有关的一切争端。如从协商开始后十日内仍不能解决，可以向财政部门提请调解。</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20.2. </w:t>
      </w:r>
      <w:r>
        <w:rPr>
          <w:rFonts w:hint="eastAsia" w:ascii="宋体" w:hAnsi="宋体"/>
          <w:color w:val="000000" w:themeColor="text1"/>
          <w:szCs w:val="21"/>
          <w14:textFill>
            <w14:solidFill>
              <w14:schemeClr w14:val="tx1"/>
            </w14:solidFill>
          </w14:textFill>
        </w:rPr>
        <w:t>调解不成可以按下列方式之一提起仲裁或诉讼：</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）向甲方所在地仲裁机构提起仲裁；</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）向甲方所在地人民法院提起诉讼。</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20.3. </w:t>
      </w:r>
      <w:r>
        <w:rPr>
          <w:rFonts w:hint="eastAsia" w:ascii="宋体" w:hAnsi="宋体"/>
          <w:color w:val="000000" w:themeColor="text1"/>
          <w:szCs w:val="21"/>
          <w14:textFill>
            <w14:solidFill>
              <w14:schemeClr w14:val="tx1"/>
            </w14:solidFill>
          </w14:textFill>
        </w:rPr>
        <w:t>如仲裁或诉讼事项不影响合同其它部分的履行，则在仲裁或诉讼期间，除正在进行仲裁或诉讼的部分外，合同的其它部分应继续执行。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21. </w:t>
      </w:r>
      <w:r>
        <w:rPr>
          <w:rFonts w:hint="eastAsia" w:ascii="宋体" w:hAnsi="宋体"/>
          <w:b/>
          <w:color w:val="000000" w:themeColor="text1"/>
          <w:szCs w:val="21"/>
          <w14:textFill>
            <w14:solidFill>
              <w14:schemeClr w14:val="tx1"/>
            </w14:solidFill>
          </w14:textFill>
        </w:rPr>
        <w:t>法律适用</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21.1. </w:t>
      </w:r>
      <w:r>
        <w:rPr>
          <w:rFonts w:hint="eastAsia" w:ascii="宋体" w:hAnsi="宋体"/>
          <w:color w:val="000000" w:themeColor="text1"/>
          <w:szCs w:val="21"/>
          <w14:textFill>
            <w14:solidFill>
              <w14:schemeClr w14:val="tx1"/>
            </w14:solidFill>
          </w14:textFill>
        </w:rPr>
        <w:t>本合同适用中华人民共和国现行法律、行政法规和规章，如合同条款与法律、行政法规和规章不一致的，按照法律、行政法规和规章修改本合同。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22. </w:t>
      </w:r>
      <w:r>
        <w:rPr>
          <w:rFonts w:hint="eastAsia" w:ascii="宋体" w:hAnsi="宋体"/>
          <w:b/>
          <w:color w:val="000000" w:themeColor="text1"/>
          <w:szCs w:val="21"/>
          <w14:textFill>
            <w14:solidFill>
              <w14:schemeClr w14:val="tx1"/>
            </w14:solidFill>
          </w14:textFill>
        </w:rPr>
        <w:t>通知</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22.1. </w:t>
      </w:r>
      <w:r>
        <w:rPr>
          <w:rFonts w:hint="eastAsia" w:ascii="宋体" w:hAnsi="宋体"/>
          <w:color w:val="000000" w:themeColor="text1"/>
          <w:szCs w:val="21"/>
          <w14:textFill>
            <w14:solidFill>
              <w14:schemeClr w14:val="tx1"/>
            </w14:solidFill>
          </w14:textFill>
        </w:rPr>
        <w:t>本合同一方给另一方的通知均应采用书面形式，传真或快递送到对方的地址和办理签收手续。</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22.2. </w:t>
      </w:r>
      <w:r>
        <w:rPr>
          <w:rFonts w:hint="eastAsia" w:ascii="宋体" w:hAnsi="宋体"/>
          <w:color w:val="000000" w:themeColor="text1"/>
          <w:szCs w:val="21"/>
          <w14:textFill>
            <w14:solidFill>
              <w14:schemeClr w14:val="tx1"/>
            </w14:solidFill>
          </w14:textFill>
        </w:rPr>
        <w:t>通知以送到之日或通知书中规定的生效之日起生效，两者中以较迟之日为准。</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23. </w:t>
      </w:r>
      <w:r>
        <w:rPr>
          <w:rFonts w:hint="eastAsia" w:ascii="宋体" w:hAnsi="宋体"/>
          <w:b/>
          <w:color w:val="000000" w:themeColor="text1"/>
          <w:szCs w:val="21"/>
          <w14:textFill>
            <w14:solidFill>
              <w14:schemeClr w14:val="tx1"/>
            </w14:solidFill>
          </w14:textFill>
        </w:rPr>
        <w:t>合同生效</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23.1. </w:t>
      </w:r>
      <w:r>
        <w:rPr>
          <w:rFonts w:hint="eastAsia" w:ascii="宋体" w:hAnsi="宋体"/>
          <w:color w:val="000000" w:themeColor="text1"/>
          <w:szCs w:val="21"/>
          <w14:textFill>
            <w14:solidFill>
              <w14:schemeClr w14:val="tx1"/>
            </w14:solidFill>
          </w14:textFill>
        </w:rPr>
        <w:t>本合同在甲乙双方共同签字盖章后生效。</w:t>
      </w:r>
      <w:r>
        <w:rPr>
          <w:rFonts w:ascii="宋体" w:hAnsi="宋体" w:cs="宋体"/>
          <w:color w:val="000000" w:themeColor="text1"/>
          <w:kern w:val="0"/>
          <w:szCs w:val="21"/>
          <w14:textFill>
            <w14:solidFill>
              <w14:schemeClr w14:val="tx1"/>
            </w14:solidFill>
          </w14:textFill>
        </w:rPr>
        <w:t xml:space="preserve"> </w:t>
      </w:r>
    </w:p>
    <w:p>
      <w:pPr>
        <w:pStyle w:val="135"/>
        <w:jc w:val="both"/>
        <w:rPr>
          <w:rFonts w:hAnsi="宋体" w:cs="黑体"/>
          <w:b/>
          <w:color w:val="000000" w:themeColor="text1"/>
          <w:sz w:val="21"/>
          <w:szCs w:val="21"/>
          <w14:textFill>
            <w14:solidFill>
              <w14:schemeClr w14:val="tx1"/>
            </w14:solidFill>
          </w14:textFill>
        </w:rPr>
      </w:pPr>
    </w:p>
    <w:p>
      <w:pPr>
        <w:pStyle w:val="135"/>
        <w:jc w:val="center"/>
        <w:rPr>
          <w:rFonts w:hAnsi="宋体" w:cs="黑体"/>
          <w:b/>
          <w:color w:val="000000" w:themeColor="text1"/>
          <w:sz w:val="21"/>
          <w:szCs w:val="21"/>
          <w14:textFill>
            <w14:solidFill>
              <w14:schemeClr w14:val="tx1"/>
            </w14:solidFill>
          </w14:textFill>
        </w:rPr>
      </w:pPr>
    </w:p>
    <w:p>
      <w:pPr>
        <w:rPr>
          <w:rFonts w:hAnsi="宋体" w:cs="黑体"/>
          <w:b/>
          <w:color w:val="000000" w:themeColor="text1"/>
          <w:sz w:val="21"/>
          <w:szCs w:val="21"/>
          <w14:textFill>
            <w14:solidFill>
              <w14:schemeClr w14:val="tx1"/>
            </w14:solidFill>
          </w14:textFill>
        </w:rPr>
      </w:pPr>
      <w:r>
        <w:rPr>
          <w:rFonts w:hAnsi="宋体" w:cs="黑体"/>
          <w:b/>
          <w:color w:val="000000" w:themeColor="text1"/>
          <w:sz w:val="21"/>
          <w:szCs w:val="21"/>
          <w14:textFill>
            <w14:solidFill>
              <w14:schemeClr w14:val="tx1"/>
            </w14:solidFill>
          </w14:textFill>
        </w:rPr>
        <w:br w:type="page"/>
      </w:r>
    </w:p>
    <w:p>
      <w:pPr>
        <w:pStyle w:val="135"/>
        <w:jc w:val="center"/>
        <w:rPr>
          <w:rFonts w:hAnsi="宋体" w:cs="黑体"/>
          <w:b/>
          <w:color w:val="000000" w:themeColor="text1"/>
          <w:sz w:val="21"/>
          <w:szCs w:val="21"/>
          <w14:textFill>
            <w14:solidFill>
              <w14:schemeClr w14:val="tx1"/>
            </w14:solidFill>
          </w14:textFill>
        </w:rPr>
      </w:pPr>
    </w:p>
    <w:p>
      <w:pPr>
        <w:pStyle w:val="135"/>
        <w:jc w:val="center"/>
        <w:rPr>
          <w:rFonts w:hAnsi="宋体"/>
          <w:color w:val="000000" w:themeColor="text1"/>
          <w:sz w:val="21"/>
          <w:szCs w:val="21"/>
          <w14:textFill>
            <w14:solidFill>
              <w14:schemeClr w14:val="tx1"/>
            </w14:solidFill>
          </w14:textFill>
        </w:rPr>
      </w:pPr>
      <w:r>
        <w:rPr>
          <w:rFonts w:hint="eastAsia" w:hAnsi="宋体" w:cs="黑体"/>
          <w:b/>
          <w:color w:val="000000" w:themeColor="text1"/>
          <w:sz w:val="21"/>
          <w:szCs w:val="21"/>
          <w14:textFill>
            <w14:solidFill>
              <w14:schemeClr w14:val="tx1"/>
            </w14:solidFill>
          </w14:textFill>
        </w:rPr>
        <w:t>二、政府采购合同</w:t>
      </w:r>
    </w:p>
    <w:p>
      <w:pPr>
        <w:pStyle w:val="135"/>
        <w:spacing w:line="490" w:lineRule="exact"/>
        <w:ind w:firstLine="420" w:firstLineChars="200"/>
        <w:rPr>
          <w:rFonts w:hAnsi="宋体" w:cs="Times New Roman"/>
          <w:color w:val="000000" w:themeColor="text1"/>
          <w:kern w:val="2"/>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采购人（全称）：</w:t>
      </w:r>
      <w:r>
        <w:rPr>
          <w:rFonts w:hAnsi="宋体" w:cs="Times New Roman"/>
          <w:color w:val="000000" w:themeColor="text1"/>
          <w:kern w:val="2"/>
          <w:sz w:val="21"/>
          <w:szCs w:val="21"/>
          <w:u w:val="single"/>
          <w14:textFill>
            <w14:solidFill>
              <w14:schemeClr w14:val="tx1"/>
            </w14:solidFill>
          </w14:textFill>
        </w:rPr>
        <w:t xml:space="preserve">                    </w:t>
      </w:r>
      <w:r>
        <w:rPr>
          <w:rFonts w:hint="eastAsia" w:hAnsi="宋体" w:cs="Times New Roman"/>
          <w:color w:val="000000" w:themeColor="text1"/>
          <w:kern w:val="2"/>
          <w:sz w:val="21"/>
          <w:szCs w:val="21"/>
          <w14:textFill>
            <w14:solidFill>
              <w14:schemeClr w14:val="tx1"/>
            </w14:solidFill>
          </w14:textFill>
        </w:rPr>
        <w:t>（甲方）</w:t>
      </w:r>
      <w:r>
        <w:rPr>
          <w:rFonts w:hAnsi="宋体" w:cs="Times New Roman"/>
          <w:color w:val="000000" w:themeColor="text1"/>
          <w:kern w:val="2"/>
          <w:sz w:val="21"/>
          <w:szCs w:val="21"/>
          <w14:textFill>
            <w14:solidFill>
              <w14:schemeClr w14:val="tx1"/>
            </w14:solidFill>
          </w14:textFill>
        </w:rPr>
        <w:t xml:space="preserve"> </w:t>
      </w:r>
    </w:p>
    <w:p>
      <w:pPr>
        <w:pStyle w:val="135"/>
        <w:spacing w:line="400" w:lineRule="exact"/>
        <w:ind w:firstLine="420" w:firstLineChars="200"/>
        <w:rPr>
          <w:rFonts w:hint="eastAsia" w:hAnsi="宋体" w:cs="Times New Roman"/>
          <w:color w:val="000000" w:themeColor="text1"/>
          <w:kern w:val="2"/>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供应商（全称）：</w:t>
      </w:r>
      <w:r>
        <w:rPr>
          <w:rFonts w:hAnsi="宋体" w:cs="Times New Roman"/>
          <w:color w:val="000000" w:themeColor="text1"/>
          <w:kern w:val="2"/>
          <w:sz w:val="21"/>
          <w:szCs w:val="21"/>
          <w:u w:val="single"/>
          <w14:textFill>
            <w14:solidFill>
              <w14:schemeClr w14:val="tx1"/>
            </w14:solidFill>
          </w14:textFill>
        </w:rPr>
        <w:t xml:space="preserve">                    </w:t>
      </w:r>
      <w:r>
        <w:rPr>
          <w:rFonts w:hint="eastAsia" w:hAnsi="宋体" w:cs="Times New Roman"/>
          <w:color w:val="000000" w:themeColor="text1"/>
          <w:kern w:val="2"/>
          <w:sz w:val="21"/>
          <w:szCs w:val="21"/>
          <w14:textFill>
            <w14:solidFill>
              <w14:schemeClr w14:val="tx1"/>
            </w14:solidFill>
          </w14:textFill>
        </w:rPr>
        <w:t>（乙方）</w:t>
      </w:r>
    </w:p>
    <w:p>
      <w:pPr>
        <w:pStyle w:val="135"/>
        <w:spacing w:line="400" w:lineRule="exact"/>
        <w:ind w:firstLine="420" w:firstLineChars="200"/>
        <w:rPr>
          <w:rFonts w:hAnsi="宋体" w:cs="Times New Roman"/>
          <w:color w:val="000000" w:themeColor="text1"/>
          <w:kern w:val="2"/>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为了保护甲、乙双方合法权益，根据《中华人民共和国合同法》、《中华人民共和国政府采购法》及其他有关法律、法规、规章，双方签订本合同。</w:t>
      </w:r>
      <w:r>
        <w:rPr>
          <w:rFonts w:hAnsi="宋体" w:cs="Times New Roman"/>
          <w:color w:val="000000" w:themeColor="text1"/>
          <w:kern w:val="2"/>
          <w:sz w:val="21"/>
          <w:szCs w:val="21"/>
          <w14:textFill>
            <w14:solidFill>
              <w14:schemeClr w14:val="tx1"/>
            </w14:solidFill>
          </w14:textFill>
        </w:rPr>
        <w:t xml:space="preserve"> </w:t>
      </w:r>
    </w:p>
    <w:p>
      <w:pPr>
        <w:pStyle w:val="135"/>
        <w:spacing w:line="400" w:lineRule="exact"/>
        <w:ind w:firstLine="210" w:firstLineChars="100"/>
        <w:rPr>
          <w:rFonts w:hAnsi="宋体" w:cs="Times New Roman"/>
          <w:b/>
          <w:color w:val="000000" w:themeColor="text1"/>
          <w:kern w:val="2"/>
          <w:sz w:val="21"/>
          <w:szCs w:val="21"/>
          <w14:textFill>
            <w14:solidFill>
              <w14:schemeClr w14:val="tx1"/>
            </w14:solidFill>
          </w14:textFill>
        </w:rPr>
      </w:pPr>
      <w:r>
        <w:rPr>
          <w:rFonts w:hAnsi="宋体" w:cs="Times New Roman"/>
          <w:b/>
          <w:color w:val="000000" w:themeColor="text1"/>
          <w:kern w:val="2"/>
          <w:sz w:val="21"/>
          <w:szCs w:val="21"/>
          <w14:textFill>
            <w14:solidFill>
              <w14:schemeClr w14:val="tx1"/>
            </w14:solidFill>
          </w14:textFill>
        </w:rPr>
        <w:t>1.</w:t>
      </w:r>
      <w:r>
        <w:rPr>
          <w:rFonts w:hint="eastAsia" w:hAnsi="宋体" w:cs="Times New Roman"/>
          <w:b/>
          <w:color w:val="000000" w:themeColor="text1"/>
          <w:kern w:val="2"/>
          <w:sz w:val="21"/>
          <w:szCs w:val="21"/>
          <w14:textFill>
            <w14:solidFill>
              <w14:schemeClr w14:val="tx1"/>
            </w14:solidFill>
          </w14:textFill>
        </w:rPr>
        <w:t>合同标的及金额</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224"/>
        <w:gridCol w:w="1224"/>
        <w:gridCol w:w="1224"/>
        <w:gridCol w:w="1225"/>
        <w:gridCol w:w="1225"/>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224"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序号</w:t>
            </w:r>
          </w:p>
        </w:tc>
        <w:tc>
          <w:tcPr>
            <w:tcW w:w="1224"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标的名称</w:t>
            </w:r>
          </w:p>
        </w:tc>
        <w:tc>
          <w:tcPr>
            <w:tcW w:w="1224"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型号规格</w:t>
            </w:r>
          </w:p>
        </w:tc>
        <w:tc>
          <w:tcPr>
            <w:tcW w:w="1224"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数量</w:t>
            </w:r>
          </w:p>
        </w:tc>
        <w:tc>
          <w:tcPr>
            <w:tcW w:w="1225"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单价</w:t>
            </w:r>
          </w:p>
        </w:tc>
        <w:tc>
          <w:tcPr>
            <w:tcW w:w="1225"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总价</w:t>
            </w:r>
          </w:p>
        </w:tc>
        <w:tc>
          <w:tcPr>
            <w:tcW w:w="1226"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5"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5"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6"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5"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5"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6"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572" w:type="dxa"/>
            <w:gridSpan w:val="7"/>
            <w:vAlign w:val="center"/>
          </w:tcPr>
          <w:p>
            <w:pPr>
              <w:pStyle w:val="135"/>
              <w:spacing w:line="400" w:lineRule="exact"/>
              <w:jc w:val="both"/>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合同金额小写：</w:t>
            </w:r>
            <w:r>
              <w:rPr>
                <w:rFonts w:hAnsi="宋体"/>
                <w:color w:val="000000" w:themeColor="text1"/>
                <w:sz w:val="21"/>
                <w:szCs w:val="21"/>
                <w:u w:val="single"/>
                <w14:textFill>
                  <w14:solidFill>
                    <w14:schemeClr w14:val="tx1"/>
                  </w14:solidFill>
                </w14:textFill>
              </w:rPr>
              <w:t xml:space="preserve">                           </w:t>
            </w:r>
          </w:p>
          <w:p>
            <w:pPr>
              <w:autoSpaceDE w:val="0"/>
              <w:autoSpaceDN w:val="0"/>
              <w:adjustRightInd w:val="0"/>
              <w:spacing w:line="400" w:lineRule="exact"/>
              <w:ind w:firstLine="840" w:firstLineChars="4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大写：</w:t>
            </w:r>
            <w:r>
              <w:rPr>
                <w:rFonts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14:textFill>
                  <w14:solidFill>
                    <w14:schemeClr w14:val="tx1"/>
                  </w14:solidFill>
                </w14:textFill>
              </w:rPr>
              <w:t xml:space="preserve">      </w:t>
            </w:r>
          </w:p>
        </w:tc>
      </w:tr>
    </w:tbl>
    <w:p>
      <w:pPr>
        <w:spacing w:line="400" w:lineRule="exact"/>
        <w:ind w:firstLine="315" w:firstLineChars="150"/>
        <w:rPr>
          <w:rFonts w:ascii="宋体" w:hAnsi="宋体"/>
          <w:b/>
          <w:color w:val="000000" w:themeColor="text1"/>
          <w:szCs w:val="21"/>
          <w:u w:val="single"/>
          <w14:textFill>
            <w14:solidFill>
              <w14:schemeClr w14:val="tx1"/>
            </w14:solidFill>
          </w14:textFill>
        </w:rPr>
      </w:pPr>
      <w:r>
        <w:rPr>
          <w:rFonts w:ascii="宋体" w:hAnsi="宋体"/>
          <w:b/>
          <w:color w:val="000000" w:themeColor="text1"/>
          <w:szCs w:val="21"/>
          <w14:textFill>
            <w14:solidFill>
              <w14:schemeClr w14:val="tx1"/>
            </w14:solidFill>
          </w14:textFill>
        </w:rPr>
        <w:t>2.</w:t>
      </w:r>
      <w:r>
        <w:rPr>
          <w:rFonts w:hint="eastAsia" w:ascii="宋体" w:hAnsi="宋体"/>
          <w:b/>
          <w:color w:val="000000" w:themeColor="text1"/>
          <w:szCs w:val="21"/>
          <w14:textFill>
            <w14:solidFill>
              <w14:schemeClr w14:val="tx1"/>
            </w14:solidFill>
          </w14:textFill>
        </w:rPr>
        <w:t>履行合同的时间、地点及方式：</w:t>
      </w:r>
      <w:r>
        <w:rPr>
          <w:rFonts w:ascii="宋体" w:hAnsi="宋体"/>
          <w:b/>
          <w:color w:val="000000" w:themeColor="text1"/>
          <w:szCs w:val="21"/>
          <w:u w:val="single"/>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ascii="宋体" w:hAnsi="宋体"/>
          <w:b/>
          <w:color w:val="000000" w:themeColor="text1"/>
          <w:szCs w:val="21"/>
          <w14:textFill>
            <w14:solidFill>
              <w14:schemeClr w14:val="tx1"/>
            </w14:solidFill>
          </w14:textFill>
        </w:rPr>
        <w:t>3.</w:t>
      </w:r>
      <w:r>
        <w:rPr>
          <w:rFonts w:hint="eastAsia" w:ascii="宋体" w:hAnsi="宋体"/>
          <w:b/>
          <w:color w:val="000000" w:themeColor="text1"/>
          <w:szCs w:val="21"/>
          <w14:textFill>
            <w14:solidFill>
              <w14:schemeClr w14:val="tx1"/>
            </w14:solidFill>
          </w14:textFill>
        </w:rPr>
        <w:t>付款方式：</w:t>
      </w:r>
      <w:r>
        <w:rPr>
          <w:rFonts w:hint="eastAsia" w:ascii="宋体" w:hAnsi="宋体"/>
          <w:b/>
          <w:color w:val="000000" w:themeColor="text1"/>
          <w:szCs w:val="21"/>
          <w:u w:val="single"/>
          <w14:textFill>
            <w14:solidFill>
              <w14:schemeClr w14:val="tx1"/>
            </w14:solidFill>
          </w14:textFill>
        </w:rPr>
        <w:t xml:space="preserve">                                      </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 xml:space="preserve">                         </w:t>
      </w:r>
    </w:p>
    <w:p>
      <w:pPr>
        <w:spacing w:line="400" w:lineRule="exact"/>
        <w:ind w:firstLine="315" w:firstLineChars="150"/>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4.</w:t>
      </w:r>
      <w:r>
        <w:rPr>
          <w:rFonts w:hint="eastAsia" w:ascii="宋体" w:hAnsi="宋体"/>
          <w:b/>
          <w:color w:val="000000" w:themeColor="text1"/>
          <w:szCs w:val="21"/>
          <w14:textFill>
            <w14:solidFill>
              <w14:schemeClr w14:val="tx1"/>
            </w14:solidFill>
          </w14:textFill>
        </w:rPr>
        <w:t>解决合同纠纷方式</w:t>
      </w:r>
      <w:r>
        <w:rPr>
          <w:rFonts w:ascii="宋体" w:hAnsi="宋体"/>
          <w:b/>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首先通过双方协商解决，协商解决不成，则通过以下途径之一解决纠纷：</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提请仲裁</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向人民法院提起诉讼</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5.</w:t>
      </w:r>
      <w:r>
        <w:rPr>
          <w:rFonts w:hint="eastAsia" w:ascii="宋体" w:hAnsi="宋体"/>
          <w:b/>
          <w:color w:val="000000" w:themeColor="text1"/>
          <w:szCs w:val="21"/>
          <w14:textFill>
            <w14:solidFill>
              <w14:schemeClr w14:val="tx1"/>
            </w14:solidFill>
          </w14:textFill>
        </w:rPr>
        <w:t>组成合同的文件</w:t>
      </w:r>
      <w:r>
        <w:rPr>
          <w:rFonts w:ascii="宋体" w:hAnsi="宋体"/>
          <w:b/>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合同由以下文件构成，如下述文件之间有任何抵触、矛盾或歧义，应按以下顺序解释：</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（1）在采购或合同履行过程中乙方作出的承诺以及双方协商达成的变更或补充协议；</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）本合同协议书</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）中标通知书</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）合同格式条款</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）磋商响应文件</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）磋商文件</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）标准、规范及有关技术文件</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合同订立时间：</w:t>
      </w:r>
      <w:r>
        <w:rPr>
          <w:rFonts w:ascii="宋体" w:hAnsi="宋体"/>
          <w:b/>
          <w:color w:val="000000" w:themeColor="text1"/>
          <w:szCs w:val="21"/>
          <w:u w:val="single"/>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合同订立地点：</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方：（公章）</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委托代理人：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话：</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真：</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账 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乙</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方：（公章）</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委托代理人：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话：</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真：</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账 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widowControl/>
        <w:jc w:val="left"/>
        <w:rPr>
          <w:rFonts w:ascii="宋体" w:hAnsi="宋体" w:cs="黑体"/>
          <w:b/>
          <w:color w:val="000000" w:themeColor="text1"/>
          <w:kern w:val="0"/>
          <w:szCs w:val="21"/>
          <w14:textFill>
            <w14:solidFill>
              <w14:schemeClr w14:val="tx1"/>
            </w14:solidFill>
          </w14:textFill>
        </w:rPr>
      </w:pPr>
      <w:r>
        <w:rPr>
          <w:rFonts w:ascii="宋体" w:hAnsi="宋体" w:cs="黑体"/>
          <w:b/>
          <w:color w:val="000000" w:themeColor="text1"/>
          <w:kern w:val="0"/>
          <w:szCs w:val="21"/>
          <w14:textFill>
            <w14:solidFill>
              <w14:schemeClr w14:val="tx1"/>
            </w14:solidFill>
          </w14:textFill>
        </w:rPr>
        <w:br w:type="page"/>
      </w:r>
    </w:p>
    <w:p>
      <w:pPr>
        <w:autoSpaceDE w:val="0"/>
        <w:autoSpaceDN w:val="0"/>
        <w:adjustRightInd w:val="0"/>
        <w:jc w:val="center"/>
        <w:outlineLvl w:val="0"/>
        <w:rPr>
          <w:rFonts w:ascii="宋体" w:hAnsi="宋体" w:cs="宋体"/>
          <w:b/>
          <w:bCs/>
          <w:color w:val="000000" w:themeColor="text1"/>
          <w:kern w:val="0"/>
          <w:sz w:val="32"/>
          <w:szCs w:val="32"/>
          <w14:textFill>
            <w14:solidFill>
              <w14:schemeClr w14:val="tx1"/>
            </w14:solidFill>
          </w14:textFill>
        </w:rPr>
      </w:pPr>
      <w:bookmarkStart w:id="10" w:name="_Toc31493"/>
      <w:bookmarkStart w:id="11" w:name="_Toc19408"/>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七</w:t>
      </w:r>
      <w:r>
        <w:rPr>
          <w:rFonts w:hint="eastAsia" w:ascii="宋体" w:hAnsi="宋体" w:cs="宋体"/>
          <w:b/>
          <w:bCs/>
          <w:color w:val="000000" w:themeColor="text1"/>
          <w:kern w:val="0"/>
          <w:sz w:val="32"/>
          <w:szCs w:val="32"/>
          <w14:textFill>
            <w14:solidFill>
              <w14:schemeClr w14:val="tx1"/>
            </w14:solidFill>
          </w14:textFill>
        </w:rPr>
        <w:t>章</w:t>
      </w:r>
      <w:r>
        <w:rPr>
          <w:rFonts w:ascii="宋体" w:hAnsi="宋体" w:cs="宋体"/>
          <w:b/>
          <w:bCs/>
          <w:color w:val="000000" w:themeColor="text1"/>
          <w:kern w:val="0"/>
          <w:sz w:val="32"/>
          <w:szCs w:val="32"/>
          <w14:textFill>
            <w14:solidFill>
              <w14:schemeClr w14:val="tx1"/>
            </w14:solidFill>
          </w14:textFill>
        </w:rPr>
        <w:t xml:space="preserve"> </w:t>
      </w:r>
      <w:r>
        <w:rPr>
          <w:rFonts w:hint="eastAsia" w:ascii="宋体" w:hAnsi="宋体" w:cs="宋体"/>
          <w:b/>
          <w:bCs/>
          <w:color w:val="000000" w:themeColor="text1"/>
          <w:kern w:val="0"/>
          <w:sz w:val="32"/>
          <w:szCs w:val="32"/>
          <w14:textFill>
            <w14:solidFill>
              <w14:schemeClr w14:val="tx1"/>
            </w14:solidFill>
          </w14:textFill>
        </w:rPr>
        <w:t>磋商响应文件格式</w:t>
      </w:r>
      <w:bookmarkEnd w:id="10"/>
      <w:bookmarkEnd w:id="11"/>
    </w:p>
    <w:p>
      <w:pPr>
        <w:spacing w:line="490" w:lineRule="exact"/>
        <w:jc w:val="center"/>
        <w:outlineLvl w:val="1"/>
        <w:rPr>
          <w:rFonts w:ascii="宋体" w:hAnsi="宋体"/>
          <w:b/>
          <w:color w:val="000000" w:themeColor="text1"/>
          <w:szCs w:val="21"/>
          <w14:textFill>
            <w14:solidFill>
              <w14:schemeClr w14:val="tx1"/>
            </w14:solidFill>
          </w14:textFill>
        </w:rPr>
      </w:pPr>
      <w:bookmarkStart w:id="12" w:name="_Toc25008"/>
      <w:r>
        <w:rPr>
          <w:rFonts w:hint="eastAsia" w:ascii="宋体" w:hAnsi="宋体"/>
          <w:b/>
          <w:color w:val="000000" w:themeColor="text1"/>
          <w:szCs w:val="21"/>
          <w14:textFill>
            <w14:solidFill>
              <w14:schemeClr w14:val="tx1"/>
            </w14:solidFill>
          </w14:textFill>
        </w:rPr>
        <w:t>一、投标承诺书</w:t>
      </w:r>
      <w:bookmarkEnd w:id="12"/>
    </w:p>
    <w:p>
      <w:pPr>
        <w:spacing w:line="400" w:lineRule="exact"/>
        <w:ind w:firstLine="315" w:firstLineChars="150"/>
        <w:rPr>
          <w:rFonts w:ascii="宋体" w:hAnsi="宋体"/>
          <w:color w:val="000000" w:themeColor="text1"/>
          <w:szCs w:val="21"/>
          <w14:textFill>
            <w14:solidFill>
              <w14:schemeClr w14:val="tx1"/>
            </w14:solidFill>
          </w14:textFill>
        </w:rPr>
      </w:pPr>
    </w:p>
    <w:p>
      <w:pPr>
        <w:spacing w:line="49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采购人</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根据贵方为</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（项目名称、包号）的投标邀请（招标编号：</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）的要求，为杜绝商业欺诈和商业贿赂行为，我公司在此庄严承诺：</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、在参与政府采购活动中遵纪守法、诚信经营、公平竞争。</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、不向采购人、招标代理机购和采购评审专家进行任何形式的商业贿赂以谋取交易机会。</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、不向采购人和招标代理机构提供虚假资格文件或采用虚假应标方式参与政府采购市场竞争并谋取中标、成交。</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、我公司磋商响应文件中所提供的货物和服务的参数都如实描述，无任何虚假情况。</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、不采取</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围标、陪标</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等商业欺诈手段获得政府采购定单。</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、不采取不正当手段诋毁、排挤其他供应商。</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、不在提供货物和服务时</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偷梁换柱、以次充好</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损害采购人的合法权益。</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、不与采购人、招标代理机构和采购评审专家或其它供应商恶意串通，进行质疑和投诉，维护政府采购市场秩序。</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、尊重和接受政府采购监督管理部门的监督，承担因违规违约行为给采购人造成的损失。</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、不发生其他有悖于政府采购公平、公正和诚信原则的行为。</w:t>
      </w:r>
      <w:r>
        <w:rPr>
          <w:rFonts w:ascii="宋体" w:hAnsi="宋体"/>
          <w:color w:val="000000" w:themeColor="text1"/>
          <w:szCs w:val="21"/>
          <w14:textFill>
            <w14:solidFill>
              <w14:schemeClr w14:val="tx1"/>
            </w14:solidFill>
          </w14:textFill>
        </w:rPr>
        <w:t xml:space="preserve"> </w:t>
      </w:r>
    </w:p>
    <w:p>
      <w:pPr>
        <w:spacing w:line="49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以上承诺如有违反，除被没收投标保证金外，还自愿承担一切法律责任及后果。</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盖公章</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法定代表人（负责人）或其授权的代理人</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签字</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备注：对本投标承诺书的任何修改将被视为非实质性响应投标，在评标时将其视为无效投标。</w:t>
      </w:r>
    </w:p>
    <w:p>
      <w:pPr>
        <w:spacing w:line="400" w:lineRule="exact"/>
        <w:ind w:firstLine="315" w:firstLineChars="150"/>
        <w:rPr>
          <w:rFonts w:ascii="宋体" w:hAnsi="宋体"/>
          <w:color w:val="000000" w:themeColor="text1"/>
          <w:szCs w:val="21"/>
          <w14:textFill>
            <w14:solidFill>
              <w14:schemeClr w14:val="tx1"/>
            </w14:solidFill>
          </w14:textFill>
        </w:rPr>
      </w:pPr>
    </w:p>
    <w:p>
      <w:pPr>
        <w:spacing w:line="490" w:lineRule="exact"/>
        <w:jc w:val="center"/>
        <w:rPr>
          <w:rFonts w:ascii="宋体" w:hAnsi="宋体"/>
          <w:b/>
          <w:color w:val="000000" w:themeColor="text1"/>
          <w:szCs w:val="21"/>
          <w14:textFill>
            <w14:solidFill>
              <w14:schemeClr w14:val="tx1"/>
            </w14:solidFill>
          </w14:textFill>
        </w:rPr>
      </w:pPr>
    </w:p>
    <w:p>
      <w:pPr>
        <w:spacing w:line="490" w:lineRule="exact"/>
        <w:jc w:val="center"/>
        <w:rPr>
          <w:rFonts w:ascii="宋体" w:hAnsi="宋体"/>
          <w:b/>
          <w:color w:val="000000" w:themeColor="text1"/>
          <w:szCs w:val="21"/>
          <w14:textFill>
            <w14:solidFill>
              <w14:schemeClr w14:val="tx1"/>
            </w14:solidFill>
          </w14:textFill>
        </w:rPr>
      </w:pPr>
    </w:p>
    <w:p>
      <w:pPr>
        <w:spacing w:line="490" w:lineRule="exact"/>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bookmarkStart w:id="13" w:name="_Toc16126"/>
    </w:p>
    <w:p>
      <w:pPr>
        <w:spacing w:line="490" w:lineRule="exact"/>
        <w:jc w:val="center"/>
        <w:outlineLvl w:val="1"/>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二、投标函</w:t>
      </w:r>
      <w:bookmarkEnd w:id="13"/>
    </w:p>
    <w:p>
      <w:pPr>
        <w:spacing w:line="490" w:lineRule="exact"/>
        <w:rPr>
          <w:rFonts w:ascii="宋体" w:hAnsi="宋体"/>
          <w:color w:val="000000" w:themeColor="text1"/>
          <w:szCs w:val="21"/>
          <w14:textFill>
            <w14:solidFill>
              <w14:schemeClr w14:val="tx1"/>
            </w14:solidFill>
          </w14:textFill>
        </w:rPr>
      </w:pPr>
    </w:p>
    <w:p>
      <w:pPr>
        <w:spacing w:line="49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采购人</w:t>
      </w:r>
      <w:r>
        <w:rPr>
          <w:rFonts w:ascii="宋体" w:hAnsi="宋体"/>
          <w:color w:val="000000" w:themeColor="text1"/>
          <w:szCs w:val="21"/>
          <w14:textFill>
            <w14:solidFill>
              <w14:schemeClr w14:val="tx1"/>
            </w14:solidFill>
          </w14:textFill>
        </w:rPr>
        <w:t>)</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根据贵方为</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（项目名称、包号）的投标邀请（招标编号</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），签字代表</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（姓名、职务）经正式授权并代表供应商</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（供应商名称、地址）提交下述文件正本一份、副本</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份并在此声明，所递交的磋商响应文件内容完整、真实。</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、商务文件：投标承诺书、投标函、开标报价一览表、分项价格表、供应商资格证明文件、商务响应说明书；</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、技术文件：投标方案说明书。</w:t>
      </w:r>
      <w:r>
        <w:rPr>
          <w:rFonts w:ascii="宋体" w:hAnsi="宋体"/>
          <w:color w:val="000000" w:themeColor="text1"/>
          <w:szCs w:val="21"/>
          <w14:textFill>
            <w14:solidFill>
              <w14:schemeClr w14:val="tx1"/>
            </w14:solidFill>
          </w14:textFill>
        </w:rPr>
        <w:t xml:space="preserve"> </w:t>
      </w:r>
    </w:p>
    <w:p>
      <w:pPr>
        <w:spacing w:line="49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在此，签字代表宣布同意如下：</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、所附投标价格表中规定的应提交和交付的货物和服务投标总价为：</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人民币大写</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、供应商将按磋商文件的规定履行合同责任和义务。</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、供应商已详细审查全部磋商文件。我们完全理解并同意放弃对这方面有不明及误解的权力。</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、本投标有效期为自磋商文件规定的提交磋商响应文件截止之日起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个日历天。在投标有效期内我方同意遵守本磋商响应文件中的承诺且在此期限期满之前磋商响应文件对我方具有法律约束力。</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、我方同意提供贵方可能要求的与其投标有关的一切数据或资料。</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、与本投标有关的一切正式往来信函请寄：</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邮编：</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电话：</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传真：</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盖公章</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法定代表人（负责人）或其授权的代理人</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签字</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备注：除可填报的部分外，对本投标函的任何修改将被视为非实质性响应投标，在评标时将其视为无效投标。</w:t>
      </w:r>
      <w:r>
        <w:rPr>
          <w:rFonts w:ascii="宋体" w:hAnsi="宋体"/>
          <w:color w:val="000000" w:themeColor="text1"/>
          <w:szCs w:val="21"/>
          <w14:textFill>
            <w14:solidFill>
              <w14:schemeClr w14:val="tx1"/>
            </w14:solidFill>
          </w14:textFill>
        </w:rPr>
        <w:t xml:space="preserve"> </w:t>
      </w:r>
    </w:p>
    <w:p>
      <w:pPr>
        <w:spacing w:line="490" w:lineRule="exact"/>
        <w:jc w:val="center"/>
        <w:rPr>
          <w:rFonts w:ascii="宋体" w:hAnsi="宋体"/>
          <w:b/>
          <w:color w:val="000000" w:themeColor="text1"/>
          <w:szCs w:val="21"/>
          <w14:textFill>
            <w14:solidFill>
              <w14:schemeClr w14:val="tx1"/>
            </w14:solidFill>
          </w14:textFill>
        </w:rPr>
      </w:pPr>
    </w:p>
    <w:p>
      <w:pPr>
        <w:spacing w:line="490" w:lineRule="exact"/>
        <w:jc w:val="center"/>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bookmarkStart w:id="14" w:name="_Toc25337"/>
    </w:p>
    <w:p>
      <w:pPr>
        <w:spacing w:line="490" w:lineRule="exact"/>
        <w:jc w:val="center"/>
        <w:outlineLvl w:val="1"/>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三、开标报价一览表</w:t>
      </w:r>
      <w:bookmarkEnd w:id="14"/>
    </w:p>
    <w:p>
      <w:pPr>
        <w:pStyle w:val="135"/>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项目名称及包号：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招标编号：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金额单位：人民币（元）</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809" w:type="dxa"/>
            <w:vAlign w:val="center"/>
          </w:tcPr>
          <w:p>
            <w:pPr>
              <w:pStyle w:val="135"/>
              <w:jc w:val="center"/>
              <w:rPr>
                <w:rFonts w:hAnsi="宋体"/>
                <w:sz w:val="21"/>
                <w:szCs w:val="21"/>
              </w:rPr>
            </w:pPr>
            <w:r>
              <w:rPr>
                <w:rFonts w:hint="eastAsia" w:hAnsi="宋体"/>
                <w:sz w:val="21"/>
                <w:szCs w:val="21"/>
              </w:rPr>
              <w:t>投标项目名称</w:t>
            </w:r>
          </w:p>
        </w:tc>
        <w:tc>
          <w:tcPr>
            <w:tcW w:w="6663"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809" w:type="dxa"/>
            <w:vAlign w:val="center"/>
          </w:tcPr>
          <w:p>
            <w:pPr>
              <w:pStyle w:val="135"/>
              <w:jc w:val="center"/>
              <w:rPr>
                <w:rFonts w:hAnsi="宋体"/>
                <w:sz w:val="21"/>
                <w:szCs w:val="21"/>
              </w:rPr>
            </w:pPr>
            <w:r>
              <w:rPr>
                <w:rFonts w:hint="eastAsia" w:hAnsi="宋体"/>
                <w:sz w:val="21"/>
                <w:szCs w:val="21"/>
              </w:rPr>
              <w:t>投标有效期</w:t>
            </w:r>
          </w:p>
        </w:tc>
        <w:tc>
          <w:tcPr>
            <w:tcW w:w="6663"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809" w:type="dxa"/>
            <w:vMerge w:val="restart"/>
            <w:vAlign w:val="center"/>
          </w:tcPr>
          <w:p>
            <w:pPr>
              <w:pStyle w:val="135"/>
              <w:jc w:val="center"/>
              <w:rPr>
                <w:rFonts w:hAnsi="宋体"/>
                <w:sz w:val="21"/>
                <w:szCs w:val="21"/>
              </w:rPr>
            </w:pPr>
            <w:r>
              <w:rPr>
                <w:rFonts w:hint="eastAsia" w:hAnsi="宋体"/>
                <w:sz w:val="21"/>
                <w:szCs w:val="21"/>
              </w:rPr>
              <w:t>投标报价</w:t>
            </w:r>
          </w:p>
        </w:tc>
        <w:tc>
          <w:tcPr>
            <w:tcW w:w="6663" w:type="dxa"/>
            <w:vAlign w:val="center"/>
          </w:tcPr>
          <w:p>
            <w:pPr>
              <w:pStyle w:val="135"/>
              <w:rPr>
                <w:rFonts w:hAnsi="宋体"/>
                <w:sz w:val="21"/>
                <w:szCs w:val="21"/>
              </w:rPr>
            </w:pPr>
            <w:r>
              <w:rPr>
                <w:rFonts w:hint="eastAsia" w:hAnsi="宋体"/>
                <w:sz w:val="21"/>
                <w:szCs w:val="21"/>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809" w:type="dxa"/>
            <w:vMerge w:val="continue"/>
            <w:vAlign w:val="center"/>
          </w:tcPr>
          <w:p>
            <w:pPr>
              <w:pStyle w:val="135"/>
              <w:jc w:val="center"/>
              <w:rPr>
                <w:rFonts w:hAnsi="宋体"/>
                <w:sz w:val="21"/>
                <w:szCs w:val="21"/>
              </w:rPr>
            </w:pPr>
          </w:p>
        </w:tc>
        <w:tc>
          <w:tcPr>
            <w:tcW w:w="6663" w:type="dxa"/>
            <w:vAlign w:val="center"/>
          </w:tcPr>
          <w:p>
            <w:pPr>
              <w:pStyle w:val="135"/>
              <w:rPr>
                <w:rFonts w:hAnsi="宋体"/>
                <w:sz w:val="21"/>
                <w:szCs w:val="21"/>
              </w:rPr>
            </w:pPr>
            <w:r>
              <w:rPr>
                <w:rFonts w:hint="eastAsia" w:hAnsi="宋体"/>
                <w:sz w:val="21"/>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809" w:type="dxa"/>
            <w:vAlign w:val="center"/>
          </w:tcPr>
          <w:p>
            <w:pPr>
              <w:pStyle w:val="135"/>
              <w:jc w:val="center"/>
              <w:rPr>
                <w:rFonts w:hAnsi="宋体"/>
                <w:sz w:val="21"/>
                <w:szCs w:val="21"/>
              </w:rPr>
            </w:pPr>
            <w:r>
              <w:rPr>
                <w:rFonts w:hint="eastAsia" w:hAnsi="宋体"/>
                <w:sz w:val="21"/>
                <w:szCs w:val="21"/>
              </w:rPr>
              <w:t>联系人</w:t>
            </w:r>
          </w:p>
        </w:tc>
        <w:tc>
          <w:tcPr>
            <w:tcW w:w="6663"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809" w:type="dxa"/>
            <w:vAlign w:val="center"/>
          </w:tcPr>
          <w:p>
            <w:pPr>
              <w:pStyle w:val="135"/>
              <w:jc w:val="center"/>
              <w:rPr>
                <w:rFonts w:hAnsi="宋体"/>
                <w:sz w:val="21"/>
                <w:szCs w:val="21"/>
              </w:rPr>
            </w:pPr>
            <w:r>
              <w:rPr>
                <w:rFonts w:hint="eastAsia" w:hAnsi="宋体"/>
                <w:sz w:val="21"/>
                <w:szCs w:val="21"/>
              </w:rPr>
              <w:t>联系方式</w:t>
            </w:r>
          </w:p>
        </w:tc>
        <w:tc>
          <w:tcPr>
            <w:tcW w:w="6663" w:type="dxa"/>
            <w:vAlign w:val="center"/>
          </w:tcPr>
          <w:p>
            <w:pPr>
              <w:pStyle w:val="135"/>
              <w:jc w:val="center"/>
              <w:rPr>
                <w:rFonts w:hAnsi="宋体"/>
                <w:sz w:val="21"/>
                <w:szCs w:val="21"/>
              </w:rPr>
            </w:pPr>
          </w:p>
        </w:tc>
      </w:tr>
    </w:tbl>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w:t>
      </w: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、请严格按此“开标报价一览表”格式填写相关内容。</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、此表必须单独提交一份，装在一个小信封内，密封并盖章，在递交磋商响应文件时一并递交，用于开标时唱标。</w:t>
      </w: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spacing w:line="490" w:lineRule="exact"/>
        <w:outlineLvl w:val="1"/>
        <w:rPr>
          <w:rFonts w:ascii="宋体" w:hAnsi="宋体"/>
          <w:b/>
          <w:color w:val="000000" w:themeColor="text1"/>
          <w:szCs w:val="21"/>
          <w14:textFill>
            <w14:solidFill>
              <w14:schemeClr w14:val="tx1"/>
            </w14:solidFill>
          </w14:textFill>
        </w:rPr>
      </w:pPr>
      <w:bookmarkStart w:id="15" w:name="_Toc14665"/>
    </w:p>
    <w:p>
      <w:pPr>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br w:type="page"/>
      </w:r>
    </w:p>
    <w:p>
      <w:pPr>
        <w:spacing w:line="490" w:lineRule="exact"/>
        <w:jc w:val="center"/>
        <w:outlineLvl w:val="1"/>
        <w:rPr>
          <w:rFonts w:ascii="宋体" w:hAnsi="宋体" w:cs="宋体"/>
          <w:color w:val="000000" w:themeColor="text1"/>
          <w:kern w:val="0"/>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四、分项价格表</w:t>
      </w:r>
      <w:bookmarkEnd w:id="15"/>
    </w:p>
    <w:p>
      <w:pPr>
        <w:autoSpaceDE w:val="0"/>
        <w:autoSpaceDN w:val="0"/>
        <w:adjustRightInd w:val="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490" w:lineRule="exact"/>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项目名称及包号：</w:t>
      </w:r>
      <w:r>
        <w:rPr>
          <w:rFonts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pacing w:line="490" w:lineRule="exact"/>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招标编号：</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金额单位：人民币（元）</w:t>
      </w:r>
      <w:r>
        <w:rPr>
          <w:rFonts w:hAnsi="宋体"/>
          <w:color w:val="000000" w:themeColor="text1"/>
          <w:sz w:val="21"/>
          <w:szCs w:val="21"/>
          <w14:textFill>
            <w14:solidFill>
              <w14:schemeClr w14:val="tx1"/>
            </w14:solidFill>
          </w14:textFill>
        </w:rPr>
        <w:t xml:space="preserve"> </w:t>
      </w:r>
    </w:p>
    <w:p>
      <w:pPr>
        <w:pStyle w:val="135"/>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565"/>
        <w:gridCol w:w="1425"/>
        <w:gridCol w:w="1170"/>
        <w:gridCol w:w="145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56" w:type="dxa"/>
            <w:vAlign w:val="center"/>
          </w:tcPr>
          <w:p>
            <w:pPr>
              <w:pStyle w:val="135"/>
              <w:jc w:val="center"/>
              <w:rPr>
                <w:rFonts w:hAnsi="宋体"/>
                <w:sz w:val="21"/>
                <w:szCs w:val="21"/>
              </w:rPr>
            </w:pPr>
            <w:r>
              <w:rPr>
                <w:rFonts w:hint="eastAsia" w:hAnsi="宋体"/>
                <w:sz w:val="21"/>
                <w:szCs w:val="21"/>
              </w:rPr>
              <w:t>序号</w:t>
            </w:r>
          </w:p>
        </w:tc>
        <w:tc>
          <w:tcPr>
            <w:tcW w:w="2565" w:type="dxa"/>
            <w:vAlign w:val="center"/>
          </w:tcPr>
          <w:p>
            <w:pPr>
              <w:pStyle w:val="135"/>
              <w:jc w:val="center"/>
              <w:rPr>
                <w:rFonts w:hAnsi="宋体"/>
                <w:sz w:val="21"/>
                <w:szCs w:val="21"/>
              </w:rPr>
            </w:pPr>
            <w:r>
              <w:rPr>
                <w:rFonts w:hint="eastAsia" w:hAnsi="宋体"/>
                <w:sz w:val="21"/>
                <w:szCs w:val="21"/>
              </w:rPr>
              <w:t>货物品牌及型号</w:t>
            </w:r>
          </w:p>
        </w:tc>
        <w:tc>
          <w:tcPr>
            <w:tcW w:w="1425" w:type="dxa"/>
            <w:vAlign w:val="center"/>
          </w:tcPr>
          <w:p>
            <w:pPr>
              <w:pStyle w:val="135"/>
              <w:jc w:val="center"/>
              <w:rPr>
                <w:rFonts w:hAnsi="宋体"/>
                <w:sz w:val="21"/>
                <w:szCs w:val="21"/>
              </w:rPr>
            </w:pPr>
            <w:r>
              <w:rPr>
                <w:rFonts w:hint="eastAsia" w:hAnsi="宋体"/>
                <w:sz w:val="21"/>
                <w:szCs w:val="21"/>
              </w:rPr>
              <w:t>制造商</w:t>
            </w:r>
          </w:p>
        </w:tc>
        <w:tc>
          <w:tcPr>
            <w:tcW w:w="1170" w:type="dxa"/>
            <w:vAlign w:val="center"/>
          </w:tcPr>
          <w:p>
            <w:pPr>
              <w:pStyle w:val="135"/>
              <w:jc w:val="center"/>
              <w:rPr>
                <w:rFonts w:hAnsi="宋体"/>
                <w:sz w:val="21"/>
                <w:szCs w:val="21"/>
              </w:rPr>
            </w:pPr>
            <w:r>
              <w:rPr>
                <w:rFonts w:hint="eastAsia" w:hAnsi="宋体"/>
                <w:sz w:val="21"/>
                <w:szCs w:val="21"/>
              </w:rPr>
              <w:t>单位</w:t>
            </w:r>
          </w:p>
        </w:tc>
        <w:tc>
          <w:tcPr>
            <w:tcW w:w="1455" w:type="dxa"/>
            <w:vAlign w:val="center"/>
          </w:tcPr>
          <w:p>
            <w:pPr>
              <w:pStyle w:val="135"/>
              <w:jc w:val="center"/>
              <w:rPr>
                <w:rFonts w:hAnsi="宋体"/>
                <w:sz w:val="21"/>
                <w:szCs w:val="21"/>
              </w:rPr>
            </w:pPr>
            <w:r>
              <w:rPr>
                <w:rFonts w:hint="eastAsia" w:hAnsi="宋体"/>
                <w:sz w:val="21"/>
                <w:szCs w:val="21"/>
              </w:rPr>
              <w:t>单价</w:t>
            </w:r>
          </w:p>
        </w:tc>
        <w:tc>
          <w:tcPr>
            <w:tcW w:w="1170" w:type="dxa"/>
            <w:vAlign w:val="center"/>
          </w:tcPr>
          <w:p>
            <w:pPr>
              <w:pStyle w:val="135"/>
              <w:jc w:val="center"/>
              <w:rPr>
                <w:rFonts w:hAnsi="宋体"/>
                <w:sz w:val="21"/>
                <w:szCs w:val="21"/>
              </w:rPr>
            </w:pPr>
            <w:r>
              <w:rPr>
                <w:rFonts w:hint="eastAsia"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56" w:type="dxa"/>
            <w:vAlign w:val="center"/>
          </w:tcPr>
          <w:p>
            <w:pPr>
              <w:pStyle w:val="135"/>
              <w:jc w:val="center"/>
              <w:rPr>
                <w:rFonts w:hAnsi="宋体"/>
                <w:sz w:val="21"/>
                <w:szCs w:val="21"/>
              </w:rPr>
            </w:pPr>
            <w:r>
              <w:rPr>
                <w:rFonts w:hAnsi="宋体"/>
                <w:sz w:val="21"/>
                <w:szCs w:val="21"/>
              </w:rPr>
              <w:t>1</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6" w:type="dxa"/>
            <w:vAlign w:val="center"/>
          </w:tcPr>
          <w:p>
            <w:pPr>
              <w:pStyle w:val="135"/>
              <w:jc w:val="center"/>
              <w:rPr>
                <w:rFonts w:hAnsi="宋体"/>
                <w:sz w:val="21"/>
                <w:szCs w:val="21"/>
              </w:rPr>
            </w:pPr>
            <w:r>
              <w:rPr>
                <w:rFonts w:hAnsi="宋体"/>
                <w:sz w:val="21"/>
                <w:szCs w:val="21"/>
              </w:rPr>
              <w:t>2</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6" w:type="dxa"/>
            <w:vAlign w:val="center"/>
          </w:tcPr>
          <w:p>
            <w:pPr>
              <w:pStyle w:val="135"/>
              <w:jc w:val="center"/>
              <w:rPr>
                <w:rFonts w:hAnsi="宋体"/>
                <w:sz w:val="21"/>
                <w:szCs w:val="21"/>
              </w:rPr>
            </w:pPr>
            <w:r>
              <w:rPr>
                <w:rFonts w:hAnsi="宋体"/>
                <w:sz w:val="21"/>
                <w:szCs w:val="21"/>
              </w:rPr>
              <w:t>3</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6" w:type="dxa"/>
            <w:vAlign w:val="center"/>
          </w:tcPr>
          <w:p>
            <w:pPr>
              <w:pStyle w:val="135"/>
              <w:jc w:val="center"/>
              <w:rPr>
                <w:rFonts w:hAnsi="宋体"/>
                <w:sz w:val="21"/>
                <w:szCs w:val="21"/>
              </w:rPr>
            </w:pPr>
            <w:r>
              <w:rPr>
                <w:rFonts w:hAnsi="宋体"/>
                <w:sz w:val="21"/>
                <w:szCs w:val="21"/>
              </w:rPr>
              <w:t>4</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56" w:type="dxa"/>
            <w:vAlign w:val="center"/>
          </w:tcPr>
          <w:p>
            <w:pPr>
              <w:pStyle w:val="135"/>
              <w:jc w:val="center"/>
              <w:rPr>
                <w:rFonts w:hAnsi="宋体"/>
                <w:sz w:val="21"/>
                <w:szCs w:val="21"/>
              </w:rPr>
            </w:pPr>
            <w:r>
              <w:rPr>
                <w:rFonts w:hAnsi="宋体"/>
                <w:sz w:val="21"/>
                <w:szCs w:val="21"/>
              </w:rPr>
              <w:t>5</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56" w:type="dxa"/>
            <w:vAlign w:val="center"/>
          </w:tcPr>
          <w:p>
            <w:pPr>
              <w:pStyle w:val="135"/>
              <w:jc w:val="center"/>
              <w:rPr>
                <w:rFonts w:hAnsi="宋体"/>
                <w:sz w:val="21"/>
                <w:szCs w:val="21"/>
              </w:rPr>
            </w:pPr>
            <w:r>
              <w:rPr>
                <w:rFonts w:hint="eastAsia" w:hAnsi="宋体"/>
                <w:sz w:val="21"/>
                <w:szCs w:val="21"/>
              </w:rPr>
              <w:t>...</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bl>
    <w:p>
      <w:pPr>
        <w:pStyle w:val="135"/>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p>
      <w:pPr>
        <w:pStyle w:val="135"/>
        <w:spacing w:line="52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52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p>
    <w:p>
      <w:pPr>
        <w:pStyle w:val="135"/>
        <w:spacing w:line="52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52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w:t>
      </w: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、应按照</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“投标须知”的要求报价。</w:t>
      </w:r>
      <w:r>
        <w:rPr>
          <w:rFonts w:hAnsi="宋体"/>
          <w:color w:val="000000" w:themeColor="text1"/>
          <w:sz w:val="21"/>
          <w:szCs w:val="21"/>
          <w14:textFill>
            <w14:solidFill>
              <w14:schemeClr w14:val="tx1"/>
            </w14:solidFill>
          </w14:textFill>
        </w:rPr>
        <w:t xml:space="preserve"> </w:t>
      </w:r>
    </w:p>
    <w:p>
      <w:pPr>
        <w:pStyle w:val="135"/>
        <w:spacing w:line="52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、总价金额与按单价汇总金额不一致的，以单价金额计算结果为准。</w:t>
      </w:r>
      <w:r>
        <w:rPr>
          <w:rFonts w:hAnsi="宋体"/>
          <w:color w:val="000000" w:themeColor="text1"/>
          <w:sz w:val="21"/>
          <w:szCs w:val="21"/>
          <w14:textFill>
            <w14:solidFill>
              <w14:schemeClr w14:val="tx1"/>
            </w14:solidFill>
          </w14:textFill>
        </w:rPr>
        <w:t xml:space="preserve"> </w:t>
      </w:r>
    </w:p>
    <w:p>
      <w:pPr>
        <w:pStyle w:val="135"/>
        <w:spacing w:line="520" w:lineRule="exact"/>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bookmarkStart w:id="16" w:name="_Toc19907"/>
    </w:p>
    <w:p>
      <w:pPr>
        <w:spacing w:line="490" w:lineRule="exact"/>
        <w:jc w:val="center"/>
        <w:outlineLvl w:val="1"/>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五、供应商资格证明文件</w:t>
      </w:r>
      <w:bookmarkEnd w:id="16"/>
    </w:p>
    <w:p>
      <w:pPr>
        <w:pStyle w:val="135"/>
        <w:rPr>
          <w:rFonts w:hAnsi="宋体"/>
          <w:color w:val="000000" w:themeColor="text1"/>
          <w:sz w:val="21"/>
          <w:szCs w:val="21"/>
          <w14:textFill>
            <w14:solidFill>
              <w14:schemeClr w14:val="tx1"/>
            </w14:solidFill>
          </w14:textFill>
        </w:rPr>
      </w:pP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供应商须按</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“投标须知”要求，提供下列证明材料，以满足供应商基本资格条件和特定资格条件要求：</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附</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、法定代表人（负责人）身份证明书或附有法定代表人（负责人身份证明的授权委托书；</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附</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、法人（负责人）、或者其他组织的营业执照、税务登记证、组织机构代码证等主体资格证明文件，自然人的身份证明；</w:t>
      </w: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附3、特定资格条件证明文件；</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pStyle w:val="13"/>
        <w:rPr>
          <w:rFonts w:ascii="宋体" w:hAnsi="宋体" w:cs="宋体"/>
          <w:color w:val="000000" w:themeColor="text1"/>
          <w:kern w:val="0"/>
          <w:szCs w:val="21"/>
          <w14:textFill>
            <w14:solidFill>
              <w14:schemeClr w14:val="tx1"/>
            </w14:solidFill>
          </w14:textFill>
        </w:rPr>
      </w:pPr>
    </w:p>
    <w:p>
      <w:pPr>
        <w:rPr>
          <w:color w:val="000000" w:themeColor="text1"/>
          <w14:textFill>
            <w14:solidFill>
              <w14:schemeClr w14:val="tx1"/>
            </w14:solidFill>
          </w14:textFill>
        </w:rPr>
      </w:pPr>
    </w:p>
    <w:p>
      <w:pPr>
        <w:spacing w:line="490" w:lineRule="exact"/>
        <w:jc w:val="left"/>
        <w:rPr>
          <w:rFonts w:ascii="宋体" w:hAnsi="宋体"/>
          <w:color w:val="000000" w:themeColor="text1"/>
          <w:szCs w:val="21"/>
          <w14:textFill>
            <w14:solidFill>
              <w14:schemeClr w14:val="tx1"/>
            </w14:solidFill>
          </w14:textFill>
        </w:rPr>
      </w:pPr>
    </w:p>
    <w:p>
      <w:pPr>
        <w:spacing w:line="49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w:t>
      </w:r>
      <w:r>
        <w:rPr>
          <w:rFonts w:ascii="宋体" w:hAnsi="宋体"/>
          <w:color w:val="000000" w:themeColor="text1"/>
          <w:szCs w:val="21"/>
          <w14:textFill>
            <w14:solidFill>
              <w14:schemeClr w14:val="tx1"/>
            </w14:solidFill>
          </w14:textFill>
        </w:rPr>
        <w:t>1</w:t>
      </w:r>
    </w:p>
    <w:p>
      <w:pPr>
        <w:spacing w:line="49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授权委托书</w:t>
      </w: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490" w:lineRule="exact"/>
        <w:ind w:firstLine="525" w:firstLineChars="25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本人</w:t>
      </w:r>
      <w:r>
        <w:rPr>
          <w:rFonts w:ascii="宋体" w:hAnsi="宋体" w:cs="宋体"/>
          <w:color w:val="000000" w:themeColor="text1"/>
          <w:kern w:val="0"/>
          <w:szCs w:val="21"/>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（姓名、职务）系</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（供应商名称）的法定代表人（负责人），现授权</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（姓名、职务）为我方代理人。代理人根据授权，以我方名义签署、澄清、说明、补正、递交、撤回、修改</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（项目名称及包号、招标编号）磋商响应文件、签订合同和处理有关事宜，其法律后果由我方承担。</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49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49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委托期限：</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49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49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代理人无转委托权。</w:t>
      </w:r>
      <w:r>
        <w:rPr>
          <w:rFonts w:ascii="宋体" w:hAnsi="宋体" w:cs="宋体"/>
          <w:color w:val="000000" w:themeColor="text1"/>
          <w:kern w:val="0"/>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本授权书于</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日签字生效，特此声明。</w:t>
      </w:r>
    </w:p>
    <w:p>
      <w:pPr>
        <w:pStyle w:val="135"/>
        <w:spacing w:line="490" w:lineRule="exact"/>
        <w:rPr>
          <w:rFonts w:hAnsi="宋体"/>
          <w:color w:val="000000" w:themeColor="text1"/>
          <w:sz w:val="21"/>
          <w:szCs w:val="21"/>
          <w14:textFill>
            <w14:solidFill>
              <w14:schemeClr w14:val="tx1"/>
            </w14:solidFill>
          </w14:textFill>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jc w:val="center"/>
        </w:trPr>
        <w:tc>
          <w:tcPr>
            <w:tcW w:w="8889" w:type="dxa"/>
          </w:tcPr>
          <w:p>
            <w:pPr>
              <w:pStyle w:val="135"/>
              <w:spacing w:line="490" w:lineRule="exact"/>
              <w:jc w:val="center"/>
              <w:rPr>
                <w:rFonts w:hAnsi="宋体"/>
                <w:color w:val="000000" w:themeColor="text1"/>
                <w:sz w:val="21"/>
                <w:szCs w:val="21"/>
                <w14:textFill>
                  <w14:solidFill>
                    <w14:schemeClr w14:val="tx1"/>
                  </w14:solidFill>
                </w14:textFill>
              </w:rPr>
            </w:pPr>
          </w:p>
          <w:p>
            <w:pPr>
              <w:pStyle w:val="135"/>
              <w:spacing w:line="490" w:lineRule="exact"/>
              <w:jc w:val="center"/>
              <w:rPr>
                <w:rFonts w:hAnsi="宋体"/>
                <w:color w:val="000000" w:themeColor="text1"/>
                <w:sz w:val="21"/>
                <w:szCs w:val="21"/>
                <w14:textFill>
                  <w14:solidFill>
                    <w14:schemeClr w14:val="tx1"/>
                  </w14:solidFill>
                </w14:textFill>
              </w:rPr>
            </w:pPr>
          </w:p>
          <w:p>
            <w:pPr>
              <w:pStyle w:val="135"/>
              <w:spacing w:line="490" w:lineRule="exact"/>
              <w:jc w:val="center"/>
              <w:rPr>
                <w:rFonts w:hAnsi="宋体"/>
                <w:color w:val="000000" w:themeColor="text1"/>
                <w:sz w:val="21"/>
                <w:szCs w:val="21"/>
                <w14:textFill>
                  <w14:solidFill>
                    <w14:schemeClr w14:val="tx1"/>
                  </w14:solidFill>
                </w14:textFill>
              </w:rPr>
            </w:pPr>
          </w:p>
          <w:p>
            <w:pPr>
              <w:pStyle w:val="135"/>
              <w:spacing w:line="49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委托代理人身份证正面、反面复印件</w:t>
            </w:r>
          </w:p>
          <w:p>
            <w:pPr>
              <w:pStyle w:val="135"/>
              <w:spacing w:line="490" w:lineRule="exact"/>
              <w:jc w:val="center"/>
              <w:rPr>
                <w:rFonts w:hAnsi="宋体"/>
                <w:color w:val="000000" w:themeColor="text1"/>
                <w:sz w:val="21"/>
                <w:szCs w:val="21"/>
                <w14:textFill>
                  <w14:solidFill>
                    <w14:schemeClr w14:val="tx1"/>
                  </w14:solidFill>
                </w14:textFill>
              </w:rPr>
            </w:pPr>
          </w:p>
        </w:tc>
      </w:tr>
    </w:tbl>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560" w:lineRule="exact"/>
        <w:rPr>
          <w:rFonts w:hAnsi="宋体" w:cs="Times New Roman"/>
          <w:color w:val="000000" w:themeColor="text1"/>
          <w:kern w:val="2"/>
          <w:sz w:val="21"/>
          <w:szCs w:val="21"/>
          <w14:textFill>
            <w14:solidFill>
              <w14:schemeClr w14:val="tx1"/>
            </w14:solidFill>
          </w14:textFill>
        </w:rPr>
      </w:pPr>
    </w:p>
    <w:p>
      <w:pPr>
        <w:pStyle w:val="135"/>
        <w:spacing w:line="560" w:lineRule="exact"/>
        <w:rPr>
          <w:rFonts w:hAnsi="宋体" w:cs="Times New Roman"/>
          <w:color w:val="000000" w:themeColor="text1"/>
          <w:kern w:val="2"/>
          <w:sz w:val="21"/>
          <w:szCs w:val="21"/>
          <w14:textFill>
            <w14:solidFill>
              <w14:schemeClr w14:val="tx1"/>
            </w14:solidFill>
          </w14:textFill>
        </w:rPr>
      </w:pPr>
    </w:p>
    <w:p>
      <w:pPr>
        <w:pStyle w:val="135"/>
        <w:rPr>
          <w:rFonts w:hAnsi="宋体" w:cs="Times New Roman"/>
          <w:b/>
          <w:bCs/>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w:t>
      </w:r>
      <w:r>
        <w:rPr>
          <w:rFonts w:hAnsi="宋体" w:cs="Times New Roman"/>
          <w:color w:val="000000" w:themeColor="text1"/>
          <w:kern w:val="2"/>
          <w:sz w:val="21"/>
          <w:szCs w:val="21"/>
          <w14:textFill>
            <w14:solidFill>
              <w14:schemeClr w14:val="tx1"/>
            </w14:solidFill>
          </w14:textFill>
        </w:rPr>
        <w:t>1-1</w:t>
      </w:r>
      <w:r>
        <w:rPr>
          <w:rFonts w:hAnsi="宋体" w:cs="Times New Roman"/>
          <w:b/>
          <w:bCs/>
          <w:color w:val="000000" w:themeColor="text1"/>
          <w:sz w:val="21"/>
          <w:szCs w:val="21"/>
          <w14:textFill>
            <w14:solidFill>
              <w14:schemeClr w14:val="tx1"/>
            </w14:solidFill>
          </w14:textFill>
        </w:rPr>
        <w:t xml:space="preserve"> </w:t>
      </w:r>
    </w:p>
    <w:p>
      <w:pPr>
        <w:spacing w:line="49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法定代表人（负责人）证明书</w:t>
      </w:r>
      <w:r>
        <w:rPr>
          <w:rFonts w:ascii="宋体" w:hAnsi="宋体"/>
          <w:color w:val="000000" w:themeColor="text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600" w:lineRule="exact"/>
        <w:ind w:firstLine="315" w:firstLineChars="1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注册号：</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注册地址：</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成立时间：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 xml:space="preserve"> 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经营期限：</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经营范围：主营：</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；兼营：</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姓名：</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 xml:space="preserve"> 性别：</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年龄：</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职务：</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系</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（供应商名称）的法定代表人（负责人）。</w:t>
      </w:r>
      <w:r>
        <w:rPr>
          <w:rFonts w:hAnsi="宋体"/>
          <w:color w:val="000000" w:themeColor="text1"/>
          <w:sz w:val="21"/>
          <w:szCs w:val="21"/>
          <w14:textFill>
            <w14:solidFill>
              <w14:schemeClr w14:val="tx1"/>
            </w14:solidFill>
          </w14:textFill>
        </w:rPr>
        <w:t xml:space="preserve"> </w:t>
      </w:r>
    </w:p>
    <w:tbl>
      <w:tblPr>
        <w:tblStyle w:val="33"/>
        <w:tblW w:w="0" w:type="auto"/>
        <w:tblInd w:w="0" w:type="dxa"/>
        <w:tblLayout w:type="fixed"/>
        <w:tblCellMar>
          <w:top w:w="0" w:type="dxa"/>
          <w:left w:w="108" w:type="dxa"/>
          <w:bottom w:w="0" w:type="dxa"/>
          <w:right w:w="108" w:type="dxa"/>
        </w:tblCellMar>
      </w:tblPr>
      <w:tblGrid>
        <w:gridCol w:w="534"/>
        <w:gridCol w:w="8221"/>
        <w:gridCol w:w="962"/>
      </w:tblGrid>
      <w:tr>
        <w:tblPrEx>
          <w:tblCellMar>
            <w:top w:w="0" w:type="dxa"/>
            <w:left w:w="108" w:type="dxa"/>
            <w:bottom w:w="0" w:type="dxa"/>
            <w:right w:w="108" w:type="dxa"/>
          </w:tblCellMar>
        </w:tblPrEx>
        <w:trPr>
          <w:trHeight w:val="1207" w:hRule="atLeast"/>
        </w:trPr>
        <w:tc>
          <w:tcPr>
            <w:tcW w:w="9717" w:type="dxa"/>
            <w:gridSpan w:val="3"/>
            <w:tcBorders>
              <w:bottom w:val="nil"/>
            </w:tcBorders>
          </w:tcPr>
          <w:p>
            <w:pPr>
              <w:rPr>
                <w:rFonts w:ascii="宋体" w:hAnsi="宋体"/>
                <w:color w:val="000000" w:themeColor="text1"/>
                <w:szCs w:val="21"/>
                <w14:textFill>
                  <w14:solidFill>
                    <w14:schemeClr w14:val="tx1"/>
                  </w14:solidFill>
                </w14:textFill>
              </w:rPr>
            </w:pP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特此证明。</w:t>
            </w:r>
            <w:r>
              <w:rPr>
                <w:rFonts w:hAnsi="宋体"/>
                <w:color w:val="000000" w:themeColor="text1"/>
                <w:sz w:val="21"/>
                <w:szCs w:val="21"/>
                <w14:textFill>
                  <w14:solidFill>
                    <w14:schemeClr w14:val="tx1"/>
                  </w14:solidFill>
                </w14:textFill>
              </w:rPr>
              <w:t xml:space="preserve"> </w:t>
            </w: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679" w:hRule="atLeast"/>
        </w:trPr>
        <w:tc>
          <w:tcPr>
            <w:tcW w:w="534" w:type="dxa"/>
            <w:tcBorders>
              <w:top w:val="nil"/>
              <w:bottom w:val="nil"/>
              <w:right w:val="single" w:color="auto" w:sz="4" w:space="0"/>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c>
          <w:tcPr>
            <w:tcW w:w="8221" w:type="dxa"/>
            <w:vMerge w:val="restart"/>
            <w:tcBorders>
              <w:top w:val="single" w:color="auto" w:sz="4" w:space="0"/>
              <w:left w:val="single" w:color="auto" w:sz="4" w:space="0"/>
              <w:right w:val="single" w:color="auto" w:sz="4" w:space="0"/>
            </w:tcBorders>
            <w:vAlign w:val="center"/>
          </w:tcPr>
          <w:p>
            <w:pPr>
              <w:pStyle w:val="135"/>
              <w:spacing w:line="560" w:lineRule="exact"/>
              <w:jc w:val="center"/>
              <w:rPr>
                <w:rFonts w:hAnsi="宋体" w:cs="Times New Roman"/>
                <w:color w:val="000000" w:themeColor="text1"/>
                <w:kern w:val="2"/>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法定代表人（负责人）身份证正面、反面复印件</w:t>
            </w:r>
          </w:p>
        </w:tc>
        <w:tc>
          <w:tcPr>
            <w:tcW w:w="962" w:type="dxa"/>
            <w:tcBorders>
              <w:top w:val="nil"/>
              <w:left w:val="single" w:color="auto" w:sz="4" w:space="0"/>
              <w:bottom w:val="nil"/>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r>
      <w:tr>
        <w:tblPrEx>
          <w:tblCellMar>
            <w:top w:w="0" w:type="dxa"/>
            <w:left w:w="108" w:type="dxa"/>
            <w:bottom w:w="0" w:type="dxa"/>
            <w:right w:w="108" w:type="dxa"/>
          </w:tblCellMar>
        </w:tblPrEx>
        <w:trPr>
          <w:trHeight w:val="2791" w:hRule="atLeast"/>
        </w:trPr>
        <w:tc>
          <w:tcPr>
            <w:tcW w:w="534" w:type="dxa"/>
            <w:tcBorders>
              <w:top w:val="nil"/>
              <w:left w:val="nil"/>
              <w:bottom w:val="nil"/>
              <w:right w:val="single" w:color="auto" w:sz="4" w:space="0"/>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c>
          <w:tcPr>
            <w:tcW w:w="8221" w:type="dxa"/>
            <w:vMerge w:val="continue"/>
            <w:tcBorders>
              <w:left w:val="single" w:color="auto" w:sz="4" w:space="0"/>
              <w:bottom w:val="single" w:color="auto" w:sz="4" w:space="0"/>
              <w:right w:val="single" w:color="auto" w:sz="4" w:space="0"/>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c>
          <w:tcPr>
            <w:tcW w:w="962" w:type="dxa"/>
            <w:tcBorders>
              <w:top w:val="nil"/>
              <w:left w:val="single" w:color="auto" w:sz="4" w:space="0"/>
              <w:bottom w:val="nil"/>
              <w:right w:val="nil"/>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r>
    </w:tbl>
    <w:p>
      <w:pPr>
        <w:pStyle w:val="135"/>
        <w:spacing w:line="560" w:lineRule="exact"/>
        <w:rPr>
          <w:rFonts w:hAnsi="宋体" w:cs="Times New Roman"/>
          <w:color w:val="000000" w:themeColor="text1"/>
          <w:kern w:val="2"/>
          <w:sz w:val="21"/>
          <w:szCs w:val="21"/>
          <w14:textFill>
            <w14:solidFill>
              <w14:schemeClr w14:val="tx1"/>
            </w14:solidFill>
          </w14:textFill>
        </w:rPr>
      </w:pPr>
    </w:p>
    <w:p>
      <w:pPr>
        <w:pStyle w:val="135"/>
        <w:spacing w:line="490" w:lineRule="exact"/>
        <w:ind w:firstLine="525" w:firstLineChars="2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p>
    <w:p>
      <w:pPr>
        <w:pStyle w:val="135"/>
        <w:spacing w:line="490" w:lineRule="exact"/>
        <w:ind w:firstLine="525" w:firstLineChars="2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p>
    <w:p>
      <w:pPr>
        <w:pStyle w:val="135"/>
        <w:spacing w:line="560" w:lineRule="exact"/>
        <w:ind w:firstLine="525" w:firstLineChars="250"/>
        <w:rPr>
          <w:rFonts w:hAnsi="宋体" w:cs="Times New Roman"/>
          <w:color w:val="000000" w:themeColor="text1"/>
          <w:kern w:val="2"/>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pStyle w:val="135"/>
        <w:spacing w:line="560" w:lineRule="exact"/>
        <w:rPr>
          <w:rFonts w:hAnsi="宋体" w:cs="Times New Roman"/>
          <w:color w:val="000000" w:themeColor="text1"/>
          <w:kern w:val="2"/>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w:t>
      </w:r>
      <w:r>
        <w:rPr>
          <w:rFonts w:hAnsi="宋体" w:cs="Times New Roman"/>
          <w:color w:val="000000" w:themeColor="text1"/>
          <w:kern w:val="2"/>
          <w:sz w:val="21"/>
          <w:szCs w:val="21"/>
          <w14:textFill>
            <w14:solidFill>
              <w14:schemeClr w14:val="tx1"/>
            </w14:solidFill>
          </w14:textFill>
        </w:rPr>
        <w:t>2</w:t>
      </w:r>
      <w:r>
        <w:rPr>
          <w:rFonts w:hAnsi="宋体"/>
          <w:color w:val="000000" w:themeColor="text1"/>
          <w:sz w:val="21"/>
          <w:szCs w:val="21"/>
          <w14:textFill>
            <w14:solidFill>
              <w14:schemeClr w14:val="tx1"/>
            </w14:solidFill>
          </w14:textFill>
        </w:rPr>
        <w:t xml:space="preserve"> </w:t>
      </w:r>
    </w:p>
    <w:p>
      <w:pPr>
        <w:spacing w:line="49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供应商基本情况</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名称及概况：</w:t>
      </w:r>
    </w:p>
    <w:p>
      <w:pPr>
        <w:pStyle w:val="135"/>
        <w:spacing w:line="490" w:lineRule="exact"/>
        <w:ind w:firstLine="210" w:firstLineChars="100"/>
        <w:rPr>
          <w:rFonts w:hAnsi="宋体"/>
          <w:color w:val="000000" w:themeColor="text1"/>
          <w:sz w:val="21"/>
          <w:szCs w:val="21"/>
          <w:u w:val="single"/>
          <w14:textFill>
            <w14:solidFill>
              <w14:schemeClr w14:val="tx1"/>
            </w14:solidFill>
          </w14:textFill>
        </w:rPr>
      </w:pPr>
      <w:r>
        <w:rPr>
          <w:rFonts w:hAnsi="宋体"/>
          <w:color w:val="000000" w:themeColor="text1"/>
          <w:sz w:val="21"/>
          <w:szCs w:val="21"/>
          <w14:textFill>
            <w14:solidFill>
              <w14:schemeClr w14:val="tx1"/>
            </w14:solidFill>
          </w14:textFill>
        </w:rPr>
        <w:t xml:space="preserve">(1) </w:t>
      </w:r>
      <w:r>
        <w:rPr>
          <w:rFonts w:hint="eastAsia" w:hAnsi="宋体"/>
          <w:color w:val="000000" w:themeColor="text1"/>
          <w:sz w:val="21"/>
          <w:szCs w:val="21"/>
          <w14:textFill>
            <w14:solidFill>
              <w14:schemeClr w14:val="tx1"/>
            </w14:solidFill>
          </w14:textFill>
        </w:rPr>
        <w:t>供应商名称：</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ind w:firstLine="1050" w:firstLineChars="5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地址：</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ind w:firstLine="1050" w:firstLineChars="5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传真</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电话号码：</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 xml:space="preserve"> 邮政编码：</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ind w:firstLine="210" w:firstLineChars="1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(2) </w:t>
      </w:r>
      <w:r>
        <w:rPr>
          <w:rFonts w:hint="eastAsia" w:hAnsi="宋体"/>
          <w:color w:val="000000" w:themeColor="text1"/>
          <w:sz w:val="21"/>
          <w:szCs w:val="21"/>
          <w14:textFill>
            <w14:solidFill>
              <w14:schemeClr w14:val="tx1"/>
            </w14:solidFill>
          </w14:textFill>
        </w:rPr>
        <w:t>成立或注册日期：</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ind w:firstLine="210" w:firstLineChars="1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(3) </w:t>
      </w:r>
      <w:r>
        <w:rPr>
          <w:rFonts w:hint="eastAsia" w:hAnsi="宋体"/>
          <w:color w:val="000000" w:themeColor="text1"/>
          <w:sz w:val="21"/>
          <w:szCs w:val="21"/>
          <w14:textFill>
            <w14:solidFill>
              <w14:schemeClr w14:val="tx1"/>
            </w14:solidFill>
          </w14:textFill>
        </w:rPr>
        <w:t>注册号码：</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Ansi="宋体"/>
          <w:color w:val="000000" w:themeColor="text1"/>
          <w:sz w:val="21"/>
          <w:szCs w:val="21"/>
          <w14:textFill>
            <w14:solidFill>
              <w14:schemeClr w14:val="tx1"/>
            </w14:solidFill>
          </w14:textFill>
        </w:rPr>
        <w:t xml:space="preserve">2. </w:t>
      </w:r>
      <w:r>
        <w:rPr>
          <w:rFonts w:hint="eastAsia" w:hAnsi="宋体"/>
          <w:color w:val="000000" w:themeColor="text1"/>
          <w:sz w:val="21"/>
          <w:szCs w:val="21"/>
          <w14:textFill>
            <w14:solidFill>
              <w14:schemeClr w14:val="tx1"/>
            </w14:solidFill>
          </w14:textFill>
        </w:rPr>
        <w:t>经营范围：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ind w:left="315" w:hanging="315" w:hanging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3．开立基本帐户银行的名称和地址：</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（提供注册地人民银行开户许可证复印件）</w:t>
      </w:r>
    </w:p>
    <w:p>
      <w:pPr>
        <w:pStyle w:val="135"/>
        <w:spacing w:line="490" w:lineRule="exact"/>
        <w:ind w:left="315" w:hanging="315" w:hanging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4．提供营业执照副本、税务登记证副本、组织机构代码证副本</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自然人为供应商时，提供自然人身份证明</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等证明材料的复印件。</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兹声明上述数据和资料是真实、正确的，我们同意遵照贵方要求出示有关证明文件。</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_</w:t>
      </w: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附件3</w:t>
      </w:r>
    </w:p>
    <w:p>
      <w:pPr>
        <w:spacing w:line="490" w:lineRule="exact"/>
        <w:jc w:val="center"/>
        <w:rPr>
          <w:rFonts w:ascii="宋体" w:hAnsi="宋体"/>
          <w:color w:val="FF0000"/>
          <w:szCs w:val="21"/>
        </w:rPr>
      </w:pPr>
      <w:r>
        <w:rPr>
          <w:rFonts w:hint="eastAsia" w:ascii="宋体" w:hAnsi="宋体"/>
          <w:b/>
          <w:color w:val="FF0000"/>
          <w:szCs w:val="21"/>
        </w:rPr>
        <w:t>特定资格证明材料</w:t>
      </w:r>
      <w:r>
        <w:rPr>
          <w:rFonts w:ascii="宋体" w:hAnsi="宋体"/>
          <w:color w:val="FF0000"/>
          <w:szCs w:val="21"/>
        </w:rPr>
        <w:t xml:space="preserve"> </w:t>
      </w:r>
    </w:p>
    <w:p>
      <w:pPr>
        <w:pStyle w:val="135"/>
        <w:spacing w:line="490" w:lineRule="exact"/>
        <w:rPr>
          <w:rFonts w:hAnsi="宋体"/>
          <w:color w:val="FF0000"/>
          <w:sz w:val="21"/>
          <w:szCs w:val="21"/>
        </w:rPr>
      </w:pPr>
    </w:p>
    <w:p>
      <w:pPr>
        <w:pStyle w:val="135"/>
        <w:spacing w:line="490" w:lineRule="exact"/>
        <w:ind w:firstLine="495" w:firstLineChars="236"/>
        <w:rPr>
          <w:rFonts w:hAnsi="宋体"/>
          <w:color w:val="FF0000"/>
          <w:sz w:val="21"/>
          <w:szCs w:val="21"/>
        </w:rPr>
      </w:pPr>
      <w:r>
        <w:rPr>
          <w:rFonts w:hint="eastAsia" w:hAnsi="宋体"/>
          <w:color w:val="FF0000"/>
          <w:sz w:val="21"/>
          <w:szCs w:val="21"/>
        </w:rPr>
        <w:t>提供 “投标须知”规定的特定资格（包括供应商从事投标货物的生产、销售或经营、安装、集成等）证明材料的复印件（盖公章）</w:t>
      </w:r>
    </w:p>
    <w:p>
      <w:pPr>
        <w:pStyle w:val="135"/>
        <w:spacing w:line="490" w:lineRule="exact"/>
        <w:ind w:firstLine="495" w:firstLineChars="236"/>
        <w:rPr>
          <w:rFonts w:hAnsi="宋体"/>
          <w:color w:val="FF0000"/>
          <w:sz w:val="21"/>
          <w:szCs w:val="21"/>
        </w:rPr>
      </w:pPr>
    </w:p>
    <w:p>
      <w:pPr>
        <w:spacing w:line="490" w:lineRule="exact"/>
        <w:jc w:val="center"/>
        <w:outlineLvl w:val="1"/>
        <w:rPr>
          <w:rFonts w:ascii="宋体" w:hAnsi="宋体"/>
          <w:b/>
          <w:color w:val="FF0000"/>
          <w:szCs w:val="21"/>
        </w:rPr>
      </w:pPr>
      <w:bookmarkStart w:id="17" w:name="_Toc28549"/>
    </w:p>
    <w:p>
      <w:pPr>
        <w:spacing w:line="490" w:lineRule="exact"/>
        <w:jc w:val="center"/>
        <w:outlineLvl w:val="1"/>
        <w:rPr>
          <w:rFonts w:ascii="宋体" w:hAnsi="宋体"/>
          <w:b/>
          <w:color w:val="FF0000"/>
          <w:szCs w:val="21"/>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六、商务响应说明书</w:t>
      </w:r>
      <w:bookmarkEnd w:id="17"/>
    </w:p>
    <w:p>
      <w:pPr>
        <w:pStyle w:val="135"/>
        <w:jc w:val="center"/>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项目名称及</w:t>
      </w:r>
      <w:r>
        <w:rPr>
          <w:rFonts w:hint="eastAsia" w:hAnsi="宋体"/>
          <w:color w:val="0000FF"/>
          <w:sz w:val="21"/>
          <w:szCs w:val="21"/>
        </w:rPr>
        <w:t>包号</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招标编号：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按照磋商文件的商务要求编制商务响应说明书，格式不限。</w:t>
      </w:r>
      <w:r>
        <w:rPr>
          <w:rFonts w:hAnsi="宋体"/>
          <w:color w:val="000000" w:themeColor="text1"/>
          <w:sz w:val="21"/>
          <w:szCs w:val="21"/>
          <w14:textFill>
            <w14:solidFill>
              <w14:schemeClr w14:val="tx1"/>
            </w14:solidFill>
          </w14:textFill>
        </w:rPr>
        <w:t xml:space="preserve"> </w:t>
      </w:r>
    </w:p>
    <w:p>
      <w:pPr>
        <w:pStyle w:val="135"/>
        <w:spacing w:line="490" w:lineRule="exact"/>
        <w:ind w:firstLine="210" w:firstLineChars="1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但内容至少应包括如下：</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1. </w:t>
      </w:r>
      <w:r>
        <w:rPr>
          <w:rFonts w:hint="eastAsia" w:hAnsi="宋体"/>
          <w:color w:val="000000" w:themeColor="text1"/>
          <w:sz w:val="21"/>
          <w:szCs w:val="21"/>
          <w14:textFill>
            <w14:solidFill>
              <w14:schemeClr w14:val="tx1"/>
            </w14:solidFill>
          </w14:textFill>
        </w:rPr>
        <w:t>投标报价所包含的全部货物内容；</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2. </w:t>
      </w:r>
      <w:r>
        <w:rPr>
          <w:rFonts w:hint="eastAsia" w:hAnsi="宋体"/>
          <w:color w:val="000000" w:themeColor="text1"/>
          <w:sz w:val="21"/>
          <w:szCs w:val="21"/>
          <w14:textFill>
            <w14:solidFill>
              <w14:schemeClr w14:val="tx1"/>
            </w14:solidFill>
          </w14:textFill>
        </w:rPr>
        <w:t>交货期；</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4. </w:t>
      </w:r>
      <w:r>
        <w:rPr>
          <w:rFonts w:hint="eastAsia" w:hAnsi="宋体"/>
          <w:color w:val="000000" w:themeColor="text1"/>
          <w:sz w:val="21"/>
          <w:szCs w:val="21"/>
          <w14:textFill>
            <w14:solidFill>
              <w14:schemeClr w14:val="tx1"/>
            </w14:solidFill>
          </w14:textFill>
        </w:rPr>
        <w:t>交货地点；</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5. </w:t>
      </w:r>
      <w:r>
        <w:rPr>
          <w:rFonts w:hint="eastAsia" w:hAnsi="宋体"/>
          <w:color w:val="000000" w:themeColor="text1"/>
          <w:sz w:val="21"/>
          <w:szCs w:val="21"/>
          <w14:textFill>
            <w14:solidFill>
              <w14:schemeClr w14:val="tx1"/>
            </w14:solidFill>
          </w14:textFill>
        </w:rPr>
        <w:t>付款条件和付款方式；</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6. </w:t>
      </w:r>
      <w:r>
        <w:rPr>
          <w:rFonts w:hint="eastAsia" w:hAnsi="宋体"/>
          <w:color w:val="000000" w:themeColor="text1"/>
          <w:sz w:val="21"/>
          <w:szCs w:val="21"/>
          <w14:textFill>
            <w14:solidFill>
              <w14:schemeClr w14:val="tx1"/>
            </w14:solidFill>
          </w14:textFill>
        </w:rPr>
        <w:t>验收依据及验收方式；</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_</w:t>
      </w: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spacing w:line="490" w:lineRule="exact"/>
        <w:jc w:val="center"/>
        <w:outlineLvl w:val="1"/>
        <w:rPr>
          <w:rFonts w:ascii="宋体" w:hAnsi="宋体"/>
          <w:color w:val="000000" w:themeColor="text1"/>
          <w:szCs w:val="21"/>
          <w14:textFill>
            <w14:solidFill>
              <w14:schemeClr w14:val="tx1"/>
            </w14:solidFill>
          </w14:textFill>
        </w:rPr>
      </w:pPr>
      <w:bookmarkStart w:id="18" w:name="_Toc15453"/>
      <w:r>
        <w:rPr>
          <w:rFonts w:hint="eastAsia" w:ascii="宋体" w:hAnsi="宋体"/>
          <w:b/>
          <w:color w:val="000000" w:themeColor="text1"/>
          <w:szCs w:val="21"/>
          <w14:textFill>
            <w14:solidFill>
              <w14:schemeClr w14:val="tx1"/>
            </w14:solidFill>
          </w14:textFill>
        </w:rPr>
        <w:t>七、投标方案说明书</w:t>
      </w:r>
      <w:bookmarkEnd w:id="18"/>
    </w:p>
    <w:p>
      <w:pPr>
        <w:pStyle w:val="135"/>
        <w:jc w:val="center"/>
        <w:rPr>
          <w:rFonts w:hAnsi="宋体"/>
          <w:color w:val="000000" w:themeColor="text1"/>
          <w:sz w:val="21"/>
          <w:szCs w:val="21"/>
          <w14:textFill>
            <w14:solidFill>
              <w14:schemeClr w14:val="tx1"/>
            </w14:solidFill>
          </w14:textFill>
        </w:rPr>
      </w:pP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按照磋商文件的要求编制的投标方案说明书，内容包括的详细说明、内容响应表、质量保证和售后服务承诺等。至少应包括如下：</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）技术说明书</w:t>
      </w:r>
      <w:r>
        <w:rPr>
          <w:rFonts w:hAnsi="宋体"/>
          <w:color w:val="000000" w:themeColor="text1"/>
          <w:sz w:val="21"/>
          <w:szCs w:val="21"/>
          <w14:textFill>
            <w14:solidFill>
              <w14:schemeClr w14:val="tx1"/>
            </w14:solidFill>
          </w14:textFill>
        </w:rPr>
        <w:t xml:space="preserve"> </w:t>
      </w:r>
    </w:p>
    <w:p>
      <w:pPr>
        <w:pStyle w:val="135"/>
        <w:spacing w:line="490" w:lineRule="exact"/>
        <w:ind w:firstLine="630" w:firstLineChars="3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1.1</w:t>
      </w:r>
      <w:r>
        <w:rPr>
          <w:rFonts w:hint="eastAsia" w:hAnsi="宋体"/>
          <w:color w:val="000000" w:themeColor="text1"/>
          <w:sz w:val="21"/>
          <w:szCs w:val="21"/>
          <w14:textFill>
            <w14:solidFill>
              <w14:schemeClr w14:val="tx1"/>
            </w14:solidFill>
          </w14:textFill>
        </w:rPr>
        <w:t>所投内容的详细清单；</w:t>
      </w:r>
      <w:r>
        <w:rPr>
          <w:rFonts w:hAnsi="宋体"/>
          <w:color w:val="000000" w:themeColor="text1"/>
          <w:sz w:val="21"/>
          <w:szCs w:val="21"/>
          <w14:textFill>
            <w14:solidFill>
              <w14:schemeClr w14:val="tx1"/>
            </w14:solidFill>
          </w14:textFill>
        </w:rPr>
        <w:t xml:space="preserve"> </w:t>
      </w:r>
    </w:p>
    <w:p>
      <w:pPr>
        <w:pStyle w:val="135"/>
        <w:spacing w:line="490" w:lineRule="exact"/>
        <w:ind w:firstLine="630" w:firstLineChars="3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1.2</w:t>
      </w:r>
      <w:r>
        <w:rPr>
          <w:rFonts w:hint="eastAsia" w:hAnsi="宋体"/>
          <w:color w:val="000000" w:themeColor="text1"/>
          <w:sz w:val="21"/>
          <w:szCs w:val="21"/>
          <w14:textFill>
            <w14:solidFill>
              <w14:schemeClr w14:val="tx1"/>
            </w14:solidFill>
          </w14:textFill>
        </w:rPr>
        <w:t>填写技术规格响应表，并提供支持文件。（如果有的话）</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）服务内容一览表。</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 xml:space="preserve"> 服务内容的详细说明。</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4）服务内容优于或偏离技术要求的指标（如果有的话）。</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5）质量保证措施、培训方案、售后服务的内容及承诺。</w:t>
      </w: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s="Times New Roman"/>
          <w:color w:val="000000" w:themeColor="text1"/>
          <w:kern w:val="2"/>
          <w:sz w:val="2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p>
    <w:p>
      <w:pPr>
        <w:pStyle w:val="135"/>
        <w:spacing w:line="560" w:lineRule="exact"/>
        <w:rPr>
          <w:rFonts w:hAnsi="宋体"/>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w:t>
      </w:r>
      <w:r>
        <w:rPr>
          <w:rFonts w:hAnsi="宋体" w:cs="Times New Roman"/>
          <w:color w:val="000000" w:themeColor="text1"/>
          <w:kern w:val="2"/>
          <w:sz w:val="21"/>
          <w:szCs w:val="21"/>
          <w14:textFill>
            <w14:solidFill>
              <w14:schemeClr w14:val="tx1"/>
            </w14:solidFill>
          </w14:textFill>
        </w:rPr>
        <w:t>1</w:t>
      </w:r>
      <w:r>
        <w:rPr>
          <w:rFonts w:hAnsi="宋体"/>
          <w:color w:val="000000" w:themeColor="text1"/>
          <w:sz w:val="21"/>
          <w:szCs w:val="21"/>
          <w14:textFill>
            <w14:solidFill>
              <w14:schemeClr w14:val="tx1"/>
            </w14:solidFill>
          </w14:textFill>
        </w:rPr>
        <w:t xml:space="preserve"> </w:t>
      </w:r>
    </w:p>
    <w:p>
      <w:pPr>
        <w:pStyle w:val="135"/>
        <w:spacing w:line="490" w:lineRule="exact"/>
        <w:jc w:val="center"/>
        <w:rPr>
          <w:rFonts w:hAnsi="宋体"/>
          <w:color w:val="000000" w:themeColor="text1"/>
          <w:sz w:val="21"/>
          <w:szCs w:val="21"/>
          <w14:textFill>
            <w14:solidFill>
              <w14:schemeClr w14:val="tx1"/>
            </w14:solidFill>
          </w14:textFill>
        </w:rPr>
      </w:pPr>
      <w:r>
        <w:rPr>
          <w:rFonts w:hint="eastAsia" w:hAnsi="宋体" w:cs="Times New Roman"/>
          <w:b/>
          <w:color w:val="000000" w:themeColor="text1"/>
          <w:kern w:val="2"/>
          <w:sz w:val="21"/>
          <w:szCs w:val="21"/>
          <w14:textFill>
            <w14:solidFill>
              <w14:schemeClr w14:val="tx1"/>
            </w14:solidFill>
          </w14:textFill>
        </w:rPr>
        <w:t>技术规格响应表</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项目名称</w:t>
      </w:r>
      <w:r>
        <w:rPr>
          <w:rFonts w:hint="eastAsia" w:hAnsi="宋体"/>
          <w:color w:val="000000" w:themeColor="text1"/>
          <w:sz w:val="21"/>
          <w:szCs w:val="21"/>
          <w:lang w:val="en-US" w:eastAsia="zh-CN"/>
          <w14:textFill>
            <w14:solidFill>
              <w14:schemeClr w14:val="tx1"/>
            </w14:solidFill>
          </w14:textFill>
        </w:rPr>
        <w:t>及包号</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default" w:hAnsi="宋体"/>
          <w:color w:val="000000" w:themeColor="text1"/>
          <w:sz w:val="21"/>
          <w:szCs w:val="21"/>
          <w:u w:val="single"/>
          <w:lang w:val="en-US"/>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招标编号：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  </w:t>
      </w:r>
    </w:p>
    <w:p>
      <w:pPr>
        <w:pStyle w:val="135"/>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0"/>
        <w:gridCol w:w="2480"/>
        <w:gridCol w:w="2410"/>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服务项目</w:t>
            </w:r>
          </w:p>
          <w:p>
            <w:pPr>
              <w:jc w:val="center"/>
              <w:rPr>
                <w:rFonts w:ascii="宋体" w:hAnsi="宋体"/>
                <w:sz w:val="24"/>
              </w:rPr>
            </w:pPr>
            <w:r>
              <w:rPr>
                <w:rFonts w:hint="eastAsia" w:ascii="宋体" w:hAnsi="宋体"/>
                <w:sz w:val="24"/>
              </w:rPr>
              <w:t>名称</w:t>
            </w:r>
          </w:p>
        </w:tc>
        <w:tc>
          <w:tcPr>
            <w:tcW w:w="248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r>
              <w:rPr>
                <w:rFonts w:hint="eastAsia" w:ascii="宋体" w:hAnsi="宋体"/>
                <w:sz w:val="24"/>
              </w:rPr>
              <w:t>竞争性磋商文件</w:t>
            </w:r>
          </w:p>
          <w:p>
            <w:pPr>
              <w:jc w:val="center"/>
              <w:rPr>
                <w:rFonts w:ascii="宋体" w:hAnsi="宋体"/>
                <w:sz w:val="24"/>
              </w:rPr>
            </w:pPr>
            <w:r>
              <w:rPr>
                <w:rFonts w:hint="eastAsia" w:ascii="宋体" w:hAnsi="宋体"/>
                <w:sz w:val="24"/>
              </w:rPr>
              <w:t>技术规格</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r>
              <w:rPr>
                <w:rFonts w:hint="eastAsia" w:ascii="宋体" w:hAnsi="宋体"/>
                <w:sz w:val="24"/>
              </w:rPr>
              <w:t>竞争性磋商响应文件</w:t>
            </w:r>
          </w:p>
          <w:p>
            <w:pPr>
              <w:jc w:val="center"/>
              <w:rPr>
                <w:rFonts w:ascii="宋体" w:hAnsi="宋体"/>
                <w:sz w:val="24"/>
              </w:rPr>
            </w:pPr>
            <w:r>
              <w:rPr>
                <w:rFonts w:hint="eastAsia" w:ascii="宋体" w:hAnsi="宋体"/>
                <w:sz w:val="24"/>
              </w:rPr>
              <w:t>投标规格</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偏 离</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82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8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2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8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2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8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2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8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bl>
    <w:p>
      <w:pPr>
        <w:pStyle w:val="135"/>
        <w:spacing w:line="56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w:t>
      </w:r>
      <w:r>
        <w:rPr>
          <w:rFonts w:hAnsi="宋体"/>
          <w:color w:val="000000" w:themeColor="text1"/>
          <w:sz w:val="21"/>
          <w:szCs w:val="21"/>
          <w14:textFill>
            <w14:solidFill>
              <w14:schemeClr w14:val="tx1"/>
            </w14:solidFill>
          </w14:textFill>
        </w:rPr>
        <w:t xml:space="preserve">: 1. </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指磋商文件中的技术规格</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参数</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，供应商应按照磋商文件中的内容逐条抄写。</w:t>
      </w:r>
      <w:r>
        <w:rPr>
          <w:rFonts w:hAnsi="宋体"/>
          <w:color w:val="000000" w:themeColor="text1"/>
          <w:sz w:val="21"/>
          <w:szCs w:val="21"/>
          <w14:textFill>
            <w14:solidFill>
              <w14:schemeClr w14:val="tx1"/>
            </w14:solidFill>
          </w14:textFill>
        </w:rPr>
        <w:t xml:space="preserve"> </w:t>
      </w:r>
    </w:p>
    <w:p>
      <w:pPr>
        <w:pStyle w:val="135"/>
        <w:spacing w:line="56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2. </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指供应商拟提供的投标货物的功能及技术规格</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参数</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，供应商应逐条如实填写并提供相应的支持文件。</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_</w:t>
      </w: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56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w:t>
      </w:r>
      <w:r>
        <w:rPr>
          <w:rFonts w:hAnsi="宋体" w:cs="Times New Roman"/>
          <w:color w:val="000000" w:themeColor="text1"/>
          <w:kern w:val="2"/>
          <w:sz w:val="21"/>
          <w:szCs w:val="21"/>
          <w14:textFill>
            <w14:solidFill>
              <w14:schemeClr w14:val="tx1"/>
            </w14:solidFill>
          </w14:textFill>
        </w:rPr>
        <w:t>2</w:t>
      </w:r>
      <w:r>
        <w:rPr>
          <w:rFonts w:hAnsi="宋体"/>
          <w:color w:val="000000" w:themeColor="text1"/>
          <w:sz w:val="21"/>
          <w:szCs w:val="21"/>
          <w14:textFill>
            <w14:solidFill>
              <w14:schemeClr w14:val="tx1"/>
            </w14:solidFill>
          </w14:textFill>
        </w:rPr>
        <w:t xml:space="preserve"> </w:t>
      </w:r>
    </w:p>
    <w:p>
      <w:pPr>
        <w:pStyle w:val="135"/>
        <w:spacing w:line="490" w:lineRule="exact"/>
        <w:jc w:val="center"/>
        <w:rPr>
          <w:rFonts w:hAnsi="宋体"/>
          <w:color w:val="000000" w:themeColor="text1"/>
          <w:sz w:val="21"/>
          <w:szCs w:val="21"/>
          <w14:textFill>
            <w14:solidFill>
              <w14:schemeClr w14:val="tx1"/>
            </w14:solidFill>
          </w14:textFill>
        </w:rPr>
      </w:pPr>
      <w:r>
        <w:rPr>
          <w:rFonts w:hint="eastAsia" w:hAnsi="宋体" w:cs="Times New Roman"/>
          <w:b/>
          <w:color w:val="000000" w:themeColor="text1"/>
          <w:kern w:val="2"/>
          <w:sz w:val="21"/>
          <w:szCs w:val="21"/>
          <w14:textFill>
            <w14:solidFill>
              <w14:schemeClr w14:val="tx1"/>
            </w14:solidFill>
          </w14:textFill>
        </w:rPr>
        <w:t>供货一览表</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ind w:firstLine="420" w:firstLineChars="20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项目名称及包号：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招标编号：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300" w:lineRule="exact"/>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p>
      <w:pPr>
        <w:pStyle w:val="135"/>
        <w:spacing w:line="300" w:lineRule="exact"/>
        <w:rPr>
          <w:rFonts w:hAnsi="宋体"/>
          <w:color w:val="000000" w:themeColor="text1"/>
          <w:sz w:val="21"/>
          <w:szCs w:val="21"/>
          <w14:textFill>
            <w14:solidFill>
              <w14:schemeClr w14:val="tx1"/>
            </w14:solidFill>
          </w14:textFill>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272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序号</w:t>
            </w:r>
          </w:p>
        </w:tc>
        <w:tc>
          <w:tcPr>
            <w:tcW w:w="2725" w:type="dxa"/>
            <w:vAlign w:val="center"/>
          </w:tcPr>
          <w:p>
            <w:pPr>
              <w:pStyle w:val="135"/>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内容</w:t>
            </w:r>
          </w:p>
        </w:tc>
        <w:tc>
          <w:tcPr>
            <w:tcW w:w="1705" w:type="dxa"/>
            <w:vAlign w:val="center"/>
          </w:tcPr>
          <w:p>
            <w:pPr>
              <w:pStyle w:val="135"/>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地点</w:t>
            </w:r>
          </w:p>
        </w:tc>
        <w:tc>
          <w:tcPr>
            <w:tcW w:w="1705" w:type="dxa"/>
            <w:vAlign w:val="center"/>
          </w:tcPr>
          <w:p>
            <w:pPr>
              <w:pStyle w:val="135"/>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bl>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ind w:left="283" w:leftChars="135"/>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ind w:left="283" w:leftChars="135"/>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_</w:t>
      </w: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ind w:left="283" w:leftChars="135"/>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autoSpaceDE w:val="0"/>
        <w:autoSpaceDN w:val="0"/>
        <w:adjustRightInd w:val="0"/>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rPr>
          <w:rFonts w:ascii="宋体" w:hAnsi="宋体" w:cs="宋体"/>
          <w:color w:val="000000" w:themeColor="text1"/>
          <w:kern w:val="0"/>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bookmarkStart w:id="19" w:name="_Toc4200"/>
    </w:p>
    <w:p>
      <w:pPr>
        <w:spacing w:line="490" w:lineRule="exact"/>
        <w:jc w:val="center"/>
        <w:outlineLvl w:val="1"/>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八、供应商认为有必须提供的其他资料</w:t>
      </w:r>
      <w:bookmarkEnd w:id="19"/>
    </w:p>
    <w:p>
      <w:pPr>
        <w:pStyle w:val="135"/>
        <w:rPr>
          <w:rFonts w:hAnsi="宋体"/>
          <w:color w:val="000000" w:themeColor="text1"/>
          <w:sz w:val="21"/>
          <w:szCs w:val="21"/>
          <w14:textFill>
            <w14:solidFill>
              <w14:schemeClr w14:val="tx1"/>
            </w14:solidFill>
          </w14:textFill>
        </w:rPr>
      </w:pPr>
    </w:p>
    <w:p>
      <w:pPr>
        <w:pStyle w:val="135"/>
        <w:jc w:val="center"/>
        <w:outlineLvl w:val="0"/>
        <w:rPr>
          <w:rFonts w:hAnsi="宋体"/>
          <w:color w:val="000000" w:themeColor="text1"/>
          <w:sz w:val="21"/>
          <w:szCs w:val="21"/>
          <w14:textFill>
            <w14:solidFill>
              <w14:schemeClr w14:val="tx1"/>
            </w14:solidFill>
          </w14:textFill>
        </w:rPr>
      </w:pPr>
      <w:bookmarkStart w:id="20" w:name="_Toc12738"/>
      <w:bookmarkStart w:id="21" w:name="_Toc12885"/>
      <w:r>
        <w:rPr>
          <w:rFonts w:hint="eastAsia" w:hAnsi="宋体"/>
          <w:color w:val="000000" w:themeColor="text1"/>
          <w:sz w:val="21"/>
          <w:szCs w:val="21"/>
          <w14:textFill>
            <w14:solidFill>
              <w14:schemeClr w14:val="tx1"/>
            </w14:solidFill>
          </w14:textFill>
        </w:rPr>
        <w:t>（格式自定）</w:t>
      </w:r>
      <w:bookmarkEnd w:id="20"/>
      <w:bookmarkEnd w:id="21"/>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sectPr>
      <w:pgSz w:w="11906" w:h="16838"/>
      <w:pgMar w:top="1440" w:right="1274" w:bottom="1440"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E4002EFF" w:usb1="C2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Syntax">
    <w:altName w:val="Segoe Print"/>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New York">
    <w:altName w:val="Segoe Print"/>
    <w:panose1 w:val="020405030605060203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华文新魏">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870" w:firstLineChars="2150"/>
    </w:pPr>
    <w:r>
      <w:fldChar w:fldCharType="begin"/>
    </w:r>
    <w:r>
      <w:instrText xml:space="preserve"> PAGE   \* MERGEFORMAT </w:instrText>
    </w:r>
    <w:r>
      <w:fldChar w:fldCharType="separate"/>
    </w:r>
    <w:r>
      <w:t>18</w:t>
    </w:r>
    <w: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A621CC"/>
    <w:multiLevelType w:val="singleLevel"/>
    <w:tmpl w:val="64A621C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0ZThlN2U1NDdjZmJiZmQ5M2FmNWExOThiNzExMTMifQ=="/>
    <w:docVar w:name="KSO_WPS_MARK_KEY" w:val="b50ed21b-f92f-480f-8e23-2e17a70e5153"/>
  </w:docVars>
  <w:rsids>
    <w:rsidRoot w:val="00BD2915"/>
    <w:rsid w:val="00000697"/>
    <w:rsid w:val="000132C8"/>
    <w:rsid w:val="00013C27"/>
    <w:rsid w:val="00015EFD"/>
    <w:rsid w:val="00022DE3"/>
    <w:rsid w:val="00030C51"/>
    <w:rsid w:val="00031F2B"/>
    <w:rsid w:val="000351AA"/>
    <w:rsid w:val="00036DAE"/>
    <w:rsid w:val="00037918"/>
    <w:rsid w:val="00042D51"/>
    <w:rsid w:val="00046C1C"/>
    <w:rsid w:val="000530AC"/>
    <w:rsid w:val="00057985"/>
    <w:rsid w:val="000617AA"/>
    <w:rsid w:val="00064973"/>
    <w:rsid w:val="00074ACA"/>
    <w:rsid w:val="000765E4"/>
    <w:rsid w:val="00080F97"/>
    <w:rsid w:val="000A139D"/>
    <w:rsid w:val="000A67A9"/>
    <w:rsid w:val="000A720F"/>
    <w:rsid w:val="000B05CB"/>
    <w:rsid w:val="000B67C1"/>
    <w:rsid w:val="000C27D4"/>
    <w:rsid w:val="000C2F00"/>
    <w:rsid w:val="000C5357"/>
    <w:rsid w:val="000E115C"/>
    <w:rsid w:val="000E2901"/>
    <w:rsid w:val="001021A3"/>
    <w:rsid w:val="00113313"/>
    <w:rsid w:val="00116A2E"/>
    <w:rsid w:val="00116CE5"/>
    <w:rsid w:val="00120EE5"/>
    <w:rsid w:val="001261A2"/>
    <w:rsid w:val="001320C1"/>
    <w:rsid w:val="00132C9A"/>
    <w:rsid w:val="00137910"/>
    <w:rsid w:val="001447A3"/>
    <w:rsid w:val="0015056E"/>
    <w:rsid w:val="001528C1"/>
    <w:rsid w:val="001557E2"/>
    <w:rsid w:val="00162B6D"/>
    <w:rsid w:val="001709EE"/>
    <w:rsid w:val="00171D35"/>
    <w:rsid w:val="0017217A"/>
    <w:rsid w:val="00180163"/>
    <w:rsid w:val="00182472"/>
    <w:rsid w:val="00183CF0"/>
    <w:rsid w:val="0019187F"/>
    <w:rsid w:val="00192D6B"/>
    <w:rsid w:val="001930DE"/>
    <w:rsid w:val="00193ED0"/>
    <w:rsid w:val="001A1A8F"/>
    <w:rsid w:val="001A42F2"/>
    <w:rsid w:val="001B1534"/>
    <w:rsid w:val="001B2837"/>
    <w:rsid w:val="001B3355"/>
    <w:rsid w:val="001B3B8D"/>
    <w:rsid w:val="001C4BDB"/>
    <w:rsid w:val="001C4D47"/>
    <w:rsid w:val="001C51A6"/>
    <w:rsid w:val="001D27D1"/>
    <w:rsid w:val="001D5D8A"/>
    <w:rsid w:val="001D768D"/>
    <w:rsid w:val="001E3DFD"/>
    <w:rsid w:val="001E5570"/>
    <w:rsid w:val="001E6E98"/>
    <w:rsid w:val="001F0E58"/>
    <w:rsid w:val="001F49ED"/>
    <w:rsid w:val="001F7E07"/>
    <w:rsid w:val="00204795"/>
    <w:rsid w:val="00206014"/>
    <w:rsid w:val="002060FE"/>
    <w:rsid w:val="002073B4"/>
    <w:rsid w:val="0021041D"/>
    <w:rsid w:val="0021473C"/>
    <w:rsid w:val="00217C87"/>
    <w:rsid w:val="00220601"/>
    <w:rsid w:val="0022351D"/>
    <w:rsid w:val="00233C5E"/>
    <w:rsid w:val="00236A9E"/>
    <w:rsid w:val="00244722"/>
    <w:rsid w:val="00251158"/>
    <w:rsid w:val="00252C6C"/>
    <w:rsid w:val="00256043"/>
    <w:rsid w:val="00257630"/>
    <w:rsid w:val="00257DC9"/>
    <w:rsid w:val="002637DF"/>
    <w:rsid w:val="00263C77"/>
    <w:rsid w:val="00270B52"/>
    <w:rsid w:val="002715AE"/>
    <w:rsid w:val="002802F2"/>
    <w:rsid w:val="00291383"/>
    <w:rsid w:val="0029421E"/>
    <w:rsid w:val="002965BE"/>
    <w:rsid w:val="002A186A"/>
    <w:rsid w:val="002A7C40"/>
    <w:rsid w:val="002B2CB8"/>
    <w:rsid w:val="002B2E6E"/>
    <w:rsid w:val="002B4D37"/>
    <w:rsid w:val="002C3D71"/>
    <w:rsid w:val="002D1930"/>
    <w:rsid w:val="002D6941"/>
    <w:rsid w:val="00300D36"/>
    <w:rsid w:val="003056E2"/>
    <w:rsid w:val="00306B2F"/>
    <w:rsid w:val="003205ED"/>
    <w:rsid w:val="00320FE9"/>
    <w:rsid w:val="00321754"/>
    <w:rsid w:val="003239E9"/>
    <w:rsid w:val="00346B47"/>
    <w:rsid w:val="00350A38"/>
    <w:rsid w:val="00352EAF"/>
    <w:rsid w:val="00353AE3"/>
    <w:rsid w:val="00356386"/>
    <w:rsid w:val="00360354"/>
    <w:rsid w:val="003620D1"/>
    <w:rsid w:val="00367770"/>
    <w:rsid w:val="00370AC5"/>
    <w:rsid w:val="00374870"/>
    <w:rsid w:val="0037655B"/>
    <w:rsid w:val="0038547C"/>
    <w:rsid w:val="00385D07"/>
    <w:rsid w:val="00385ED9"/>
    <w:rsid w:val="00387587"/>
    <w:rsid w:val="00391F47"/>
    <w:rsid w:val="003927FD"/>
    <w:rsid w:val="00392957"/>
    <w:rsid w:val="003A0B2C"/>
    <w:rsid w:val="003A0B35"/>
    <w:rsid w:val="003A3B1B"/>
    <w:rsid w:val="003A5FCF"/>
    <w:rsid w:val="003B6D58"/>
    <w:rsid w:val="003B6ED0"/>
    <w:rsid w:val="003D38E9"/>
    <w:rsid w:val="003D523F"/>
    <w:rsid w:val="003D71F2"/>
    <w:rsid w:val="003E39C5"/>
    <w:rsid w:val="003F1A19"/>
    <w:rsid w:val="003F7CD4"/>
    <w:rsid w:val="00407A57"/>
    <w:rsid w:val="00407BF3"/>
    <w:rsid w:val="00407F8F"/>
    <w:rsid w:val="004116AC"/>
    <w:rsid w:val="0042093A"/>
    <w:rsid w:val="00420D5C"/>
    <w:rsid w:val="00423FE3"/>
    <w:rsid w:val="004241BF"/>
    <w:rsid w:val="00424B85"/>
    <w:rsid w:val="004325EF"/>
    <w:rsid w:val="00440F26"/>
    <w:rsid w:val="00452181"/>
    <w:rsid w:val="00453EB2"/>
    <w:rsid w:val="004575EF"/>
    <w:rsid w:val="00461684"/>
    <w:rsid w:val="00470194"/>
    <w:rsid w:val="004A1568"/>
    <w:rsid w:val="004A719C"/>
    <w:rsid w:val="004B1ACC"/>
    <w:rsid w:val="004B7B57"/>
    <w:rsid w:val="004C088A"/>
    <w:rsid w:val="004C5EF5"/>
    <w:rsid w:val="004D52D0"/>
    <w:rsid w:val="004E1A3D"/>
    <w:rsid w:val="004E43E8"/>
    <w:rsid w:val="004F2CA9"/>
    <w:rsid w:val="004F44C3"/>
    <w:rsid w:val="004F5E8C"/>
    <w:rsid w:val="004F6A8C"/>
    <w:rsid w:val="00503634"/>
    <w:rsid w:val="00510317"/>
    <w:rsid w:val="005220C0"/>
    <w:rsid w:val="0052230B"/>
    <w:rsid w:val="00531ABC"/>
    <w:rsid w:val="00535C96"/>
    <w:rsid w:val="0054009E"/>
    <w:rsid w:val="00545BDE"/>
    <w:rsid w:val="0056115B"/>
    <w:rsid w:val="005739AF"/>
    <w:rsid w:val="0057629E"/>
    <w:rsid w:val="00577410"/>
    <w:rsid w:val="005805CA"/>
    <w:rsid w:val="00583089"/>
    <w:rsid w:val="00584F69"/>
    <w:rsid w:val="005925C3"/>
    <w:rsid w:val="005A1C6C"/>
    <w:rsid w:val="005A409F"/>
    <w:rsid w:val="005A5154"/>
    <w:rsid w:val="005A6250"/>
    <w:rsid w:val="005B3B9D"/>
    <w:rsid w:val="005B4B03"/>
    <w:rsid w:val="005C7376"/>
    <w:rsid w:val="005E062C"/>
    <w:rsid w:val="005E0A8C"/>
    <w:rsid w:val="005E3DE7"/>
    <w:rsid w:val="005E4648"/>
    <w:rsid w:val="005F54E3"/>
    <w:rsid w:val="005F6316"/>
    <w:rsid w:val="006005D1"/>
    <w:rsid w:val="006032D5"/>
    <w:rsid w:val="00612108"/>
    <w:rsid w:val="00612BF6"/>
    <w:rsid w:val="006132C8"/>
    <w:rsid w:val="006164FE"/>
    <w:rsid w:val="00625CCC"/>
    <w:rsid w:val="00633F1D"/>
    <w:rsid w:val="00634B7F"/>
    <w:rsid w:val="0063625E"/>
    <w:rsid w:val="00644553"/>
    <w:rsid w:val="006453F2"/>
    <w:rsid w:val="00647C85"/>
    <w:rsid w:val="00650CC5"/>
    <w:rsid w:val="00651B0E"/>
    <w:rsid w:val="00652B37"/>
    <w:rsid w:val="00653D8C"/>
    <w:rsid w:val="00660A3B"/>
    <w:rsid w:val="00671947"/>
    <w:rsid w:val="006735A3"/>
    <w:rsid w:val="006849E7"/>
    <w:rsid w:val="00691526"/>
    <w:rsid w:val="00696AB4"/>
    <w:rsid w:val="006A33BA"/>
    <w:rsid w:val="006A5966"/>
    <w:rsid w:val="006A5CB2"/>
    <w:rsid w:val="006A736A"/>
    <w:rsid w:val="006C0E1A"/>
    <w:rsid w:val="006D1E9E"/>
    <w:rsid w:val="006D21FA"/>
    <w:rsid w:val="006D407D"/>
    <w:rsid w:val="006D4678"/>
    <w:rsid w:val="006D75D7"/>
    <w:rsid w:val="006E50E4"/>
    <w:rsid w:val="006F3540"/>
    <w:rsid w:val="006F3D79"/>
    <w:rsid w:val="00702645"/>
    <w:rsid w:val="00703D5C"/>
    <w:rsid w:val="00712630"/>
    <w:rsid w:val="00714D6B"/>
    <w:rsid w:val="00715F98"/>
    <w:rsid w:val="00717AF0"/>
    <w:rsid w:val="0073520D"/>
    <w:rsid w:val="0074145C"/>
    <w:rsid w:val="0074493E"/>
    <w:rsid w:val="007569F8"/>
    <w:rsid w:val="00764673"/>
    <w:rsid w:val="00764D01"/>
    <w:rsid w:val="00766634"/>
    <w:rsid w:val="00767A33"/>
    <w:rsid w:val="00767E44"/>
    <w:rsid w:val="00771120"/>
    <w:rsid w:val="007744B5"/>
    <w:rsid w:val="007761CA"/>
    <w:rsid w:val="007837C2"/>
    <w:rsid w:val="007852FA"/>
    <w:rsid w:val="00790A2B"/>
    <w:rsid w:val="007922A8"/>
    <w:rsid w:val="00797733"/>
    <w:rsid w:val="007A03FB"/>
    <w:rsid w:val="007A0CCB"/>
    <w:rsid w:val="007A4E7F"/>
    <w:rsid w:val="007A6CCA"/>
    <w:rsid w:val="007A701D"/>
    <w:rsid w:val="007A7757"/>
    <w:rsid w:val="007C0314"/>
    <w:rsid w:val="007C7B13"/>
    <w:rsid w:val="007D2050"/>
    <w:rsid w:val="007E1617"/>
    <w:rsid w:val="007E40F9"/>
    <w:rsid w:val="007F0947"/>
    <w:rsid w:val="007F202E"/>
    <w:rsid w:val="007F302D"/>
    <w:rsid w:val="00802463"/>
    <w:rsid w:val="00802F3E"/>
    <w:rsid w:val="008063BD"/>
    <w:rsid w:val="00812616"/>
    <w:rsid w:val="008212E8"/>
    <w:rsid w:val="0082685B"/>
    <w:rsid w:val="0082752B"/>
    <w:rsid w:val="00827F50"/>
    <w:rsid w:val="00835039"/>
    <w:rsid w:val="0085759C"/>
    <w:rsid w:val="00860CFF"/>
    <w:rsid w:val="00862F48"/>
    <w:rsid w:val="008644B9"/>
    <w:rsid w:val="00877BA0"/>
    <w:rsid w:val="00882148"/>
    <w:rsid w:val="00886A72"/>
    <w:rsid w:val="00887381"/>
    <w:rsid w:val="0089594D"/>
    <w:rsid w:val="008A31DF"/>
    <w:rsid w:val="008A4060"/>
    <w:rsid w:val="008A58DF"/>
    <w:rsid w:val="008A6A0C"/>
    <w:rsid w:val="008B3A3A"/>
    <w:rsid w:val="008B3A91"/>
    <w:rsid w:val="008B3B42"/>
    <w:rsid w:val="008D4132"/>
    <w:rsid w:val="008F1307"/>
    <w:rsid w:val="008F23BC"/>
    <w:rsid w:val="008F5953"/>
    <w:rsid w:val="008F6BC2"/>
    <w:rsid w:val="009001F0"/>
    <w:rsid w:val="00900DFF"/>
    <w:rsid w:val="00920EC8"/>
    <w:rsid w:val="0095431A"/>
    <w:rsid w:val="0095621A"/>
    <w:rsid w:val="00964ACF"/>
    <w:rsid w:val="00965AB5"/>
    <w:rsid w:val="0097625E"/>
    <w:rsid w:val="009765E0"/>
    <w:rsid w:val="00977CDB"/>
    <w:rsid w:val="00982796"/>
    <w:rsid w:val="00984214"/>
    <w:rsid w:val="00991392"/>
    <w:rsid w:val="00991F76"/>
    <w:rsid w:val="009A663B"/>
    <w:rsid w:val="009C24CD"/>
    <w:rsid w:val="009C75D1"/>
    <w:rsid w:val="009C787F"/>
    <w:rsid w:val="009D18DE"/>
    <w:rsid w:val="009D3097"/>
    <w:rsid w:val="009E0E71"/>
    <w:rsid w:val="009E6F08"/>
    <w:rsid w:val="009F0115"/>
    <w:rsid w:val="009F2A69"/>
    <w:rsid w:val="009F4DE3"/>
    <w:rsid w:val="009F5965"/>
    <w:rsid w:val="009F63FF"/>
    <w:rsid w:val="00A008A6"/>
    <w:rsid w:val="00A10FDE"/>
    <w:rsid w:val="00A122F5"/>
    <w:rsid w:val="00A17E8E"/>
    <w:rsid w:val="00A20CE4"/>
    <w:rsid w:val="00A244C8"/>
    <w:rsid w:val="00A33984"/>
    <w:rsid w:val="00A36CC8"/>
    <w:rsid w:val="00A37E98"/>
    <w:rsid w:val="00A4163F"/>
    <w:rsid w:val="00A4524A"/>
    <w:rsid w:val="00A47B4A"/>
    <w:rsid w:val="00A52DE0"/>
    <w:rsid w:val="00A5339D"/>
    <w:rsid w:val="00A55886"/>
    <w:rsid w:val="00A57F2B"/>
    <w:rsid w:val="00A64EF5"/>
    <w:rsid w:val="00A8061E"/>
    <w:rsid w:val="00A82F61"/>
    <w:rsid w:val="00A838F6"/>
    <w:rsid w:val="00A912D8"/>
    <w:rsid w:val="00A95C2F"/>
    <w:rsid w:val="00A97230"/>
    <w:rsid w:val="00AA44C6"/>
    <w:rsid w:val="00AB0FA0"/>
    <w:rsid w:val="00AB6E33"/>
    <w:rsid w:val="00AD2E1D"/>
    <w:rsid w:val="00AE06B4"/>
    <w:rsid w:val="00AE3362"/>
    <w:rsid w:val="00AF2362"/>
    <w:rsid w:val="00B00A80"/>
    <w:rsid w:val="00B00D32"/>
    <w:rsid w:val="00B0162E"/>
    <w:rsid w:val="00B0176A"/>
    <w:rsid w:val="00B03410"/>
    <w:rsid w:val="00B11D06"/>
    <w:rsid w:val="00B125ED"/>
    <w:rsid w:val="00B33BF3"/>
    <w:rsid w:val="00B41DDF"/>
    <w:rsid w:val="00B47B0E"/>
    <w:rsid w:val="00B52052"/>
    <w:rsid w:val="00B60269"/>
    <w:rsid w:val="00B711E0"/>
    <w:rsid w:val="00B943EA"/>
    <w:rsid w:val="00B96619"/>
    <w:rsid w:val="00B97898"/>
    <w:rsid w:val="00BA1F12"/>
    <w:rsid w:val="00BA2BC1"/>
    <w:rsid w:val="00BB3A80"/>
    <w:rsid w:val="00BC08D6"/>
    <w:rsid w:val="00BC1275"/>
    <w:rsid w:val="00BC640B"/>
    <w:rsid w:val="00BC6823"/>
    <w:rsid w:val="00BD17DB"/>
    <w:rsid w:val="00BD2915"/>
    <w:rsid w:val="00BD3C85"/>
    <w:rsid w:val="00BD719B"/>
    <w:rsid w:val="00BE0135"/>
    <w:rsid w:val="00BE34F9"/>
    <w:rsid w:val="00BE3DC5"/>
    <w:rsid w:val="00BE42A3"/>
    <w:rsid w:val="00BE4670"/>
    <w:rsid w:val="00BF5974"/>
    <w:rsid w:val="00C01A61"/>
    <w:rsid w:val="00C051A4"/>
    <w:rsid w:val="00C10DE9"/>
    <w:rsid w:val="00C12C6B"/>
    <w:rsid w:val="00C132E6"/>
    <w:rsid w:val="00C134AE"/>
    <w:rsid w:val="00C15345"/>
    <w:rsid w:val="00C1621A"/>
    <w:rsid w:val="00C24839"/>
    <w:rsid w:val="00C31F1B"/>
    <w:rsid w:val="00C334A2"/>
    <w:rsid w:val="00C33E40"/>
    <w:rsid w:val="00C4060F"/>
    <w:rsid w:val="00C4126B"/>
    <w:rsid w:val="00C42171"/>
    <w:rsid w:val="00C4499E"/>
    <w:rsid w:val="00C44B28"/>
    <w:rsid w:val="00C65129"/>
    <w:rsid w:val="00C65136"/>
    <w:rsid w:val="00C65A8F"/>
    <w:rsid w:val="00C66B73"/>
    <w:rsid w:val="00C66F7A"/>
    <w:rsid w:val="00C676BB"/>
    <w:rsid w:val="00C73B12"/>
    <w:rsid w:val="00C74673"/>
    <w:rsid w:val="00C825B9"/>
    <w:rsid w:val="00C93635"/>
    <w:rsid w:val="00C93D5E"/>
    <w:rsid w:val="00C952B6"/>
    <w:rsid w:val="00CA4A74"/>
    <w:rsid w:val="00CB42A0"/>
    <w:rsid w:val="00CB51B4"/>
    <w:rsid w:val="00CD116B"/>
    <w:rsid w:val="00CD2504"/>
    <w:rsid w:val="00CD4566"/>
    <w:rsid w:val="00CD52B3"/>
    <w:rsid w:val="00CD5462"/>
    <w:rsid w:val="00CD6470"/>
    <w:rsid w:val="00CE13F7"/>
    <w:rsid w:val="00CE17F6"/>
    <w:rsid w:val="00CE3678"/>
    <w:rsid w:val="00CE534F"/>
    <w:rsid w:val="00CE5E5B"/>
    <w:rsid w:val="00CF11C8"/>
    <w:rsid w:val="00CF4296"/>
    <w:rsid w:val="00CF62DF"/>
    <w:rsid w:val="00D24132"/>
    <w:rsid w:val="00D246F7"/>
    <w:rsid w:val="00D25F5C"/>
    <w:rsid w:val="00D263F8"/>
    <w:rsid w:val="00D31F0C"/>
    <w:rsid w:val="00D321C0"/>
    <w:rsid w:val="00D332A6"/>
    <w:rsid w:val="00D37D9F"/>
    <w:rsid w:val="00D465E9"/>
    <w:rsid w:val="00D51968"/>
    <w:rsid w:val="00D5585C"/>
    <w:rsid w:val="00D601E8"/>
    <w:rsid w:val="00D67607"/>
    <w:rsid w:val="00D715CA"/>
    <w:rsid w:val="00D71C4B"/>
    <w:rsid w:val="00D755BA"/>
    <w:rsid w:val="00D94E08"/>
    <w:rsid w:val="00D97C75"/>
    <w:rsid w:val="00DA4063"/>
    <w:rsid w:val="00DA656D"/>
    <w:rsid w:val="00DB38C6"/>
    <w:rsid w:val="00DC0EAB"/>
    <w:rsid w:val="00DD4792"/>
    <w:rsid w:val="00DE4D70"/>
    <w:rsid w:val="00DF0A33"/>
    <w:rsid w:val="00DF22C8"/>
    <w:rsid w:val="00DF481E"/>
    <w:rsid w:val="00DF712A"/>
    <w:rsid w:val="00E12F10"/>
    <w:rsid w:val="00E20632"/>
    <w:rsid w:val="00E32C53"/>
    <w:rsid w:val="00E361F9"/>
    <w:rsid w:val="00E45CA2"/>
    <w:rsid w:val="00E461A0"/>
    <w:rsid w:val="00E562DF"/>
    <w:rsid w:val="00E64582"/>
    <w:rsid w:val="00E848BC"/>
    <w:rsid w:val="00E8771E"/>
    <w:rsid w:val="00E87DA0"/>
    <w:rsid w:val="00E91C41"/>
    <w:rsid w:val="00E94ECC"/>
    <w:rsid w:val="00E97E0B"/>
    <w:rsid w:val="00EA1783"/>
    <w:rsid w:val="00EA1983"/>
    <w:rsid w:val="00EB1273"/>
    <w:rsid w:val="00EB6B67"/>
    <w:rsid w:val="00EC161B"/>
    <w:rsid w:val="00ED25E8"/>
    <w:rsid w:val="00ED3180"/>
    <w:rsid w:val="00EF7166"/>
    <w:rsid w:val="00F0282B"/>
    <w:rsid w:val="00F049D1"/>
    <w:rsid w:val="00F04B96"/>
    <w:rsid w:val="00F0632C"/>
    <w:rsid w:val="00F0657A"/>
    <w:rsid w:val="00F13E2B"/>
    <w:rsid w:val="00F14E0E"/>
    <w:rsid w:val="00F1589D"/>
    <w:rsid w:val="00F16300"/>
    <w:rsid w:val="00F21077"/>
    <w:rsid w:val="00F41DA0"/>
    <w:rsid w:val="00F43D4A"/>
    <w:rsid w:val="00F43DA1"/>
    <w:rsid w:val="00F4444D"/>
    <w:rsid w:val="00F45A0D"/>
    <w:rsid w:val="00F616A2"/>
    <w:rsid w:val="00F666A7"/>
    <w:rsid w:val="00F72519"/>
    <w:rsid w:val="00F7346F"/>
    <w:rsid w:val="00F749F6"/>
    <w:rsid w:val="00F7521D"/>
    <w:rsid w:val="00F76CAA"/>
    <w:rsid w:val="00F77905"/>
    <w:rsid w:val="00F81417"/>
    <w:rsid w:val="00F8407F"/>
    <w:rsid w:val="00F847FB"/>
    <w:rsid w:val="00F91430"/>
    <w:rsid w:val="00F97B92"/>
    <w:rsid w:val="00FA4728"/>
    <w:rsid w:val="00FA6305"/>
    <w:rsid w:val="00FB00AF"/>
    <w:rsid w:val="00FB4385"/>
    <w:rsid w:val="00FB4942"/>
    <w:rsid w:val="00FC70F7"/>
    <w:rsid w:val="00FD01E3"/>
    <w:rsid w:val="00FD1086"/>
    <w:rsid w:val="00FD2F2A"/>
    <w:rsid w:val="00FD66B0"/>
    <w:rsid w:val="00FE059A"/>
    <w:rsid w:val="00FE72E5"/>
    <w:rsid w:val="010A05FE"/>
    <w:rsid w:val="0118310F"/>
    <w:rsid w:val="021A57A8"/>
    <w:rsid w:val="02434C7E"/>
    <w:rsid w:val="02824A83"/>
    <w:rsid w:val="02842203"/>
    <w:rsid w:val="02B74B92"/>
    <w:rsid w:val="03524368"/>
    <w:rsid w:val="03E93829"/>
    <w:rsid w:val="04093E1E"/>
    <w:rsid w:val="04617F85"/>
    <w:rsid w:val="04CC5BD2"/>
    <w:rsid w:val="04E95902"/>
    <w:rsid w:val="053E4524"/>
    <w:rsid w:val="057512D0"/>
    <w:rsid w:val="06CE7D0F"/>
    <w:rsid w:val="07EF4B3B"/>
    <w:rsid w:val="08145505"/>
    <w:rsid w:val="083B6F34"/>
    <w:rsid w:val="08E17950"/>
    <w:rsid w:val="09220B1C"/>
    <w:rsid w:val="096E363B"/>
    <w:rsid w:val="09A4111B"/>
    <w:rsid w:val="09BE7D1D"/>
    <w:rsid w:val="09C04B46"/>
    <w:rsid w:val="09E43F2A"/>
    <w:rsid w:val="0A5F5F11"/>
    <w:rsid w:val="0A781F3E"/>
    <w:rsid w:val="0AF41EA8"/>
    <w:rsid w:val="0B5531B2"/>
    <w:rsid w:val="0BC119DD"/>
    <w:rsid w:val="0C933F43"/>
    <w:rsid w:val="0D086FB0"/>
    <w:rsid w:val="0D575D9A"/>
    <w:rsid w:val="0D693AC1"/>
    <w:rsid w:val="0DD43CA7"/>
    <w:rsid w:val="0E425CF1"/>
    <w:rsid w:val="0EA04BAF"/>
    <w:rsid w:val="0EFB2457"/>
    <w:rsid w:val="0FD61C00"/>
    <w:rsid w:val="100111F3"/>
    <w:rsid w:val="107A3812"/>
    <w:rsid w:val="11052B9A"/>
    <w:rsid w:val="116555F0"/>
    <w:rsid w:val="11A02491"/>
    <w:rsid w:val="11C54D0E"/>
    <w:rsid w:val="11ED59E0"/>
    <w:rsid w:val="1221066F"/>
    <w:rsid w:val="124A7E49"/>
    <w:rsid w:val="12667629"/>
    <w:rsid w:val="12A80226"/>
    <w:rsid w:val="12AD0BF8"/>
    <w:rsid w:val="12E741B3"/>
    <w:rsid w:val="136D39B0"/>
    <w:rsid w:val="137E30F9"/>
    <w:rsid w:val="13B745A6"/>
    <w:rsid w:val="13DE5C12"/>
    <w:rsid w:val="141427D1"/>
    <w:rsid w:val="1437703A"/>
    <w:rsid w:val="14540C97"/>
    <w:rsid w:val="14894038"/>
    <w:rsid w:val="149E5645"/>
    <w:rsid w:val="14C543E1"/>
    <w:rsid w:val="14D82B84"/>
    <w:rsid w:val="155B3841"/>
    <w:rsid w:val="15731E9B"/>
    <w:rsid w:val="157A5752"/>
    <w:rsid w:val="15D91FDB"/>
    <w:rsid w:val="15F67290"/>
    <w:rsid w:val="16231680"/>
    <w:rsid w:val="162C4D37"/>
    <w:rsid w:val="16502A4E"/>
    <w:rsid w:val="16765941"/>
    <w:rsid w:val="169609C4"/>
    <w:rsid w:val="16A46EEE"/>
    <w:rsid w:val="16FB124F"/>
    <w:rsid w:val="17114305"/>
    <w:rsid w:val="172E3E14"/>
    <w:rsid w:val="17755884"/>
    <w:rsid w:val="17CA2430"/>
    <w:rsid w:val="180142D6"/>
    <w:rsid w:val="1860603E"/>
    <w:rsid w:val="18A77441"/>
    <w:rsid w:val="18B7354C"/>
    <w:rsid w:val="18DF4987"/>
    <w:rsid w:val="18FC4C70"/>
    <w:rsid w:val="190B2724"/>
    <w:rsid w:val="194233E9"/>
    <w:rsid w:val="19736F5E"/>
    <w:rsid w:val="199B453F"/>
    <w:rsid w:val="19D339ED"/>
    <w:rsid w:val="1A023CF5"/>
    <w:rsid w:val="1A203980"/>
    <w:rsid w:val="1A55342D"/>
    <w:rsid w:val="1A726303"/>
    <w:rsid w:val="1AD25BCE"/>
    <w:rsid w:val="1ADC406D"/>
    <w:rsid w:val="1B200177"/>
    <w:rsid w:val="1B633DC4"/>
    <w:rsid w:val="1B6746CF"/>
    <w:rsid w:val="1B901C00"/>
    <w:rsid w:val="1BCB4373"/>
    <w:rsid w:val="1BDD75E2"/>
    <w:rsid w:val="1C0F539F"/>
    <w:rsid w:val="1C222D7F"/>
    <w:rsid w:val="1C24245E"/>
    <w:rsid w:val="1D432286"/>
    <w:rsid w:val="1DD55F0C"/>
    <w:rsid w:val="1E2962CA"/>
    <w:rsid w:val="1E5E12B4"/>
    <w:rsid w:val="1EA9367C"/>
    <w:rsid w:val="1EAD2BA7"/>
    <w:rsid w:val="1ECA5568"/>
    <w:rsid w:val="1ECE5AC7"/>
    <w:rsid w:val="1ED63BA3"/>
    <w:rsid w:val="1EE5515C"/>
    <w:rsid w:val="1F554CDB"/>
    <w:rsid w:val="1FB46199"/>
    <w:rsid w:val="20106E33"/>
    <w:rsid w:val="20A85AD5"/>
    <w:rsid w:val="211E3C98"/>
    <w:rsid w:val="21747A07"/>
    <w:rsid w:val="2183555F"/>
    <w:rsid w:val="21BD62EE"/>
    <w:rsid w:val="21CF435E"/>
    <w:rsid w:val="22E630F3"/>
    <w:rsid w:val="230A6D45"/>
    <w:rsid w:val="234863F0"/>
    <w:rsid w:val="237D1751"/>
    <w:rsid w:val="238C37C4"/>
    <w:rsid w:val="23B8373A"/>
    <w:rsid w:val="240272E5"/>
    <w:rsid w:val="243E450B"/>
    <w:rsid w:val="25421CB1"/>
    <w:rsid w:val="255036FE"/>
    <w:rsid w:val="25894B57"/>
    <w:rsid w:val="25B213EA"/>
    <w:rsid w:val="25C659A3"/>
    <w:rsid w:val="260024F0"/>
    <w:rsid w:val="26007467"/>
    <w:rsid w:val="26101565"/>
    <w:rsid w:val="26633686"/>
    <w:rsid w:val="26806204"/>
    <w:rsid w:val="26F67678"/>
    <w:rsid w:val="27664B40"/>
    <w:rsid w:val="277270A0"/>
    <w:rsid w:val="2810066D"/>
    <w:rsid w:val="281B38AB"/>
    <w:rsid w:val="287F5DF6"/>
    <w:rsid w:val="28B464C9"/>
    <w:rsid w:val="28EE5E33"/>
    <w:rsid w:val="29707248"/>
    <w:rsid w:val="298844DF"/>
    <w:rsid w:val="29B71EE2"/>
    <w:rsid w:val="2A2B6117"/>
    <w:rsid w:val="2A2D1B2F"/>
    <w:rsid w:val="2A6C176D"/>
    <w:rsid w:val="2A73010D"/>
    <w:rsid w:val="2A8E2620"/>
    <w:rsid w:val="2A9D42F5"/>
    <w:rsid w:val="2AA452E7"/>
    <w:rsid w:val="2B0D26F8"/>
    <w:rsid w:val="2B4116B0"/>
    <w:rsid w:val="2B4A6A12"/>
    <w:rsid w:val="2B7B56D7"/>
    <w:rsid w:val="2BD26F8C"/>
    <w:rsid w:val="2BFD337B"/>
    <w:rsid w:val="2C3F5733"/>
    <w:rsid w:val="2C671A98"/>
    <w:rsid w:val="2CE27604"/>
    <w:rsid w:val="2CE97AAB"/>
    <w:rsid w:val="2D3A7C5E"/>
    <w:rsid w:val="2D445B44"/>
    <w:rsid w:val="2D7E36B0"/>
    <w:rsid w:val="2DBD40A1"/>
    <w:rsid w:val="2DEC13D1"/>
    <w:rsid w:val="2E43372A"/>
    <w:rsid w:val="2E757CBB"/>
    <w:rsid w:val="2ECF1A2B"/>
    <w:rsid w:val="2F3A5066"/>
    <w:rsid w:val="2F8003A1"/>
    <w:rsid w:val="2FB63B28"/>
    <w:rsid w:val="2FD73BBD"/>
    <w:rsid w:val="30075358"/>
    <w:rsid w:val="30323F27"/>
    <w:rsid w:val="30944F43"/>
    <w:rsid w:val="32113FF9"/>
    <w:rsid w:val="329F7118"/>
    <w:rsid w:val="32D64D70"/>
    <w:rsid w:val="33011FC5"/>
    <w:rsid w:val="33BB64AE"/>
    <w:rsid w:val="33E1105E"/>
    <w:rsid w:val="33EB42C1"/>
    <w:rsid w:val="34A93E3C"/>
    <w:rsid w:val="34EA0E29"/>
    <w:rsid w:val="3526220C"/>
    <w:rsid w:val="357F551F"/>
    <w:rsid w:val="35C155B1"/>
    <w:rsid w:val="361B4300"/>
    <w:rsid w:val="36334B24"/>
    <w:rsid w:val="368F2C7E"/>
    <w:rsid w:val="36B63327"/>
    <w:rsid w:val="3702394F"/>
    <w:rsid w:val="373B380F"/>
    <w:rsid w:val="374B20E2"/>
    <w:rsid w:val="37B717C1"/>
    <w:rsid w:val="380718B1"/>
    <w:rsid w:val="38854253"/>
    <w:rsid w:val="38AC4C6D"/>
    <w:rsid w:val="38C8326D"/>
    <w:rsid w:val="392C471C"/>
    <w:rsid w:val="39582D4F"/>
    <w:rsid w:val="3A100FA3"/>
    <w:rsid w:val="3AD0560F"/>
    <w:rsid w:val="3AD96AF9"/>
    <w:rsid w:val="3AFF6C4C"/>
    <w:rsid w:val="3B3B3AFE"/>
    <w:rsid w:val="3B422456"/>
    <w:rsid w:val="3BB7038F"/>
    <w:rsid w:val="3BD91464"/>
    <w:rsid w:val="3BDD5B6A"/>
    <w:rsid w:val="3C0E6BA5"/>
    <w:rsid w:val="3C7D3B0C"/>
    <w:rsid w:val="3D6856DA"/>
    <w:rsid w:val="3DE51159"/>
    <w:rsid w:val="3E3E5932"/>
    <w:rsid w:val="3E567613"/>
    <w:rsid w:val="3E836293"/>
    <w:rsid w:val="3EBF74F2"/>
    <w:rsid w:val="3EED2D8C"/>
    <w:rsid w:val="3EF63DC1"/>
    <w:rsid w:val="3F4A2FB7"/>
    <w:rsid w:val="3F744033"/>
    <w:rsid w:val="3F8948FC"/>
    <w:rsid w:val="3F96510E"/>
    <w:rsid w:val="3FA10CED"/>
    <w:rsid w:val="3FD0307E"/>
    <w:rsid w:val="40063536"/>
    <w:rsid w:val="407741FA"/>
    <w:rsid w:val="40A4121E"/>
    <w:rsid w:val="40BE5450"/>
    <w:rsid w:val="40D914A8"/>
    <w:rsid w:val="416F61AA"/>
    <w:rsid w:val="41933181"/>
    <w:rsid w:val="41FC7704"/>
    <w:rsid w:val="42052DF8"/>
    <w:rsid w:val="434C384E"/>
    <w:rsid w:val="43A143FC"/>
    <w:rsid w:val="441A4743"/>
    <w:rsid w:val="447D6080"/>
    <w:rsid w:val="44FC34C2"/>
    <w:rsid w:val="45714BF4"/>
    <w:rsid w:val="45A51130"/>
    <w:rsid w:val="45CA0D21"/>
    <w:rsid w:val="46062DC4"/>
    <w:rsid w:val="46123066"/>
    <w:rsid w:val="462E0585"/>
    <w:rsid w:val="46461D5E"/>
    <w:rsid w:val="46795BC6"/>
    <w:rsid w:val="46915D8D"/>
    <w:rsid w:val="47032F4D"/>
    <w:rsid w:val="47855964"/>
    <w:rsid w:val="49520D52"/>
    <w:rsid w:val="4A4C21C6"/>
    <w:rsid w:val="4A8C25ED"/>
    <w:rsid w:val="4AEE6A4A"/>
    <w:rsid w:val="4B19129D"/>
    <w:rsid w:val="4B8F4230"/>
    <w:rsid w:val="4BE05A0C"/>
    <w:rsid w:val="4D321823"/>
    <w:rsid w:val="4D360ED0"/>
    <w:rsid w:val="4D5C3A47"/>
    <w:rsid w:val="4D872071"/>
    <w:rsid w:val="4DB029C7"/>
    <w:rsid w:val="4DD903ED"/>
    <w:rsid w:val="4DDC795C"/>
    <w:rsid w:val="4EA932B9"/>
    <w:rsid w:val="4F0C1B02"/>
    <w:rsid w:val="4F307F6C"/>
    <w:rsid w:val="4F9E1E19"/>
    <w:rsid w:val="4FCE2324"/>
    <w:rsid w:val="51331F1F"/>
    <w:rsid w:val="51623487"/>
    <w:rsid w:val="51A2131C"/>
    <w:rsid w:val="520815E4"/>
    <w:rsid w:val="52502F57"/>
    <w:rsid w:val="525201B9"/>
    <w:rsid w:val="526346BF"/>
    <w:rsid w:val="53047A1F"/>
    <w:rsid w:val="530B31AE"/>
    <w:rsid w:val="530E05A0"/>
    <w:rsid w:val="531B7E68"/>
    <w:rsid w:val="537466CE"/>
    <w:rsid w:val="53974DBD"/>
    <w:rsid w:val="53CF2943"/>
    <w:rsid w:val="53E42438"/>
    <w:rsid w:val="5455096B"/>
    <w:rsid w:val="54720D32"/>
    <w:rsid w:val="54F4648C"/>
    <w:rsid w:val="550260AE"/>
    <w:rsid w:val="5526271C"/>
    <w:rsid w:val="55265D92"/>
    <w:rsid w:val="55552A7D"/>
    <w:rsid w:val="5648499A"/>
    <w:rsid w:val="56941DED"/>
    <w:rsid w:val="57057BAC"/>
    <w:rsid w:val="57082B07"/>
    <w:rsid w:val="572B6D8A"/>
    <w:rsid w:val="57322135"/>
    <w:rsid w:val="57760D48"/>
    <w:rsid w:val="59010683"/>
    <w:rsid w:val="59323856"/>
    <w:rsid w:val="595A0890"/>
    <w:rsid w:val="59AF3113"/>
    <w:rsid w:val="5A391605"/>
    <w:rsid w:val="5ADD4BCD"/>
    <w:rsid w:val="5ADE6119"/>
    <w:rsid w:val="5AE158C2"/>
    <w:rsid w:val="5B03285B"/>
    <w:rsid w:val="5B364597"/>
    <w:rsid w:val="5BEF16F8"/>
    <w:rsid w:val="5C0B19E8"/>
    <w:rsid w:val="5C853516"/>
    <w:rsid w:val="5C9E313B"/>
    <w:rsid w:val="5CAA074D"/>
    <w:rsid w:val="5CC75551"/>
    <w:rsid w:val="5CDC37DA"/>
    <w:rsid w:val="5CFE4300"/>
    <w:rsid w:val="5D1B1A76"/>
    <w:rsid w:val="5D6E5E0D"/>
    <w:rsid w:val="5E28605E"/>
    <w:rsid w:val="5E330C7C"/>
    <w:rsid w:val="5E4B66E9"/>
    <w:rsid w:val="5F1B4A64"/>
    <w:rsid w:val="5F246134"/>
    <w:rsid w:val="5F2A5D1B"/>
    <w:rsid w:val="5F634FD8"/>
    <w:rsid w:val="5F8475FE"/>
    <w:rsid w:val="601D7222"/>
    <w:rsid w:val="61406A95"/>
    <w:rsid w:val="62F91BEB"/>
    <w:rsid w:val="63010BCB"/>
    <w:rsid w:val="630D6DDB"/>
    <w:rsid w:val="63404C95"/>
    <w:rsid w:val="638554FB"/>
    <w:rsid w:val="63AD1D2B"/>
    <w:rsid w:val="63D62F33"/>
    <w:rsid w:val="6434087D"/>
    <w:rsid w:val="652945C9"/>
    <w:rsid w:val="658E5FF6"/>
    <w:rsid w:val="65D33FFC"/>
    <w:rsid w:val="65E64697"/>
    <w:rsid w:val="66125CA8"/>
    <w:rsid w:val="668515BA"/>
    <w:rsid w:val="66922D9F"/>
    <w:rsid w:val="672C2D90"/>
    <w:rsid w:val="679E1478"/>
    <w:rsid w:val="680C65AB"/>
    <w:rsid w:val="682107AF"/>
    <w:rsid w:val="69230474"/>
    <w:rsid w:val="692E3A59"/>
    <w:rsid w:val="693138DD"/>
    <w:rsid w:val="698113CF"/>
    <w:rsid w:val="69BE2DFD"/>
    <w:rsid w:val="69E16F2B"/>
    <w:rsid w:val="6A415A06"/>
    <w:rsid w:val="6A4A4E09"/>
    <w:rsid w:val="6A6707E1"/>
    <w:rsid w:val="6ADD38C8"/>
    <w:rsid w:val="6AE06C3F"/>
    <w:rsid w:val="6AF11D9A"/>
    <w:rsid w:val="6AF908C5"/>
    <w:rsid w:val="6B127920"/>
    <w:rsid w:val="6B1A52A3"/>
    <w:rsid w:val="6BEC49C1"/>
    <w:rsid w:val="6BFE0D39"/>
    <w:rsid w:val="6C797270"/>
    <w:rsid w:val="6D2B2F1C"/>
    <w:rsid w:val="6DAF2BF4"/>
    <w:rsid w:val="6E697CAC"/>
    <w:rsid w:val="6E75553E"/>
    <w:rsid w:val="6E956B93"/>
    <w:rsid w:val="6F707F73"/>
    <w:rsid w:val="70BF28D2"/>
    <w:rsid w:val="714A7398"/>
    <w:rsid w:val="71540447"/>
    <w:rsid w:val="723F6B5E"/>
    <w:rsid w:val="72B81C5D"/>
    <w:rsid w:val="73EC3BFF"/>
    <w:rsid w:val="746A425C"/>
    <w:rsid w:val="74AC7092"/>
    <w:rsid w:val="74B872DC"/>
    <w:rsid w:val="74BD5C26"/>
    <w:rsid w:val="74CC32E0"/>
    <w:rsid w:val="754A55DC"/>
    <w:rsid w:val="76623E60"/>
    <w:rsid w:val="76794928"/>
    <w:rsid w:val="76831EA7"/>
    <w:rsid w:val="772624BD"/>
    <w:rsid w:val="774049E3"/>
    <w:rsid w:val="7744774B"/>
    <w:rsid w:val="77786BED"/>
    <w:rsid w:val="77FB273F"/>
    <w:rsid w:val="788112DC"/>
    <w:rsid w:val="78D24205"/>
    <w:rsid w:val="796241B3"/>
    <w:rsid w:val="796E3AD7"/>
    <w:rsid w:val="79830840"/>
    <w:rsid w:val="79BC663E"/>
    <w:rsid w:val="79FD146A"/>
    <w:rsid w:val="7A1A3E38"/>
    <w:rsid w:val="7A710E75"/>
    <w:rsid w:val="7AC40B19"/>
    <w:rsid w:val="7B0E0510"/>
    <w:rsid w:val="7B261490"/>
    <w:rsid w:val="7B2C0316"/>
    <w:rsid w:val="7CA06605"/>
    <w:rsid w:val="7CB434EC"/>
    <w:rsid w:val="7D3319F0"/>
    <w:rsid w:val="7D772BDD"/>
    <w:rsid w:val="7E443788"/>
    <w:rsid w:val="7EB040E7"/>
    <w:rsid w:val="7F053D39"/>
    <w:rsid w:val="7F121F46"/>
    <w:rsid w:val="7FE6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iPriority="99" w:semiHidden="0" w:name="table of authorities"/>
    <w:lsdException w:uiPriority="0" w:name="macro"/>
    <w:lsdException w:uiPriority="0" w:name="toa heading"/>
    <w:lsdException w:uiPriority="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qFormat="1" w:unhideWhenUsed="0" w:uiPriority="99" w:semiHidden="0" w:name="HTML Preformatted"/>
    <w:lsdException w:qFormat="1" w:uiPriority="0" w:name="HTML Sample"/>
    <w:lsdException w:qFormat="1"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98"/>
    <w:qFormat/>
    <w:uiPriority w:val="0"/>
    <w:pPr>
      <w:keepNext/>
      <w:keepLines/>
      <w:spacing w:before="340" w:after="330" w:line="578" w:lineRule="auto"/>
      <w:outlineLvl w:val="0"/>
    </w:pPr>
    <w:rPr>
      <w:rFonts w:ascii="Times New Roman" w:hAnsi="Times New Roman"/>
      <w:b/>
      <w:bCs/>
      <w:kern w:val="44"/>
      <w:sz w:val="44"/>
      <w:szCs w:val="44"/>
    </w:rPr>
  </w:style>
  <w:style w:type="paragraph" w:styleId="5">
    <w:name w:val="heading 2"/>
    <w:basedOn w:val="1"/>
    <w:next w:val="1"/>
    <w:link w:val="60"/>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106"/>
    <w:qFormat/>
    <w:uiPriority w:val="0"/>
    <w:pPr>
      <w:keepNext/>
      <w:keepLines/>
      <w:spacing w:before="260" w:after="260" w:line="416" w:lineRule="auto"/>
      <w:outlineLvl w:val="2"/>
    </w:pPr>
    <w:rPr>
      <w:rFonts w:ascii="Times New Roman" w:hAnsi="Times New Roman"/>
      <w:b/>
      <w:bCs/>
      <w:sz w:val="32"/>
      <w:szCs w:val="32"/>
    </w:rPr>
  </w:style>
  <w:style w:type="paragraph" w:styleId="7">
    <w:name w:val="heading 4"/>
    <w:basedOn w:val="1"/>
    <w:next w:val="1"/>
    <w:link w:val="73"/>
    <w:qFormat/>
    <w:uiPriority w:val="0"/>
    <w:pPr>
      <w:keepNext/>
      <w:keepLines/>
      <w:adjustRightInd w:val="0"/>
      <w:spacing w:before="280" w:after="290" w:line="376" w:lineRule="atLeast"/>
      <w:textAlignment w:val="baseline"/>
      <w:outlineLvl w:val="3"/>
    </w:pPr>
    <w:rPr>
      <w:rFonts w:ascii="Arial" w:hAnsi="Arial"/>
      <w:b/>
      <w:spacing w:val="20"/>
      <w:kern w:val="0"/>
      <w:sz w:val="28"/>
      <w:szCs w:val="20"/>
    </w:rPr>
  </w:style>
  <w:style w:type="paragraph" w:styleId="8">
    <w:name w:val="heading 5"/>
    <w:basedOn w:val="1"/>
    <w:next w:val="1"/>
    <w:link w:val="83"/>
    <w:qFormat/>
    <w:uiPriority w:val="0"/>
    <w:pPr>
      <w:keepNext/>
      <w:keepLines/>
      <w:adjustRightInd w:val="0"/>
      <w:spacing w:before="280" w:after="290" w:line="376" w:lineRule="atLeast"/>
      <w:textAlignment w:val="baseline"/>
      <w:outlineLvl w:val="4"/>
    </w:pPr>
    <w:rPr>
      <w:rFonts w:ascii="Times New Roman" w:hAnsi="Times New Roman"/>
      <w:b/>
      <w:spacing w:val="20"/>
      <w:kern w:val="0"/>
      <w:sz w:val="28"/>
      <w:szCs w:val="20"/>
    </w:rPr>
  </w:style>
  <w:style w:type="paragraph" w:styleId="9">
    <w:name w:val="heading 6"/>
    <w:basedOn w:val="1"/>
    <w:next w:val="1"/>
    <w:link w:val="79"/>
    <w:qFormat/>
    <w:uiPriority w:val="0"/>
    <w:pPr>
      <w:widowControl/>
      <w:tabs>
        <w:tab w:val="left" w:pos="567"/>
        <w:tab w:val="left" w:pos="1418"/>
        <w:tab w:val="left" w:pos="2268"/>
        <w:tab w:val="left" w:pos="3402"/>
        <w:tab w:val="left" w:pos="4536"/>
        <w:tab w:val="left" w:pos="5954"/>
      </w:tabs>
      <w:overflowPunct w:val="0"/>
      <w:autoSpaceDE w:val="0"/>
      <w:autoSpaceDN w:val="0"/>
      <w:adjustRightInd w:val="0"/>
      <w:textAlignment w:val="baseline"/>
      <w:outlineLvl w:val="5"/>
    </w:pPr>
    <w:rPr>
      <w:rFonts w:ascii="Helvetica" w:hAnsi="Helvetica" w:eastAsia="楷体_GB2312"/>
      <w:b/>
      <w:i/>
      <w:kern w:val="0"/>
      <w:position w:val="-6"/>
      <w:sz w:val="22"/>
      <w:szCs w:val="20"/>
      <w:lang w:val="en-GB"/>
    </w:rPr>
  </w:style>
  <w:style w:type="paragraph" w:styleId="10">
    <w:name w:val="heading 7"/>
    <w:basedOn w:val="1"/>
    <w:next w:val="1"/>
    <w:link w:val="68"/>
    <w:qFormat/>
    <w:uiPriority w:val="0"/>
    <w:pPr>
      <w:widowControl/>
      <w:overflowPunct w:val="0"/>
      <w:autoSpaceDE w:val="0"/>
      <w:autoSpaceDN w:val="0"/>
      <w:adjustRightInd w:val="0"/>
      <w:textAlignment w:val="baseline"/>
      <w:outlineLvl w:val="6"/>
    </w:pPr>
    <w:rPr>
      <w:rFonts w:ascii="Times New Roman" w:hAnsi="Times New Roman" w:eastAsia="楷体_GB2312"/>
      <w:i/>
      <w:kern w:val="0"/>
      <w:position w:val="-6"/>
      <w:sz w:val="22"/>
      <w:szCs w:val="20"/>
      <w:lang w:val="en-GB"/>
    </w:rPr>
  </w:style>
  <w:style w:type="paragraph" w:styleId="11">
    <w:name w:val="heading 8"/>
    <w:basedOn w:val="1"/>
    <w:next w:val="1"/>
    <w:link w:val="110"/>
    <w:qFormat/>
    <w:uiPriority w:val="0"/>
    <w:pPr>
      <w:widowControl/>
      <w:overflowPunct w:val="0"/>
      <w:autoSpaceDE w:val="0"/>
      <w:autoSpaceDN w:val="0"/>
      <w:adjustRightInd w:val="0"/>
      <w:textAlignment w:val="baseline"/>
      <w:outlineLvl w:val="7"/>
    </w:pPr>
    <w:rPr>
      <w:rFonts w:ascii="Times New Roman" w:hAnsi="Times New Roman" w:eastAsia="楷体_GB2312"/>
      <w:i/>
      <w:kern w:val="0"/>
      <w:position w:val="-6"/>
      <w:sz w:val="22"/>
      <w:szCs w:val="20"/>
      <w:lang w:val="en-GB"/>
    </w:rPr>
  </w:style>
  <w:style w:type="paragraph" w:styleId="12">
    <w:name w:val="heading 9"/>
    <w:basedOn w:val="1"/>
    <w:next w:val="1"/>
    <w:link w:val="81"/>
    <w:qFormat/>
    <w:uiPriority w:val="0"/>
    <w:pPr>
      <w:widowControl/>
      <w:overflowPunct w:val="0"/>
      <w:autoSpaceDE w:val="0"/>
      <w:autoSpaceDN w:val="0"/>
      <w:adjustRightInd w:val="0"/>
      <w:textAlignment w:val="baseline"/>
      <w:outlineLvl w:val="8"/>
    </w:pPr>
    <w:rPr>
      <w:rFonts w:ascii="Times New Roman" w:hAnsi="Times New Roman" w:eastAsia="楷体_GB2312"/>
      <w:i/>
      <w:kern w:val="0"/>
      <w:position w:val="-6"/>
      <w:sz w:val="22"/>
      <w:szCs w:val="20"/>
      <w:lang w:val="en-GB"/>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124"/>
    <w:qFormat/>
    <w:uiPriority w:val="0"/>
    <w:pPr>
      <w:ind w:firstLine="420" w:firstLineChars="100"/>
    </w:pPr>
  </w:style>
  <w:style w:type="paragraph" w:styleId="3">
    <w:name w:val="Body Text"/>
    <w:basedOn w:val="1"/>
    <w:next w:val="1"/>
    <w:link w:val="93"/>
    <w:qFormat/>
    <w:uiPriority w:val="0"/>
    <w:pPr>
      <w:spacing w:after="120"/>
    </w:pPr>
  </w:style>
  <w:style w:type="paragraph" w:styleId="13">
    <w:name w:val="table of authorities"/>
    <w:basedOn w:val="1"/>
    <w:next w:val="1"/>
    <w:unhideWhenUsed/>
    <w:qFormat/>
    <w:uiPriority w:val="99"/>
    <w:pPr>
      <w:ind w:left="420" w:leftChars="200"/>
    </w:pPr>
  </w:style>
  <w:style w:type="paragraph" w:styleId="14">
    <w:name w:val="Normal Indent"/>
    <w:basedOn w:val="1"/>
    <w:qFormat/>
    <w:uiPriority w:val="0"/>
    <w:pPr>
      <w:spacing w:line="360" w:lineRule="exact"/>
      <w:ind w:left="525" w:firstLine="420"/>
    </w:pPr>
    <w:rPr>
      <w:rFonts w:ascii="宋体" w:hAnsi="Times New Roman"/>
      <w:szCs w:val="20"/>
    </w:rPr>
  </w:style>
  <w:style w:type="paragraph" w:styleId="15">
    <w:name w:val="Document Map"/>
    <w:basedOn w:val="1"/>
    <w:link w:val="87"/>
    <w:qFormat/>
    <w:uiPriority w:val="99"/>
    <w:pPr>
      <w:shd w:val="clear" w:color="auto" w:fill="000080"/>
    </w:pPr>
    <w:rPr>
      <w:rFonts w:ascii="宋体"/>
      <w:sz w:val="18"/>
      <w:szCs w:val="18"/>
    </w:rPr>
  </w:style>
  <w:style w:type="paragraph" w:styleId="16">
    <w:name w:val="annotation text"/>
    <w:basedOn w:val="1"/>
    <w:link w:val="94"/>
    <w:unhideWhenUsed/>
    <w:qFormat/>
    <w:uiPriority w:val="0"/>
    <w:pPr>
      <w:jc w:val="left"/>
    </w:pPr>
    <w:rPr>
      <w:kern w:val="0"/>
      <w:sz w:val="20"/>
      <w:szCs w:val="20"/>
    </w:rPr>
  </w:style>
  <w:style w:type="paragraph" w:styleId="17">
    <w:name w:val="Body Text 3"/>
    <w:basedOn w:val="1"/>
    <w:link w:val="89"/>
    <w:qFormat/>
    <w:uiPriority w:val="99"/>
    <w:rPr>
      <w:kern w:val="0"/>
      <w:sz w:val="16"/>
      <w:szCs w:val="16"/>
    </w:rPr>
  </w:style>
  <w:style w:type="paragraph" w:styleId="18">
    <w:name w:val="Body Text Indent"/>
    <w:basedOn w:val="1"/>
    <w:link w:val="100"/>
    <w:qFormat/>
    <w:uiPriority w:val="99"/>
    <w:pPr>
      <w:spacing w:after="120"/>
      <w:ind w:left="420" w:leftChars="200"/>
    </w:pPr>
  </w:style>
  <w:style w:type="paragraph" w:styleId="19">
    <w:name w:val="List 2"/>
    <w:basedOn w:val="1"/>
    <w:qFormat/>
    <w:uiPriority w:val="0"/>
    <w:pPr>
      <w:ind w:left="840" w:hanging="420"/>
    </w:pPr>
    <w:rPr>
      <w:rFonts w:ascii="Times New Roman" w:hAnsi="Times New Roman"/>
      <w:sz w:val="24"/>
      <w:szCs w:val="20"/>
    </w:rPr>
  </w:style>
  <w:style w:type="paragraph" w:styleId="20">
    <w:name w:val="Plain Text"/>
    <w:basedOn w:val="1"/>
    <w:link w:val="52"/>
    <w:qFormat/>
    <w:uiPriority w:val="99"/>
    <w:rPr>
      <w:rFonts w:ascii="宋体" w:hAnsi="Courier New"/>
      <w:szCs w:val="21"/>
    </w:rPr>
  </w:style>
  <w:style w:type="paragraph" w:styleId="21">
    <w:name w:val="Date"/>
    <w:basedOn w:val="1"/>
    <w:next w:val="1"/>
    <w:link w:val="72"/>
    <w:qFormat/>
    <w:uiPriority w:val="0"/>
    <w:pPr>
      <w:ind w:left="100" w:leftChars="2500"/>
    </w:pPr>
    <w:rPr>
      <w:kern w:val="0"/>
      <w:sz w:val="20"/>
      <w:szCs w:val="20"/>
    </w:rPr>
  </w:style>
  <w:style w:type="paragraph" w:styleId="22">
    <w:name w:val="Body Text Indent 2"/>
    <w:basedOn w:val="1"/>
    <w:link w:val="53"/>
    <w:qFormat/>
    <w:uiPriority w:val="99"/>
    <w:pPr>
      <w:spacing w:after="120" w:line="480" w:lineRule="auto"/>
      <w:ind w:left="420" w:leftChars="200"/>
    </w:pPr>
  </w:style>
  <w:style w:type="paragraph" w:styleId="23">
    <w:name w:val="Balloon Text"/>
    <w:basedOn w:val="1"/>
    <w:link w:val="114"/>
    <w:qFormat/>
    <w:uiPriority w:val="99"/>
    <w:rPr>
      <w:sz w:val="18"/>
      <w:szCs w:val="18"/>
    </w:rPr>
  </w:style>
  <w:style w:type="paragraph" w:styleId="24">
    <w:name w:val="footer"/>
    <w:basedOn w:val="1"/>
    <w:link w:val="96"/>
    <w:qFormat/>
    <w:uiPriority w:val="99"/>
    <w:pPr>
      <w:tabs>
        <w:tab w:val="center" w:pos="4153"/>
        <w:tab w:val="right" w:pos="8306"/>
      </w:tabs>
      <w:snapToGrid w:val="0"/>
      <w:jc w:val="left"/>
    </w:pPr>
    <w:rPr>
      <w:kern w:val="0"/>
      <w:sz w:val="18"/>
      <w:szCs w:val="18"/>
    </w:rPr>
  </w:style>
  <w:style w:type="paragraph" w:styleId="25">
    <w:name w:val="header"/>
    <w:basedOn w:val="1"/>
    <w:link w:val="85"/>
    <w:qFormat/>
    <w:uiPriority w:val="99"/>
    <w:pPr>
      <w:pBdr>
        <w:bottom w:val="single" w:color="auto" w:sz="6" w:space="1"/>
      </w:pBdr>
      <w:tabs>
        <w:tab w:val="center" w:pos="4153"/>
        <w:tab w:val="right" w:pos="8306"/>
      </w:tabs>
      <w:snapToGrid w:val="0"/>
      <w:jc w:val="center"/>
    </w:pPr>
    <w:rPr>
      <w:kern w:val="0"/>
      <w:sz w:val="18"/>
      <w:szCs w:val="18"/>
    </w:rPr>
  </w:style>
  <w:style w:type="paragraph" w:styleId="26">
    <w:name w:val="toc 1"/>
    <w:basedOn w:val="1"/>
    <w:next w:val="1"/>
    <w:link w:val="66"/>
    <w:qFormat/>
    <w:uiPriority w:val="0"/>
    <w:rPr>
      <w:szCs w:val="24"/>
    </w:rPr>
  </w:style>
  <w:style w:type="paragraph" w:styleId="27">
    <w:name w:val="Body Text Indent 3"/>
    <w:basedOn w:val="1"/>
    <w:link w:val="112"/>
    <w:qFormat/>
    <w:uiPriority w:val="99"/>
    <w:pPr>
      <w:spacing w:after="120"/>
      <w:ind w:left="420" w:leftChars="200"/>
    </w:pPr>
    <w:rPr>
      <w:sz w:val="16"/>
      <w:szCs w:val="16"/>
    </w:rPr>
  </w:style>
  <w:style w:type="paragraph" w:styleId="28">
    <w:name w:val="Body Text 2"/>
    <w:basedOn w:val="1"/>
    <w:link w:val="70"/>
    <w:qFormat/>
    <w:uiPriority w:val="99"/>
    <w:pPr>
      <w:spacing w:line="400" w:lineRule="exact"/>
      <w:jc w:val="center"/>
    </w:pPr>
  </w:style>
  <w:style w:type="paragraph" w:styleId="29">
    <w:name w:val="HTML Preformatted"/>
    <w:basedOn w:val="1"/>
    <w:link w:val="7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paragraph" w:styleId="30">
    <w:name w:val="Normal (Web)"/>
    <w:basedOn w:val="1"/>
    <w:qFormat/>
    <w:uiPriority w:val="99"/>
    <w:pPr>
      <w:widowControl/>
      <w:jc w:val="left"/>
    </w:pPr>
    <w:rPr>
      <w:rFonts w:ascii="宋体" w:hAnsi="宋体" w:cs="宋体"/>
      <w:kern w:val="0"/>
      <w:sz w:val="24"/>
      <w:szCs w:val="24"/>
    </w:rPr>
  </w:style>
  <w:style w:type="paragraph" w:styleId="31">
    <w:name w:val="Title"/>
    <w:basedOn w:val="1"/>
    <w:next w:val="1"/>
    <w:link w:val="126"/>
    <w:qFormat/>
    <w:uiPriority w:val="10"/>
    <w:pPr>
      <w:spacing w:line="360" w:lineRule="auto"/>
      <w:jc w:val="center"/>
    </w:pPr>
    <w:rPr>
      <w:rFonts w:ascii="Cambria" w:hAnsi="Cambria"/>
      <w:b/>
      <w:bCs/>
      <w:sz w:val="32"/>
      <w:szCs w:val="32"/>
    </w:rPr>
  </w:style>
  <w:style w:type="paragraph" w:styleId="32">
    <w:name w:val="Body Text First Indent 2"/>
    <w:basedOn w:val="18"/>
    <w:link w:val="99"/>
    <w:qFormat/>
    <w:uiPriority w:val="0"/>
    <w:pPr>
      <w:ind w:firstLine="420" w:firstLineChars="200"/>
    </w:pPr>
  </w:style>
  <w:style w:type="table" w:styleId="34">
    <w:name w:val="Table Grid"/>
    <w:basedOn w:val="3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22"/>
    <w:rPr>
      <w:b/>
      <w:bCs/>
    </w:rPr>
  </w:style>
  <w:style w:type="character" w:styleId="37">
    <w:name w:val="page number"/>
    <w:qFormat/>
    <w:uiPriority w:val="0"/>
  </w:style>
  <w:style w:type="character" w:styleId="38">
    <w:name w:val="FollowedHyperlink"/>
    <w:unhideWhenUsed/>
    <w:qFormat/>
    <w:uiPriority w:val="99"/>
    <w:rPr>
      <w:color w:val="800080"/>
      <w:u w:val="none"/>
    </w:rPr>
  </w:style>
  <w:style w:type="character" w:styleId="39">
    <w:name w:val="Emphasis"/>
    <w:basedOn w:val="35"/>
    <w:qFormat/>
    <w:uiPriority w:val="20"/>
    <w:rPr>
      <w:b/>
    </w:rPr>
  </w:style>
  <w:style w:type="character" w:styleId="40">
    <w:name w:val="HTML Definition"/>
    <w:basedOn w:val="35"/>
    <w:semiHidden/>
    <w:unhideWhenUsed/>
    <w:qFormat/>
    <w:uiPriority w:val="0"/>
  </w:style>
  <w:style w:type="character" w:styleId="41">
    <w:name w:val="HTML Typewriter"/>
    <w:basedOn w:val="35"/>
    <w:semiHidden/>
    <w:unhideWhenUsed/>
    <w:qFormat/>
    <w:uiPriority w:val="0"/>
    <w:rPr>
      <w:rFonts w:hint="default" w:ascii="monospace" w:hAnsi="monospace" w:eastAsia="monospace" w:cs="monospace"/>
      <w:sz w:val="20"/>
    </w:rPr>
  </w:style>
  <w:style w:type="character" w:styleId="42">
    <w:name w:val="HTML Acronym"/>
    <w:basedOn w:val="35"/>
    <w:semiHidden/>
    <w:unhideWhenUsed/>
    <w:qFormat/>
    <w:uiPriority w:val="0"/>
  </w:style>
  <w:style w:type="character" w:styleId="43">
    <w:name w:val="HTML Variable"/>
    <w:basedOn w:val="35"/>
    <w:semiHidden/>
    <w:unhideWhenUsed/>
    <w:qFormat/>
    <w:uiPriority w:val="0"/>
  </w:style>
  <w:style w:type="character" w:styleId="44">
    <w:name w:val="Hyperlink"/>
    <w:basedOn w:val="35"/>
    <w:qFormat/>
    <w:uiPriority w:val="99"/>
    <w:rPr>
      <w:color w:val="0000FF"/>
      <w:u w:val="none"/>
    </w:rPr>
  </w:style>
  <w:style w:type="character" w:styleId="45">
    <w:name w:val="HTML Code"/>
    <w:basedOn w:val="35"/>
    <w:semiHidden/>
    <w:unhideWhenUsed/>
    <w:qFormat/>
    <w:uiPriority w:val="0"/>
    <w:rPr>
      <w:rFonts w:hint="default" w:ascii="monospace" w:hAnsi="monospace" w:eastAsia="monospace" w:cs="monospace"/>
      <w:sz w:val="20"/>
    </w:rPr>
  </w:style>
  <w:style w:type="character" w:styleId="46">
    <w:name w:val="HTML Cite"/>
    <w:basedOn w:val="35"/>
    <w:semiHidden/>
    <w:unhideWhenUsed/>
    <w:qFormat/>
    <w:uiPriority w:val="0"/>
  </w:style>
  <w:style w:type="character" w:styleId="47">
    <w:name w:val="HTML Keyboard"/>
    <w:basedOn w:val="35"/>
    <w:semiHidden/>
    <w:unhideWhenUsed/>
    <w:qFormat/>
    <w:uiPriority w:val="0"/>
    <w:rPr>
      <w:rFonts w:hint="default" w:ascii="monospace" w:hAnsi="monospace" w:eastAsia="monospace" w:cs="monospace"/>
      <w:sz w:val="20"/>
    </w:rPr>
  </w:style>
  <w:style w:type="character" w:styleId="48">
    <w:name w:val="HTML Sample"/>
    <w:basedOn w:val="35"/>
    <w:semiHidden/>
    <w:unhideWhenUsed/>
    <w:qFormat/>
    <w:uiPriority w:val="0"/>
    <w:rPr>
      <w:rFonts w:ascii="monospace" w:hAnsi="monospace" w:eastAsia="monospace" w:cs="monospace"/>
    </w:rPr>
  </w:style>
  <w:style w:type="paragraph" w:customStyle="1" w:styleId="49">
    <w:name w:val="TOC 标题1"/>
    <w:basedOn w:val="4"/>
    <w:next w:val="1"/>
    <w:qFormat/>
    <w:uiPriority w:val="99"/>
    <w:pPr>
      <w:widowControl/>
      <w:spacing w:line="259" w:lineRule="auto"/>
      <w:jc w:val="left"/>
      <w:outlineLvl w:val="9"/>
    </w:pPr>
    <w:rPr>
      <w:rFonts w:ascii="Calibri Light" w:hAnsi="Calibri Light"/>
      <w:color w:val="2E74B5"/>
      <w:kern w:val="0"/>
    </w:rPr>
  </w:style>
  <w:style w:type="paragraph" w:customStyle="1" w:styleId="50">
    <w:name w:val="表格文字"/>
    <w:basedOn w:val="1"/>
    <w:next w:val="3"/>
    <w:qFormat/>
    <w:uiPriority w:val="0"/>
    <w:rPr>
      <w:rFonts w:eastAsia="楷体_GB2312"/>
      <w:szCs w:val="21"/>
    </w:rPr>
  </w:style>
  <w:style w:type="character" w:customStyle="1" w:styleId="51">
    <w:name w:val="font241"/>
    <w:qFormat/>
    <w:uiPriority w:val="0"/>
    <w:rPr>
      <w:rFonts w:ascii="Arial" w:hAnsi="Arial" w:cs="Arial"/>
      <w:color w:val="000000"/>
      <w:sz w:val="20"/>
      <w:szCs w:val="20"/>
      <w:u w:val="none"/>
    </w:rPr>
  </w:style>
  <w:style w:type="character" w:customStyle="1" w:styleId="52">
    <w:name w:val="纯文本 Char1"/>
    <w:link w:val="20"/>
    <w:semiHidden/>
    <w:qFormat/>
    <w:uiPriority w:val="99"/>
    <w:rPr>
      <w:rFonts w:ascii="宋体" w:hAnsi="Courier New" w:cs="Courier New"/>
      <w:kern w:val="2"/>
      <w:sz w:val="21"/>
      <w:szCs w:val="21"/>
    </w:rPr>
  </w:style>
  <w:style w:type="character" w:customStyle="1" w:styleId="53">
    <w:name w:val="正文文本缩进 2 Char1"/>
    <w:link w:val="22"/>
    <w:semiHidden/>
    <w:qFormat/>
    <w:uiPriority w:val="99"/>
    <w:rPr>
      <w:rFonts w:ascii="Calibri" w:hAnsi="Calibri"/>
      <w:kern w:val="2"/>
      <w:sz w:val="21"/>
      <w:szCs w:val="22"/>
    </w:rPr>
  </w:style>
  <w:style w:type="character" w:customStyle="1" w:styleId="54">
    <w:name w:val="font41"/>
    <w:qFormat/>
    <w:uiPriority w:val="0"/>
    <w:rPr>
      <w:rFonts w:hint="eastAsia" w:ascii="宋体" w:hAnsi="宋体" w:eastAsia="宋体" w:cs="宋体"/>
      <w:color w:val="000000"/>
      <w:sz w:val="21"/>
      <w:szCs w:val="21"/>
      <w:u w:val="none"/>
    </w:rPr>
  </w:style>
  <w:style w:type="character" w:customStyle="1" w:styleId="55">
    <w:name w:val="font251"/>
    <w:qFormat/>
    <w:uiPriority w:val="0"/>
    <w:rPr>
      <w:rFonts w:ascii="Arial" w:hAnsi="Arial" w:cs="Arial"/>
      <w:color w:val="000000"/>
      <w:sz w:val="16"/>
      <w:szCs w:val="16"/>
      <w:u w:val="none"/>
    </w:rPr>
  </w:style>
  <w:style w:type="character" w:customStyle="1" w:styleId="56">
    <w:name w:val="font131"/>
    <w:qFormat/>
    <w:uiPriority w:val="0"/>
    <w:rPr>
      <w:rFonts w:hint="eastAsia" w:ascii="宋体" w:hAnsi="宋体" w:eastAsia="宋体" w:cs="宋体"/>
      <w:color w:val="000000"/>
      <w:sz w:val="21"/>
      <w:szCs w:val="21"/>
      <w:u w:val="none"/>
    </w:rPr>
  </w:style>
  <w:style w:type="character" w:customStyle="1" w:styleId="57">
    <w:name w:val="日期 Char1"/>
    <w:semiHidden/>
    <w:qFormat/>
    <w:uiPriority w:val="99"/>
    <w:rPr>
      <w:rFonts w:ascii="Times New Roman" w:hAnsi="Times New Roman" w:eastAsia="宋体" w:cs="Times New Roman"/>
      <w:szCs w:val="24"/>
    </w:rPr>
  </w:style>
  <w:style w:type="character" w:customStyle="1" w:styleId="58">
    <w:name w:val="正文首行缩进 Char"/>
    <w:qFormat/>
    <w:uiPriority w:val="0"/>
    <w:rPr>
      <w:szCs w:val="24"/>
    </w:rPr>
  </w:style>
  <w:style w:type="character" w:customStyle="1" w:styleId="59">
    <w:name w:val="font261"/>
    <w:qFormat/>
    <w:uiPriority w:val="0"/>
    <w:rPr>
      <w:rFonts w:ascii="Arial" w:hAnsi="Arial" w:cs="Arial"/>
      <w:b/>
      <w:color w:val="000000"/>
      <w:sz w:val="16"/>
      <w:szCs w:val="16"/>
      <w:u w:val="none"/>
    </w:rPr>
  </w:style>
  <w:style w:type="character" w:customStyle="1" w:styleId="60">
    <w:name w:val="标题 2 Char"/>
    <w:link w:val="5"/>
    <w:qFormat/>
    <w:uiPriority w:val="0"/>
    <w:rPr>
      <w:rFonts w:ascii="Arial" w:hAnsi="Arial" w:eastAsia="黑体"/>
      <w:b/>
      <w:bCs/>
      <w:kern w:val="2"/>
      <w:sz w:val="32"/>
      <w:szCs w:val="32"/>
    </w:rPr>
  </w:style>
  <w:style w:type="character" w:customStyle="1" w:styleId="61">
    <w:name w:val="font181"/>
    <w:qFormat/>
    <w:uiPriority w:val="0"/>
    <w:rPr>
      <w:rFonts w:hint="eastAsia" w:ascii="宋体" w:hAnsi="宋体" w:eastAsia="宋体" w:cs="宋体"/>
      <w:b/>
      <w:color w:val="000000"/>
      <w:sz w:val="28"/>
      <w:szCs w:val="28"/>
      <w:u w:val="none"/>
    </w:rPr>
  </w:style>
  <w:style w:type="character" w:customStyle="1" w:styleId="62">
    <w:name w:val="正文文本 2 Char"/>
    <w:qFormat/>
    <w:uiPriority w:val="0"/>
    <w:rPr>
      <w:rFonts w:eastAsia="华文中宋"/>
      <w:color w:val="000000"/>
      <w:sz w:val="36"/>
      <w:szCs w:val="21"/>
    </w:rPr>
  </w:style>
  <w:style w:type="character" w:customStyle="1" w:styleId="63">
    <w:name w:val="批注文字 Char"/>
    <w:semiHidden/>
    <w:qFormat/>
    <w:uiPriority w:val="0"/>
    <w:rPr>
      <w:rFonts w:ascii="Calibri" w:hAnsi="Calibri"/>
      <w:kern w:val="2"/>
      <w:sz w:val="21"/>
      <w:szCs w:val="22"/>
    </w:rPr>
  </w:style>
  <w:style w:type="character" w:customStyle="1" w:styleId="64">
    <w:name w:val="font231"/>
    <w:qFormat/>
    <w:uiPriority w:val="0"/>
    <w:rPr>
      <w:rFonts w:ascii="Arial" w:hAnsi="Arial" w:cs="Arial"/>
      <w:b/>
      <w:color w:val="000000"/>
      <w:sz w:val="20"/>
      <w:szCs w:val="20"/>
      <w:u w:val="none"/>
    </w:rPr>
  </w:style>
  <w:style w:type="character" w:customStyle="1" w:styleId="65">
    <w:name w:val="正文文本 Char2"/>
    <w:semiHidden/>
    <w:qFormat/>
    <w:uiPriority w:val="99"/>
    <w:rPr>
      <w:rFonts w:ascii="Times New Roman" w:hAnsi="Times New Roman" w:eastAsia="宋体" w:cs="Times New Roman"/>
      <w:szCs w:val="24"/>
    </w:rPr>
  </w:style>
  <w:style w:type="character" w:customStyle="1" w:styleId="66">
    <w:name w:val="目录 1 Char"/>
    <w:link w:val="26"/>
    <w:qFormat/>
    <w:uiPriority w:val="0"/>
    <w:rPr>
      <w:rFonts w:ascii="Calibri" w:hAnsi="Calibri" w:eastAsia="宋体" w:cs="Times New Roman"/>
      <w:kern w:val="2"/>
      <w:sz w:val="21"/>
      <w:szCs w:val="24"/>
    </w:rPr>
  </w:style>
  <w:style w:type="character" w:customStyle="1" w:styleId="67">
    <w:name w:val="页脚 Char1"/>
    <w:semiHidden/>
    <w:qFormat/>
    <w:uiPriority w:val="99"/>
    <w:rPr>
      <w:rFonts w:ascii="Times New Roman" w:hAnsi="Times New Roman" w:eastAsia="宋体" w:cs="Times New Roman"/>
      <w:sz w:val="18"/>
      <w:szCs w:val="18"/>
    </w:rPr>
  </w:style>
  <w:style w:type="character" w:customStyle="1" w:styleId="68">
    <w:name w:val="标题 7 Char"/>
    <w:link w:val="10"/>
    <w:qFormat/>
    <w:uiPriority w:val="0"/>
    <w:rPr>
      <w:rFonts w:eastAsia="楷体_GB2312"/>
      <w:i/>
      <w:position w:val="-6"/>
      <w:sz w:val="22"/>
      <w:lang w:val="en-GB"/>
    </w:rPr>
  </w:style>
  <w:style w:type="character" w:customStyle="1" w:styleId="69">
    <w:name w:val="正文文本缩进 3 Char"/>
    <w:qFormat/>
    <w:uiPriority w:val="0"/>
    <w:rPr>
      <w:sz w:val="16"/>
      <w:szCs w:val="16"/>
    </w:rPr>
  </w:style>
  <w:style w:type="character" w:customStyle="1" w:styleId="70">
    <w:name w:val="正文文本 2 Char1"/>
    <w:link w:val="28"/>
    <w:semiHidden/>
    <w:qFormat/>
    <w:uiPriority w:val="99"/>
    <w:rPr>
      <w:rFonts w:ascii="Calibri" w:hAnsi="Calibri"/>
      <w:kern w:val="2"/>
      <w:sz w:val="21"/>
      <w:szCs w:val="22"/>
    </w:rPr>
  </w:style>
  <w:style w:type="character" w:customStyle="1" w:styleId="71">
    <w:name w:val="font171"/>
    <w:qFormat/>
    <w:uiPriority w:val="0"/>
    <w:rPr>
      <w:rFonts w:hint="eastAsia" w:ascii="宋体" w:hAnsi="宋体" w:eastAsia="宋体" w:cs="宋体"/>
      <w:b/>
      <w:color w:val="000000"/>
      <w:sz w:val="16"/>
      <w:szCs w:val="16"/>
      <w:u w:val="none"/>
    </w:rPr>
  </w:style>
  <w:style w:type="character" w:customStyle="1" w:styleId="72">
    <w:name w:val="日期 Char"/>
    <w:link w:val="21"/>
    <w:qFormat/>
    <w:uiPriority w:val="0"/>
    <w:rPr>
      <w:rFonts w:ascii="Calibri" w:hAnsi="Calibri" w:eastAsia="宋体" w:cs="Times New Roman"/>
    </w:rPr>
  </w:style>
  <w:style w:type="character" w:customStyle="1" w:styleId="73">
    <w:name w:val="标题 4 Char"/>
    <w:link w:val="7"/>
    <w:qFormat/>
    <w:uiPriority w:val="0"/>
    <w:rPr>
      <w:rFonts w:ascii="Arial" w:hAnsi="Arial"/>
      <w:b/>
      <w:spacing w:val="20"/>
      <w:sz w:val="28"/>
    </w:rPr>
  </w:style>
  <w:style w:type="character" w:customStyle="1" w:styleId="74">
    <w:name w:val="redfilenumber"/>
    <w:qFormat/>
    <w:uiPriority w:val="0"/>
    <w:rPr>
      <w:color w:val="BA2636"/>
      <w:sz w:val="18"/>
      <w:szCs w:val="18"/>
    </w:rPr>
  </w:style>
  <w:style w:type="character" w:customStyle="1" w:styleId="75">
    <w:name w:val="qxdate"/>
    <w:qFormat/>
    <w:uiPriority w:val="0"/>
    <w:rPr>
      <w:color w:val="333333"/>
      <w:sz w:val="18"/>
      <w:szCs w:val="18"/>
    </w:rPr>
  </w:style>
  <w:style w:type="character" w:customStyle="1" w:styleId="76">
    <w:name w:val="HTML 预设格式 Char1"/>
    <w:link w:val="29"/>
    <w:semiHidden/>
    <w:qFormat/>
    <w:uiPriority w:val="99"/>
    <w:rPr>
      <w:rFonts w:ascii="Courier New" w:hAnsi="Courier New" w:cs="Courier New"/>
      <w:kern w:val="2"/>
    </w:rPr>
  </w:style>
  <w:style w:type="character" w:customStyle="1" w:styleId="77">
    <w:name w:val="font71"/>
    <w:qFormat/>
    <w:uiPriority w:val="0"/>
    <w:rPr>
      <w:rFonts w:hint="eastAsia" w:ascii="宋体" w:hAnsi="宋体" w:eastAsia="宋体" w:cs="宋体"/>
      <w:b/>
      <w:color w:val="000000"/>
      <w:sz w:val="28"/>
      <w:szCs w:val="28"/>
      <w:u w:val="none"/>
    </w:rPr>
  </w:style>
  <w:style w:type="character" w:customStyle="1" w:styleId="78">
    <w:name w:val="正文文本缩进 Char"/>
    <w:qFormat/>
    <w:uiPriority w:val="0"/>
    <w:rPr>
      <w:szCs w:val="24"/>
    </w:rPr>
  </w:style>
  <w:style w:type="character" w:customStyle="1" w:styleId="79">
    <w:name w:val="标题 6 Char"/>
    <w:link w:val="9"/>
    <w:qFormat/>
    <w:uiPriority w:val="0"/>
    <w:rPr>
      <w:rFonts w:ascii="Helvetica" w:hAnsi="Helvetica" w:eastAsia="楷体_GB2312"/>
      <w:b/>
      <w:i/>
      <w:position w:val="-6"/>
      <w:sz w:val="22"/>
      <w:lang w:val="en-GB"/>
    </w:rPr>
  </w:style>
  <w:style w:type="character" w:customStyle="1" w:styleId="80">
    <w:name w:val="font01"/>
    <w:basedOn w:val="35"/>
    <w:qFormat/>
    <w:uiPriority w:val="0"/>
    <w:rPr>
      <w:rFonts w:hint="eastAsia" w:ascii="宋体" w:hAnsi="宋体" w:eastAsia="宋体" w:cs="宋体"/>
      <w:color w:val="000000"/>
      <w:sz w:val="20"/>
      <w:szCs w:val="20"/>
      <w:u w:val="none"/>
    </w:rPr>
  </w:style>
  <w:style w:type="character" w:customStyle="1" w:styleId="81">
    <w:name w:val="标题 9 Char"/>
    <w:link w:val="12"/>
    <w:qFormat/>
    <w:uiPriority w:val="0"/>
    <w:rPr>
      <w:rFonts w:eastAsia="楷体_GB2312"/>
      <w:i/>
      <w:position w:val="-6"/>
      <w:sz w:val="22"/>
      <w:lang w:val="en-GB"/>
    </w:rPr>
  </w:style>
  <w:style w:type="character" w:customStyle="1" w:styleId="82">
    <w:name w:val="font121"/>
    <w:qFormat/>
    <w:uiPriority w:val="0"/>
    <w:rPr>
      <w:rFonts w:ascii="Arial" w:hAnsi="Arial" w:cs="Arial"/>
      <w:color w:val="000000"/>
      <w:sz w:val="20"/>
      <w:szCs w:val="20"/>
      <w:u w:val="none"/>
    </w:rPr>
  </w:style>
  <w:style w:type="character" w:customStyle="1" w:styleId="83">
    <w:name w:val="标题 5 Char"/>
    <w:link w:val="8"/>
    <w:qFormat/>
    <w:uiPriority w:val="0"/>
    <w:rPr>
      <w:b/>
      <w:spacing w:val="20"/>
      <w:sz w:val="28"/>
    </w:rPr>
  </w:style>
  <w:style w:type="character" w:customStyle="1" w:styleId="84">
    <w:name w:val="font22"/>
    <w:qFormat/>
    <w:uiPriority w:val="0"/>
    <w:rPr>
      <w:rFonts w:ascii="Arial" w:hAnsi="Arial" w:cs="Arial"/>
      <w:color w:val="000000"/>
      <w:sz w:val="21"/>
      <w:szCs w:val="21"/>
      <w:u w:val="none"/>
    </w:rPr>
  </w:style>
  <w:style w:type="character" w:customStyle="1" w:styleId="85">
    <w:name w:val="页眉 Char"/>
    <w:link w:val="25"/>
    <w:qFormat/>
    <w:uiPriority w:val="99"/>
    <w:rPr>
      <w:rFonts w:ascii="Calibri" w:hAnsi="Calibri" w:eastAsia="宋体" w:cs="Times New Roman"/>
      <w:sz w:val="18"/>
      <w:szCs w:val="18"/>
    </w:rPr>
  </w:style>
  <w:style w:type="character" w:customStyle="1" w:styleId="86">
    <w:name w:val="HTML 预设格式 Char"/>
    <w:qFormat/>
    <w:uiPriority w:val="0"/>
    <w:rPr>
      <w:rFonts w:ascii="宋体" w:hAnsi="宋体" w:cs="宋体"/>
      <w:sz w:val="24"/>
      <w:szCs w:val="24"/>
    </w:rPr>
  </w:style>
  <w:style w:type="character" w:customStyle="1" w:styleId="87">
    <w:name w:val="文档结构图 Char1"/>
    <w:link w:val="15"/>
    <w:semiHidden/>
    <w:qFormat/>
    <w:uiPriority w:val="99"/>
    <w:rPr>
      <w:rFonts w:ascii="宋体" w:hAnsi="Calibri"/>
      <w:kern w:val="2"/>
      <w:sz w:val="18"/>
      <w:szCs w:val="18"/>
    </w:rPr>
  </w:style>
  <w:style w:type="character" w:customStyle="1" w:styleId="88">
    <w:name w:val="font51"/>
    <w:basedOn w:val="35"/>
    <w:qFormat/>
    <w:uiPriority w:val="0"/>
    <w:rPr>
      <w:rFonts w:hint="eastAsia" w:ascii="宋体" w:hAnsi="宋体" w:eastAsia="宋体" w:cs="宋体"/>
      <w:color w:val="000000"/>
      <w:sz w:val="20"/>
      <w:szCs w:val="20"/>
      <w:u w:val="none"/>
    </w:rPr>
  </w:style>
  <w:style w:type="character" w:customStyle="1" w:styleId="89">
    <w:name w:val="正文文本 3 Char1"/>
    <w:link w:val="17"/>
    <w:semiHidden/>
    <w:qFormat/>
    <w:uiPriority w:val="99"/>
    <w:rPr>
      <w:rFonts w:ascii="Calibri" w:hAnsi="Calibri" w:eastAsia="宋体" w:cs="Times New Roman"/>
      <w:sz w:val="16"/>
      <w:szCs w:val="16"/>
    </w:rPr>
  </w:style>
  <w:style w:type="character" w:customStyle="1" w:styleId="90">
    <w:name w:val="批注框文本 Char"/>
    <w:qFormat/>
    <w:uiPriority w:val="99"/>
    <w:rPr>
      <w:sz w:val="18"/>
      <w:szCs w:val="18"/>
    </w:rPr>
  </w:style>
  <w:style w:type="character" w:customStyle="1" w:styleId="91">
    <w:name w:val="apple-converted-space"/>
    <w:basedOn w:val="35"/>
    <w:qFormat/>
    <w:uiPriority w:val="0"/>
  </w:style>
  <w:style w:type="character" w:customStyle="1" w:styleId="92">
    <w:name w:val="正文文本 3 Char"/>
    <w:qFormat/>
    <w:uiPriority w:val="0"/>
    <w:rPr>
      <w:rFonts w:ascii="宋体"/>
      <w:sz w:val="24"/>
    </w:rPr>
  </w:style>
  <w:style w:type="character" w:customStyle="1" w:styleId="93">
    <w:name w:val="正文文本 Char"/>
    <w:link w:val="3"/>
    <w:qFormat/>
    <w:uiPriority w:val="0"/>
    <w:rPr>
      <w:rFonts w:ascii="Calibri" w:hAnsi="Calibri"/>
      <w:kern w:val="2"/>
      <w:sz w:val="21"/>
      <w:szCs w:val="22"/>
    </w:rPr>
  </w:style>
  <w:style w:type="character" w:customStyle="1" w:styleId="94">
    <w:name w:val="批注文字 Char1"/>
    <w:link w:val="16"/>
    <w:qFormat/>
    <w:uiPriority w:val="0"/>
    <w:rPr>
      <w:rFonts w:ascii="Calibri" w:hAnsi="Calibri"/>
    </w:rPr>
  </w:style>
  <w:style w:type="character" w:customStyle="1" w:styleId="95">
    <w:name w:val="font61"/>
    <w:qFormat/>
    <w:uiPriority w:val="0"/>
    <w:rPr>
      <w:rFonts w:ascii="Arial" w:hAnsi="Arial" w:cs="Arial"/>
      <w:color w:val="000000"/>
      <w:sz w:val="21"/>
      <w:szCs w:val="21"/>
      <w:u w:val="none"/>
    </w:rPr>
  </w:style>
  <w:style w:type="character" w:customStyle="1" w:styleId="96">
    <w:name w:val="页脚 Char"/>
    <w:link w:val="24"/>
    <w:qFormat/>
    <w:uiPriority w:val="99"/>
    <w:rPr>
      <w:rFonts w:ascii="Calibri" w:hAnsi="Calibri" w:eastAsia="宋体" w:cs="Times New Roman"/>
      <w:sz w:val="18"/>
      <w:szCs w:val="18"/>
    </w:rPr>
  </w:style>
  <w:style w:type="character" w:customStyle="1" w:styleId="97">
    <w:name w:val="font151"/>
    <w:qFormat/>
    <w:uiPriority w:val="0"/>
    <w:rPr>
      <w:rFonts w:hint="default" w:ascii="Times New Roman" w:hAnsi="Times New Roman" w:cs="Times New Roman"/>
      <w:b/>
      <w:color w:val="000000"/>
      <w:sz w:val="21"/>
      <w:szCs w:val="21"/>
      <w:u w:val="none"/>
    </w:rPr>
  </w:style>
  <w:style w:type="character" w:customStyle="1" w:styleId="98">
    <w:name w:val="标题 1 Char"/>
    <w:link w:val="4"/>
    <w:qFormat/>
    <w:uiPriority w:val="0"/>
    <w:rPr>
      <w:b/>
      <w:bCs/>
      <w:kern w:val="44"/>
      <w:sz w:val="44"/>
      <w:szCs w:val="44"/>
    </w:rPr>
  </w:style>
  <w:style w:type="character" w:customStyle="1" w:styleId="99">
    <w:name w:val="正文首行缩进 2 Char1"/>
    <w:basedOn w:val="100"/>
    <w:link w:val="32"/>
    <w:semiHidden/>
    <w:qFormat/>
    <w:uiPriority w:val="99"/>
    <w:rPr>
      <w:rFonts w:ascii="Calibri" w:hAnsi="Calibri"/>
      <w:kern w:val="2"/>
      <w:sz w:val="21"/>
      <w:szCs w:val="22"/>
    </w:rPr>
  </w:style>
  <w:style w:type="character" w:customStyle="1" w:styleId="100">
    <w:name w:val="正文文本缩进 Char1"/>
    <w:link w:val="18"/>
    <w:semiHidden/>
    <w:qFormat/>
    <w:uiPriority w:val="99"/>
    <w:rPr>
      <w:rFonts w:ascii="Calibri" w:hAnsi="Calibri"/>
      <w:kern w:val="2"/>
      <w:sz w:val="21"/>
      <w:szCs w:val="22"/>
    </w:rPr>
  </w:style>
  <w:style w:type="character" w:customStyle="1" w:styleId="101">
    <w:name w:val="font81"/>
    <w:qFormat/>
    <w:uiPriority w:val="99"/>
    <w:rPr>
      <w:rFonts w:hint="default" w:ascii="Times New Roman" w:hAnsi="Times New Roman" w:cs="Times New Roman"/>
      <w:b/>
      <w:color w:val="000000"/>
      <w:sz w:val="28"/>
      <w:szCs w:val="28"/>
      <w:u w:val="none"/>
    </w:rPr>
  </w:style>
  <w:style w:type="character" w:customStyle="1" w:styleId="102">
    <w:name w:val="cfdate"/>
    <w:qFormat/>
    <w:uiPriority w:val="0"/>
    <w:rPr>
      <w:color w:val="333333"/>
      <w:sz w:val="18"/>
      <w:szCs w:val="18"/>
    </w:rPr>
  </w:style>
  <w:style w:type="character" w:customStyle="1" w:styleId="103">
    <w:name w:val="文档结构图 Char"/>
    <w:qFormat/>
    <w:uiPriority w:val="0"/>
    <w:rPr>
      <w:szCs w:val="24"/>
      <w:shd w:val="clear" w:color="auto" w:fill="000080"/>
    </w:rPr>
  </w:style>
  <w:style w:type="character" w:customStyle="1" w:styleId="104">
    <w:name w:val="mini-outputtext2"/>
    <w:qFormat/>
    <w:uiPriority w:val="0"/>
  </w:style>
  <w:style w:type="character" w:customStyle="1" w:styleId="105">
    <w:name w:val="font31"/>
    <w:basedOn w:val="35"/>
    <w:qFormat/>
    <w:uiPriority w:val="0"/>
    <w:rPr>
      <w:rFonts w:hint="default" w:ascii="Times New Roman" w:hAnsi="Times New Roman" w:cs="Times New Roman"/>
      <w:color w:val="000000"/>
      <w:sz w:val="20"/>
      <w:szCs w:val="20"/>
      <w:u w:val="none"/>
    </w:rPr>
  </w:style>
  <w:style w:type="character" w:customStyle="1" w:styleId="106">
    <w:name w:val="标题 3 Char"/>
    <w:link w:val="6"/>
    <w:qFormat/>
    <w:uiPriority w:val="0"/>
    <w:rPr>
      <w:b/>
      <w:bCs/>
      <w:kern w:val="2"/>
      <w:sz w:val="32"/>
      <w:szCs w:val="32"/>
    </w:rPr>
  </w:style>
  <w:style w:type="character" w:customStyle="1" w:styleId="107">
    <w:name w:val="font141"/>
    <w:qFormat/>
    <w:uiPriority w:val="0"/>
    <w:rPr>
      <w:rFonts w:ascii="Arial" w:hAnsi="Arial" w:cs="Arial"/>
      <w:b/>
      <w:color w:val="000000"/>
      <w:sz w:val="21"/>
      <w:szCs w:val="21"/>
      <w:u w:val="none"/>
    </w:rPr>
  </w:style>
  <w:style w:type="character" w:customStyle="1" w:styleId="108">
    <w:name w:val="font161"/>
    <w:qFormat/>
    <w:uiPriority w:val="0"/>
    <w:rPr>
      <w:rFonts w:hint="eastAsia" w:ascii="宋体" w:hAnsi="宋体" w:eastAsia="宋体" w:cs="宋体"/>
      <w:b/>
      <w:color w:val="000000"/>
      <w:sz w:val="16"/>
      <w:szCs w:val="16"/>
      <w:u w:val="none"/>
    </w:rPr>
  </w:style>
  <w:style w:type="character" w:customStyle="1" w:styleId="109">
    <w:name w:val="正文首行缩进 2 Char"/>
    <w:qFormat/>
    <w:uiPriority w:val="0"/>
    <w:rPr>
      <w:szCs w:val="24"/>
    </w:rPr>
  </w:style>
  <w:style w:type="character" w:customStyle="1" w:styleId="110">
    <w:name w:val="标题 8 Char"/>
    <w:link w:val="11"/>
    <w:qFormat/>
    <w:uiPriority w:val="0"/>
    <w:rPr>
      <w:rFonts w:eastAsia="楷体_GB2312"/>
      <w:i/>
      <w:position w:val="-6"/>
      <w:sz w:val="22"/>
      <w:lang w:val="en-GB"/>
    </w:rPr>
  </w:style>
  <w:style w:type="character" w:customStyle="1" w:styleId="111">
    <w:name w:val="正文文本缩进 2 Char"/>
    <w:qFormat/>
    <w:uiPriority w:val="0"/>
    <w:rPr>
      <w:szCs w:val="24"/>
    </w:rPr>
  </w:style>
  <w:style w:type="character" w:customStyle="1" w:styleId="112">
    <w:name w:val="正文文本缩进 3 Char1"/>
    <w:link w:val="27"/>
    <w:semiHidden/>
    <w:qFormat/>
    <w:uiPriority w:val="99"/>
    <w:rPr>
      <w:rFonts w:ascii="Calibri" w:hAnsi="Calibri"/>
      <w:kern w:val="2"/>
      <w:sz w:val="16"/>
      <w:szCs w:val="16"/>
    </w:rPr>
  </w:style>
  <w:style w:type="character" w:customStyle="1" w:styleId="113">
    <w:name w:val="gjfg"/>
    <w:basedOn w:val="35"/>
    <w:qFormat/>
    <w:uiPriority w:val="0"/>
  </w:style>
  <w:style w:type="character" w:customStyle="1" w:styleId="114">
    <w:name w:val="批注框文本 Char1"/>
    <w:link w:val="23"/>
    <w:semiHidden/>
    <w:qFormat/>
    <w:uiPriority w:val="99"/>
    <w:rPr>
      <w:rFonts w:ascii="Calibri" w:hAnsi="Calibri"/>
      <w:kern w:val="2"/>
      <w:sz w:val="18"/>
      <w:szCs w:val="18"/>
    </w:rPr>
  </w:style>
  <w:style w:type="character" w:customStyle="1" w:styleId="115">
    <w:name w:val="apple-tab-span"/>
    <w:qFormat/>
    <w:uiPriority w:val="0"/>
  </w:style>
  <w:style w:type="character" w:customStyle="1" w:styleId="116">
    <w:name w:val="页眉 Char1"/>
    <w:semiHidden/>
    <w:qFormat/>
    <w:uiPriority w:val="99"/>
    <w:rPr>
      <w:rFonts w:ascii="Times New Roman" w:hAnsi="Times New Roman" w:eastAsia="宋体" w:cs="Times New Roman"/>
      <w:sz w:val="18"/>
      <w:szCs w:val="18"/>
    </w:rPr>
  </w:style>
  <w:style w:type="character" w:customStyle="1" w:styleId="117">
    <w:name w:val="15"/>
    <w:qFormat/>
    <w:uiPriority w:val="0"/>
    <w:rPr>
      <w:rFonts w:hint="default" w:ascii="Times New Roman" w:hAnsi="Times New Roman" w:cs="Times New Roman"/>
      <w:b/>
      <w:bCs/>
      <w:sz w:val="20"/>
      <w:szCs w:val="20"/>
    </w:rPr>
  </w:style>
  <w:style w:type="character" w:customStyle="1" w:styleId="118">
    <w:name w:val="font211"/>
    <w:qFormat/>
    <w:uiPriority w:val="0"/>
    <w:rPr>
      <w:rFonts w:hint="eastAsia" w:ascii="宋体" w:hAnsi="宋体" w:eastAsia="宋体" w:cs="宋体"/>
      <w:b/>
      <w:color w:val="000000"/>
      <w:sz w:val="24"/>
      <w:szCs w:val="24"/>
      <w:u w:val="none"/>
    </w:rPr>
  </w:style>
  <w:style w:type="character" w:customStyle="1" w:styleId="119">
    <w:name w:val="font11"/>
    <w:basedOn w:val="35"/>
    <w:qFormat/>
    <w:uiPriority w:val="99"/>
    <w:rPr>
      <w:rFonts w:hint="eastAsia" w:ascii="宋体" w:hAnsi="宋体" w:eastAsia="宋体" w:cs="宋体"/>
      <w:b/>
      <w:color w:val="000000"/>
      <w:sz w:val="21"/>
      <w:szCs w:val="21"/>
      <w:u w:val="none"/>
    </w:rPr>
  </w:style>
  <w:style w:type="character" w:customStyle="1" w:styleId="120">
    <w:name w:val="纯文本 Char"/>
    <w:qFormat/>
    <w:uiPriority w:val="0"/>
    <w:rPr>
      <w:rFonts w:ascii="宋体" w:hAnsi="Courier New"/>
      <w:sz w:val="24"/>
    </w:rPr>
  </w:style>
  <w:style w:type="character" w:customStyle="1" w:styleId="121">
    <w:name w:val="正文文本 Char1"/>
    <w:qFormat/>
    <w:uiPriority w:val="0"/>
    <w:rPr>
      <w:szCs w:val="24"/>
    </w:rPr>
  </w:style>
  <w:style w:type="character" w:customStyle="1" w:styleId="122">
    <w:name w:val="标题 Char"/>
    <w:qFormat/>
    <w:uiPriority w:val="0"/>
    <w:rPr>
      <w:b/>
      <w:bCs/>
      <w:szCs w:val="24"/>
    </w:rPr>
  </w:style>
  <w:style w:type="character" w:customStyle="1" w:styleId="123">
    <w:name w:val="16"/>
    <w:basedOn w:val="35"/>
    <w:qFormat/>
    <w:uiPriority w:val="0"/>
  </w:style>
  <w:style w:type="character" w:customStyle="1" w:styleId="124">
    <w:name w:val="正文首行缩进 Char1"/>
    <w:basedOn w:val="93"/>
    <w:link w:val="2"/>
    <w:semiHidden/>
    <w:qFormat/>
    <w:uiPriority w:val="99"/>
    <w:rPr>
      <w:rFonts w:ascii="Calibri" w:hAnsi="Calibri"/>
      <w:kern w:val="2"/>
      <w:sz w:val="21"/>
      <w:szCs w:val="22"/>
    </w:rPr>
  </w:style>
  <w:style w:type="character" w:customStyle="1" w:styleId="125">
    <w:name w:val="displayarti"/>
    <w:qFormat/>
    <w:uiPriority w:val="0"/>
    <w:rPr>
      <w:color w:val="FFFFFF"/>
      <w:shd w:val="clear" w:color="auto" w:fill="A00000"/>
    </w:rPr>
  </w:style>
  <w:style w:type="character" w:customStyle="1" w:styleId="126">
    <w:name w:val="标题 Char1"/>
    <w:link w:val="31"/>
    <w:qFormat/>
    <w:uiPriority w:val="10"/>
    <w:rPr>
      <w:rFonts w:ascii="Cambria" w:hAnsi="Cambria" w:cs="Times New Roman"/>
      <w:b/>
      <w:bCs/>
      <w:kern w:val="2"/>
      <w:sz w:val="32"/>
      <w:szCs w:val="32"/>
    </w:rPr>
  </w:style>
  <w:style w:type="character" w:customStyle="1" w:styleId="127">
    <w:name w:val="redfilefwwh"/>
    <w:qFormat/>
    <w:uiPriority w:val="0"/>
    <w:rPr>
      <w:color w:val="BA2636"/>
      <w:sz w:val="18"/>
      <w:szCs w:val="18"/>
    </w:rPr>
  </w:style>
  <w:style w:type="paragraph" w:customStyle="1" w:styleId="12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9">
    <w:name w:val="列出段落2"/>
    <w:basedOn w:val="1"/>
    <w:qFormat/>
    <w:uiPriority w:val="0"/>
    <w:pPr>
      <w:ind w:firstLine="420" w:firstLineChars="200"/>
    </w:pPr>
  </w:style>
  <w:style w:type="paragraph" w:customStyle="1" w:styleId="130">
    <w:name w:val="10 f"/>
    <w:basedOn w:val="1"/>
    <w:qFormat/>
    <w:uiPriority w:val="0"/>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13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132">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16"/>
      <w:szCs w:val="16"/>
    </w:rPr>
  </w:style>
  <w:style w:type="paragraph" w:customStyle="1" w:styleId="13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olor w:val="000000"/>
      <w:kern w:val="0"/>
      <w:sz w:val="20"/>
      <w:szCs w:val="20"/>
    </w:rPr>
  </w:style>
  <w:style w:type="paragraph" w:customStyle="1" w:styleId="13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5">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3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rPr>
  </w:style>
  <w:style w:type="paragraph" w:customStyle="1" w:styleId="13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8">
    <w:name w:val="xl67"/>
    <w:basedOn w:val="1"/>
    <w:qFormat/>
    <w:uiPriority w:val="0"/>
    <w:pPr>
      <w:widowControl/>
      <w:spacing w:before="100" w:beforeAutospacing="1" w:after="100" w:afterAutospacing="1"/>
      <w:jc w:val="left"/>
      <w:textAlignment w:val="center"/>
    </w:pPr>
    <w:rPr>
      <w:rFonts w:ascii="宋体" w:hAnsi="宋体" w:cs="宋体"/>
      <w:color w:val="003300"/>
      <w:kern w:val="0"/>
      <w:sz w:val="20"/>
      <w:szCs w:val="20"/>
    </w:rPr>
  </w:style>
  <w:style w:type="paragraph" w:customStyle="1" w:styleId="139">
    <w:name w:val="font9"/>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14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00"/>
      <w:kern w:val="0"/>
      <w:sz w:val="20"/>
      <w:szCs w:val="20"/>
    </w:rPr>
  </w:style>
  <w:style w:type="paragraph" w:customStyle="1" w:styleId="14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3">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4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5">
    <w:name w:val="Absatz2AL"/>
    <w:basedOn w:val="3"/>
    <w:next w:val="1"/>
    <w:qFormat/>
    <w:uiPriority w:val="0"/>
    <w:pPr>
      <w:widowControl/>
      <w:overflowPunct w:val="0"/>
      <w:autoSpaceDE w:val="0"/>
      <w:autoSpaceDN w:val="0"/>
      <w:adjustRightInd w:val="0"/>
      <w:spacing w:after="0"/>
      <w:textAlignment w:val="baseline"/>
    </w:pPr>
    <w:rPr>
      <w:rFonts w:eastAsia="楷体_GB2312"/>
      <w:sz w:val="24"/>
      <w:szCs w:val="20"/>
      <w:lang w:val="de-DE"/>
    </w:rPr>
  </w:style>
  <w:style w:type="paragraph" w:customStyle="1" w:styleId="146">
    <w:name w:val="xl100"/>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147">
    <w:name w:val="font6"/>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8">
    <w:name w:val="正文格式"/>
    <w:basedOn w:val="1"/>
    <w:qFormat/>
    <w:uiPriority w:val="0"/>
    <w:pPr>
      <w:spacing w:line="360" w:lineRule="auto"/>
      <w:jc w:val="left"/>
    </w:pPr>
    <w:rPr>
      <w:sz w:val="24"/>
      <w:szCs w:val="24"/>
    </w:rPr>
  </w:style>
  <w:style w:type="paragraph" w:customStyle="1" w:styleId="149">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150">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5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2">
    <w:name w:val="Standard o abs"/>
    <w:basedOn w:val="1"/>
    <w:qFormat/>
    <w:uiPriority w:val="0"/>
    <w:pPr>
      <w:widowControl/>
      <w:tabs>
        <w:tab w:val="left" w:pos="2835"/>
        <w:tab w:val="left" w:pos="3119"/>
        <w:tab w:val="left" w:pos="3402"/>
        <w:tab w:val="left" w:pos="3686"/>
        <w:tab w:val="left" w:pos="3969"/>
        <w:tab w:val="left" w:pos="4253"/>
      </w:tabs>
      <w:ind w:left="2552"/>
      <w:jc w:val="left"/>
    </w:pPr>
    <w:rPr>
      <w:rFonts w:ascii="Syntax" w:hAnsi="Syntax"/>
      <w:kern w:val="0"/>
      <w:sz w:val="20"/>
      <w:szCs w:val="20"/>
      <w:lang w:val="de-DE" w:eastAsia="de-DE"/>
    </w:rPr>
  </w:style>
  <w:style w:type="paragraph" w:customStyle="1" w:styleId="15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4">
    <w:name w:val="xl96"/>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44"/>
      <w:szCs w:val="44"/>
    </w:rPr>
  </w:style>
  <w:style w:type="paragraph" w:customStyle="1" w:styleId="1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6">
    <w:name w:val="Char2"/>
    <w:basedOn w:val="1"/>
    <w:qFormat/>
    <w:uiPriority w:val="0"/>
    <w:pPr>
      <w:ind w:left="432" w:hanging="432"/>
    </w:pPr>
    <w:rPr>
      <w:rFonts w:ascii="Times New Roman" w:hAnsi="Times New Roman"/>
      <w:sz w:val="24"/>
      <w:szCs w:val="24"/>
    </w:rPr>
  </w:style>
  <w:style w:type="paragraph" w:customStyle="1" w:styleId="15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szCs w:val="20"/>
    </w:rPr>
  </w:style>
  <w:style w:type="paragraph" w:customStyle="1" w:styleId="16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161">
    <w:name w:val="List Paragraph"/>
    <w:basedOn w:val="1"/>
    <w:qFormat/>
    <w:uiPriority w:val="34"/>
    <w:pPr>
      <w:ind w:firstLine="420" w:firstLineChars="200"/>
    </w:pPr>
    <w:rPr>
      <w:szCs w:val="24"/>
    </w:rPr>
  </w:style>
  <w:style w:type="paragraph" w:customStyle="1" w:styleId="162">
    <w:name w:val="xl69"/>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163">
    <w:name w:val="xl68"/>
    <w:basedOn w:val="1"/>
    <w:qFormat/>
    <w:uiPriority w:val="0"/>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164">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165">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66">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67">
    <w:name w:val="Char Char"/>
    <w:basedOn w:val="1"/>
    <w:qFormat/>
    <w:uiPriority w:val="0"/>
    <w:rPr>
      <w:rFonts w:ascii="Tahoma" w:hAnsi="Tahoma"/>
      <w:sz w:val="24"/>
      <w:szCs w:val="20"/>
    </w:rPr>
  </w:style>
  <w:style w:type="paragraph" w:customStyle="1" w:styleId="16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169">
    <w:name w:val="列出段落1"/>
    <w:basedOn w:val="1"/>
    <w:qFormat/>
    <w:uiPriority w:val="34"/>
    <w:pPr>
      <w:ind w:firstLine="420" w:firstLineChars="200"/>
    </w:pPr>
  </w:style>
  <w:style w:type="paragraph" w:customStyle="1" w:styleId="170">
    <w:name w:val="p0"/>
    <w:basedOn w:val="1"/>
    <w:qFormat/>
    <w:uiPriority w:val="0"/>
    <w:pPr>
      <w:widowControl/>
    </w:pPr>
    <w:rPr>
      <w:kern w:val="0"/>
      <w:szCs w:val="21"/>
    </w:rPr>
  </w:style>
  <w:style w:type="paragraph" w:customStyle="1" w:styleId="171">
    <w:name w:val="xl71"/>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172">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kern w:val="0"/>
      <w:position w:val="-6"/>
      <w:sz w:val="24"/>
      <w:szCs w:val="20"/>
      <w:lang w:val="fr-FR"/>
    </w:rPr>
  </w:style>
  <w:style w:type="paragraph" w:customStyle="1" w:styleId="17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5">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7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7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3300"/>
      <w:kern w:val="0"/>
      <w:sz w:val="20"/>
      <w:szCs w:val="20"/>
    </w:rPr>
  </w:style>
  <w:style w:type="paragraph" w:customStyle="1" w:styleId="178">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7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8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color w:val="000000"/>
      <w:kern w:val="0"/>
      <w:sz w:val="20"/>
      <w:szCs w:val="20"/>
    </w:rPr>
  </w:style>
  <w:style w:type="paragraph" w:customStyle="1" w:styleId="18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83">
    <w:name w:val="Char Char2"/>
    <w:basedOn w:val="14"/>
    <w:qFormat/>
    <w:uiPriority w:val="0"/>
    <w:pPr>
      <w:widowControl/>
      <w:spacing w:afterLines="50" w:line="360" w:lineRule="auto"/>
      <w:ind w:left="0" w:firstLine="480" w:firstLineChars="200"/>
      <w:jc w:val="left"/>
    </w:pPr>
    <w:rPr>
      <w:rFonts w:ascii="Times New Roman"/>
    </w:rPr>
  </w:style>
  <w:style w:type="paragraph" w:customStyle="1" w:styleId="18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85">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8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8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20"/>
      <w:szCs w:val="20"/>
    </w:rPr>
  </w:style>
  <w:style w:type="paragraph" w:customStyle="1" w:styleId="188">
    <w:name w:val="样式1"/>
    <w:basedOn w:val="4"/>
    <w:next w:val="1"/>
    <w:qFormat/>
    <w:uiPriority w:val="0"/>
    <w:pPr>
      <w:keepNext w:val="0"/>
      <w:keepLines w:val="0"/>
      <w:spacing w:before="100" w:beforeAutospacing="1" w:after="100" w:afterAutospacing="1" w:line="240" w:lineRule="auto"/>
      <w:jc w:val="left"/>
    </w:pPr>
    <w:rPr>
      <w:rFonts w:hint="eastAsia" w:ascii="宋体" w:hAnsi="宋体"/>
      <w:bCs w:val="0"/>
      <w:sz w:val="24"/>
      <w:szCs w:val="48"/>
    </w:rPr>
  </w:style>
  <w:style w:type="paragraph" w:customStyle="1" w:styleId="189">
    <w:name w:val="WPSOffice手动目录 1"/>
    <w:qFormat/>
    <w:uiPriority w:val="0"/>
    <w:rPr>
      <w:rFonts w:ascii="Times New Roman" w:hAnsi="Times New Roman" w:eastAsia="宋体" w:cs="Times New Roman"/>
      <w:lang w:val="en-US" w:eastAsia="zh-CN" w:bidi="ar-SA"/>
    </w:rPr>
  </w:style>
  <w:style w:type="paragraph" w:customStyle="1" w:styleId="190">
    <w:name w:val="xl65"/>
    <w:basedOn w:val="1"/>
    <w:qFormat/>
    <w:uiPriority w:val="0"/>
    <w:pPr>
      <w:widowControl/>
      <w:spacing w:before="100" w:beforeAutospacing="1" w:after="100" w:afterAutospacing="1"/>
      <w:jc w:val="center"/>
      <w:textAlignment w:val="center"/>
    </w:pPr>
    <w:rPr>
      <w:rFonts w:ascii="宋体" w:hAnsi="宋体" w:cs="宋体"/>
      <w:b/>
      <w:bCs/>
      <w:kern w:val="0"/>
      <w:sz w:val="20"/>
      <w:szCs w:val="20"/>
    </w:rPr>
  </w:style>
  <w:style w:type="paragraph" w:customStyle="1" w:styleId="191">
    <w:name w:val="xl70"/>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192">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95">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96">
    <w:name w:val="xl95"/>
    <w:basedOn w:val="1"/>
    <w:qFormat/>
    <w:uiPriority w:val="0"/>
    <w:pPr>
      <w:widowControl/>
      <w:spacing w:before="100" w:beforeAutospacing="1" w:after="100" w:afterAutospacing="1"/>
      <w:jc w:val="center"/>
      <w:textAlignment w:val="center"/>
    </w:pPr>
    <w:rPr>
      <w:rFonts w:ascii="宋体" w:hAnsi="宋体" w:cs="宋体"/>
      <w:kern w:val="0"/>
      <w:sz w:val="44"/>
      <w:szCs w:val="44"/>
    </w:rPr>
  </w:style>
  <w:style w:type="paragraph" w:customStyle="1" w:styleId="19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98">
    <w:name w:val="Char"/>
    <w:basedOn w:val="1"/>
    <w:qFormat/>
    <w:uiPriority w:val="0"/>
    <w:pPr>
      <w:tabs>
        <w:tab w:val="left" w:pos="420"/>
      </w:tabs>
      <w:ind w:left="420" w:hanging="420"/>
    </w:pPr>
    <w:rPr>
      <w:rFonts w:ascii="Times New Roman" w:hAnsi="Times New Roman"/>
      <w:szCs w:val="20"/>
    </w:rPr>
  </w:style>
  <w:style w:type="paragraph" w:customStyle="1" w:styleId="19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20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1">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2">
    <w:name w:val="xl66"/>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20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4">
    <w:name w:val="【3级标题】"/>
    <w:basedOn w:val="6"/>
    <w:next w:val="1"/>
    <w:qFormat/>
    <w:uiPriority w:val="0"/>
    <w:pPr>
      <w:tabs>
        <w:tab w:val="left" w:pos="709"/>
      </w:tabs>
      <w:spacing w:before="280" w:after="140" w:line="240" w:lineRule="auto"/>
      <w:jc w:val="left"/>
    </w:pPr>
    <w:rPr>
      <w:rFonts w:ascii="微软雅黑" w:hAnsi="微软雅黑" w:eastAsia="微软雅黑"/>
      <w:sz w:val="30"/>
      <w:szCs w:val="30"/>
    </w:rPr>
  </w:style>
  <w:style w:type="paragraph" w:customStyle="1" w:styleId="205">
    <w:name w:val="Table Paragraph"/>
    <w:basedOn w:val="1"/>
    <w:qFormat/>
    <w:uiPriority w:val="1"/>
    <w:rPr>
      <w:rFonts w:ascii="宋体" w:hAnsi="宋体" w:cs="宋体"/>
      <w:lang w:val="zh-CN" w:bidi="zh-CN"/>
    </w:rPr>
  </w:style>
  <w:style w:type="paragraph" w:customStyle="1" w:styleId="206">
    <w:name w:val="彩色列表 - 强调文字颜色 11"/>
    <w:basedOn w:val="1"/>
    <w:qFormat/>
    <w:uiPriority w:val="34"/>
    <w:pPr>
      <w:ind w:firstLine="420" w:firstLineChars="200"/>
    </w:pPr>
    <w:rPr>
      <w:rFonts w:ascii="Times New Roman" w:hAnsi="Times New Roman"/>
    </w:rPr>
  </w:style>
  <w:style w:type="table" w:customStyle="1" w:styleId="207">
    <w:name w:val="Table Normal"/>
    <w:semiHidden/>
    <w:unhideWhenUsed/>
    <w:qFormat/>
    <w:uiPriority w:val="0"/>
    <w:tblPr>
      <w:tblCellMar>
        <w:top w:w="0" w:type="dxa"/>
        <w:left w:w="0" w:type="dxa"/>
        <w:bottom w:w="0" w:type="dxa"/>
        <w:right w:w="0" w:type="dxa"/>
      </w:tblCellMar>
    </w:tblPr>
  </w:style>
  <w:style w:type="paragraph" w:customStyle="1" w:styleId="208">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7A2B-14F6-43AC-8915-CA15FAA3892C}">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50</Pages>
  <Words>24501</Words>
  <Characters>26297</Characters>
  <Lines>185</Lines>
  <Paragraphs>52</Paragraphs>
  <TotalTime>109</TotalTime>
  <ScaleCrop>false</ScaleCrop>
  <LinksUpToDate>false</LinksUpToDate>
  <CharactersWithSpaces>29365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2020-01-02T10:41:00Z</dcterms:created>
  <dc:creator>Administrator</dc:creator>
  <cp:lastModifiedBy>信仰</cp:lastModifiedBy>
  <cp:lastPrinted>2022-01-04T03:11:00Z</cp:lastPrinted>
  <dcterms:modified xsi:type="dcterms:W3CDTF">2024-06-20T09:28:15Z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0F2BDEE330494A049E6A919A8DA1A1F9_13</vt:lpwstr>
  </property>
</Properties>
</file>