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w:t>
      </w:r>
      <w:r>
        <w:rPr>
          <w:rFonts w:hint="eastAsia" w:asciiTheme="minorEastAsia" w:hAnsiTheme="minorEastAsia" w:eastAsiaTheme="minorEastAsia" w:cstheme="minorEastAsia"/>
          <w:b/>
          <w:bCs w:val="0"/>
          <w:color w:val="auto"/>
          <w:sz w:val="36"/>
          <w:szCs w:val="36"/>
          <w:lang w:val="en-US" w:eastAsia="zh-CN"/>
        </w:rPr>
        <w:t>第二包</w:t>
      </w:r>
      <w:r>
        <w:rPr>
          <w:rFonts w:hint="eastAsia" w:asciiTheme="minorEastAsia" w:hAnsiTheme="minorEastAsia" w:eastAsiaTheme="minorEastAsia" w:cstheme="minorEastAsia"/>
          <w:b/>
          <w:bCs w:val="0"/>
          <w:color w:val="auto"/>
          <w:sz w:val="36"/>
          <w:szCs w:val="36"/>
          <w:lang w:eastAsia="zh-CN"/>
        </w:rPr>
        <w:t>）</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8274"/>
      <w:bookmarkStart w:id="1" w:name="_Toc17817"/>
      <w:bookmarkStart w:id="2" w:name="_Toc17161"/>
      <w:bookmarkStart w:id="3" w:name="_Toc21919"/>
      <w:bookmarkStart w:id="4" w:name="_Toc15542"/>
      <w:bookmarkStart w:id="5" w:name="_Toc2415"/>
      <w:bookmarkStart w:id="6" w:name="_Toc13852"/>
      <w:bookmarkStart w:id="7" w:name="_Toc13221"/>
      <w:bookmarkStart w:id="8" w:name="_Toc11316"/>
      <w:bookmarkStart w:id="9" w:name="_Toc1172"/>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22246"/>
      <w:bookmarkStart w:id="11" w:name="_Toc9792"/>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lang w:val="en-US" w:eastAsia="zh-CN"/>
              </w:rPr>
            </w:pPr>
            <w:r>
              <w:rPr>
                <w:rFonts w:hint="eastAsia" w:ascii="宋体" w:hAnsi="宋体"/>
                <w:snapToGrid/>
                <w:sz w:val="24"/>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r>
              <w:rPr>
                <w:rFonts w:hint="eastAsia" w:ascii="宋体" w:hAnsi="宋体"/>
                <w:snapToGrid/>
                <w:sz w:val="24"/>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2  </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31598"/>
      <w:bookmarkStart w:id="14" w:name="_Toc2194"/>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w:t>
            </w:r>
            <w:r>
              <w:rPr>
                <w:rFonts w:hint="eastAsia" w:asciiTheme="minorEastAsia" w:hAnsiTheme="minorEastAsia" w:eastAsiaTheme="minorEastAsia" w:cstheme="minorEastAsia"/>
                <w:color w:val="auto"/>
                <w:sz w:val="24"/>
                <w:szCs w:val="24"/>
                <w:lang w:val="en-US" w:eastAsia="zh-CN"/>
              </w:rPr>
              <w:t>第二包</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682342"/>
      <w:bookmarkStart w:id="20" w:name="_Toc183582205"/>
      <w:bookmarkStart w:id="21" w:name="_Toc217446034"/>
      <w:bookmarkStart w:id="22" w:name="_Toc11143"/>
      <w:bookmarkStart w:id="23" w:name="_Toc8667"/>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32072"/>
      <w:bookmarkStart w:id="25" w:name="_Toc15986"/>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8609"/>
      <w:bookmarkStart w:id="27" w:name="_Toc14681"/>
      <w:bookmarkStart w:id="28" w:name="_Toc2667"/>
      <w:bookmarkStart w:id="29" w:name="_Toc2850"/>
      <w:bookmarkStart w:id="30" w:name="_Toc217446035"/>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9772"/>
      <w:bookmarkStart w:id="32" w:name="_Toc171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11730"/>
      <w:bookmarkStart w:id="34" w:name="_Toc2928"/>
      <w:bookmarkStart w:id="35" w:name="_Toc1038"/>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6985"/>
      <w:bookmarkStart w:id="38" w:name="_Toc312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12036"/>
      <w:bookmarkStart w:id="40" w:name="_Toc943"/>
      <w:bookmarkStart w:id="41" w:name="_Toc14733"/>
      <w:bookmarkStart w:id="42" w:name="_Toc217446043"/>
      <w:bookmarkStart w:id="43" w:name="_Toc183582215"/>
      <w:bookmarkStart w:id="44" w:name="_Toc183682352"/>
      <w:bookmarkStart w:id="45" w:name="_Toc31087"/>
      <w:bookmarkStart w:id="46" w:name="_Toc26661"/>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183682353"/>
      <w:bookmarkStart w:id="48" w:name="_Toc183582216"/>
      <w:bookmarkStart w:id="49" w:name="_Toc217446044"/>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1489"/>
      <w:bookmarkStart w:id="51" w:name="_Toc32090"/>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217446046"/>
      <w:bookmarkStart w:id="55" w:name="_Toc3145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16240"/>
      <w:bookmarkStart w:id="59" w:name="_Toc2883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4255"/>
      <w:bookmarkStart w:id="61" w:name="_Toc217446048"/>
      <w:bookmarkStart w:id="62" w:name="_Toc14081"/>
      <w:bookmarkStart w:id="63" w:name="_Toc183582217"/>
      <w:bookmarkStart w:id="64" w:name="_Toc308164798"/>
      <w:bookmarkStart w:id="65" w:name="_Toc183682354"/>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308164799"/>
      <w:bookmarkStart w:id="67" w:name="_Toc25088"/>
      <w:bookmarkStart w:id="68" w:name="_Toc183682355"/>
      <w:bookmarkStart w:id="69" w:name="_Toc183582218"/>
      <w:bookmarkStart w:id="70" w:name="_Toc3586"/>
      <w:bookmarkStart w:id="71" w:name="_Toc217446049"/>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217446051"/>
      <w:bookmarkStart w:id="73" w:name="_Toc183682361"/>
      <w:bookmarkStart w:id="74" w:name="_Toc183582224"/>
      <w:bookmarkStart w:id="75" w:name="_Toc308164801"/>
      <w:bookmarkStart w:id="76" w:name="_Toc22156"/>
      <w:bookmarkStart w:id="77" w:name="_Toc10834"/>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26062"/>
      <w:bookmarkStart w:id="80" w:name="_Toc17483"/>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9415"/>
      <w:bookmarkStart w:id="82" w:name="_Toc16860"/>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3925"/>
      <w:bookmarkStart w:id="84" w:name="_Toc10027"/>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4661"/>
      <w:bookmarkStart w:id="86" w:name="_Toc308164810"/>
      <w:bookmarkStart w:id="87" w:name="_Toc217446064"/>
      <w:bookmarkStart w:id="88" w:name="_Toc28015"/>
      <w:bookmarkStart w:id="89" w:name="_Toc16292"/>
      <w:bookmarkStart w:id="90" w:name="_Toc183582240"/>
      <w:bookmarkStart w:id="91" w:name="_Toc183682377"/>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308164811"/>
      <w:bookmarkStart w:id="93" w:name="_Toc217446065"/>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217446069"/>
      <w:bookmarkStart w:id="96" w:name="_Toc308164813"/>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11757"/>
      <w:bookmarkStart w:id="98" w:name="_Toc8495"/>
      <w:bookmarkStart w:id="99" w:name="_Toc29897"/>
      <w:bookmarkStart w:id="100" w:name="_Toc32070"/>
      <w:bookmarkStart w:id="101" w:name="_Toc29370"/>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11787"/>
      <w:bookmarkStart w:id="103" w:name="_Toc19156"/>
      <w:bookmarkStart w:id="104" w:name="_Toc8492"/>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1000"/>
      <w:bookmarkStart w:id="107" w:name="_Toc27299"/>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8113"/>
      <w:bookmarkStart w:id="109" w:name="_Toc11793"/>
      <w:bookmarkStart w:id="110" w:name="_Toc14898"/>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16425"/>
      <w:bookmarkStart w:id="112" w:name="_Toc11048"/>
      <w:bookmarkStart w:id="113" w:name="_Toc7076"/>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586"/>
      <w:bookmarkStart w:id="115" w:name="_Toc5697"/>
      <w:bookmarkStart w:id="116" w:name="_Toc19877"/>
      <w:bookmarkStart w:id="117" w:name="_Toc10539"/>
      <w:bookmarkStart w:id="118" w:name="_Toc28266"/>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30"/>
      <w:bookmarkStart w:id="120" w:name="_Toc27146"/>
      <w:bookmarkStart w:id="121" w:name="_Toc19162"/>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6383"/>
      <w:bookmarkStart w:id="123" w:name="_Toc23804"/>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24821"/>
      <w:bookmarkStart w:id="125" w:name="_Toc27135"/>
      <w:bookmarkStart w:id="126" w:name="_Toc27093"/>
      <w:bookmarkStart w:id="127" w:name="_Toc8364"/>
      <w:bookmarkStart w:id="128" w:name="_Toc21045"/>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31170"/>
      <w:bookmarkStart w:id="130" w:name="_Toc1269"/>
      <w:bookmarkStart w:id="131" w:name="_Toc23292"/>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31037"/>
      <w:bookmarkStart w:id="134" w:name="_Toc21446"/>
      <w:bookmarkStart w:id="135" w:name="_Toc19212"/>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8544"/>
      <w:bookmarkStart w:id="141" w:name="_Toc2815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31"/>
      <w:bookmarkStart w:id="143" w:name="_Toc15407"/>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8612"/>
      <w:bookmarkStart w:id="145" w:name="_Toc27749"/>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4337"/>
      <w:bookmarkStart w:id="147" w:name="_Toc9332"/>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5792"/>
      <w:bookmarkStart w:id="149" w:name="_Toc24609"/>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12154"/>
      <w:bookmarkStart w:id="151" w:name="_Toc21442"/>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1069"/>
      <w:bookmarkStart w:id="153" w:name="_Toc3618"/>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27067"/>
      <w:bookmarkStart w:id="155" w:name="_Toc16835"/>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22272"/>
      <w:bookmarkStart w:id="157" w:name="_Toc19587"/>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16948"/>
      <w:bookmarkStart w:id="159" w:name="_Toc27163"/>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6648"/>
      <w:bookmarkStart w:id="161" w:name="_Toc20163"/>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28500"/>
      <w:bookmarkStart w:id="163" w:name="_Toc173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18100"/>
      <w:bookmarkStart w:id="165" w:name="_Toc952"/>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31435"/>
      <w:bookmarkStart w:id="167" w:name="_Toc18898"/>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16272"/>
      <w:bookmarkStart w:id="169" w:name="_Toc2755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16852"/>
      <w:bookmarkStart w:id="171" w:name="_Toc28690"/>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4759"/>
      <w:bookmarkStart w:id="173" w:name="_Toc11837"/>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8346"/>
      <w:bookmarkStart w:id="175" w:name="_Toc4907"/>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073"/>
      <w:bookmarkStart w:id="177" w:name="_Toc1279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numPr>
          <w:ilvl w:val="0"/>
          <w:numId w:val="0"/>
        </w:numPr>
        <w:spacing w:line="360" w:lineRule="auto"/>
        <w:jc w:val="center"/>
        <w:outlineLvl w:val="1"/>
        <w:rPr>
          <w:rFonts w:hint="eastAsia" w:ascii="宋体" w:hAnsi="宋体" w:eastAsia="宋体"/>
          <w:b/>
          <w:color w:val="auto"/>
          <w:sz w:val="44"/>
          <w:szCs w:val="44"/>
          <w:lang w:eastAsia="zh-CN"/>
        </w:rPr>
      </w:pPr>
      <w:bookmarkStart w:id="178" w:name="_Toc10526"/>
      <w:bookmarkStart w:id="179" w:name="_Toc27961"/>
      <w:r>
        <w:rPr>
          <w:rFonts w:hint="eastAsia" w:ascii="宋体" w:hAnsi="宋体"/>
          <w:b/>
          <w:color w:val="auto"/>
          <w:sz w:val="44"/>
          <w:szCs w:val="44"/>
          <w:lang w:eastAsia="zh-CN"/>
        </w:rPr>
        <w:t>技术要求</w:t>
      </w:r>
      <w:bookmarkEnd w:id="178"/>
      <w:bookmarkEnd w:id="179"/>
    </w:p>
    <w:p>
      <w:pPr>
        <w:numPr>
          <w:ilvl w:val="0"/>
          <w:numId w:val="0"/>
        </w:numPr>
        <w:spacing w:line="360" w:lineRule="exact"/>
        <w:rPr>
          <w:rFonts w:hint="eastAsia" w:ascii="宋体" w:hAnsi="宋体"/>
          <w:snapToGrid/>
          <w:sz w:val="24"/>
          <w:u w:val="single"/>
          <w:lang w:val="en-US" w:eastAsia="zh-CN"/>
        </w:rPr>
      </w:pPr>
      <w:r>
        <w:rPr>
          <w:rFonts w:hint="eastAsia" w:ascii="宋体" w:hAnsi="宋体"/>
          <w:snapToGrid/>
          <w:sz w:val="24"/>
          <w:u w:val="single"/>
          <w:lang w:val="en-US" w:eastAsia="zh-CN"/>
        </w:rPr>
        <w:t>第二包：</w:t>
      </w:r>
    </w:p>
    <w:p>
      <w:pPr>
        <w:pStyle w:val="3"/>
        <w:rPr>
          <w:rFonts w:hint="default"/>
          <w:lang w:val="en-US"/>
        </w:rPr>
      </w:pPr>
      <w:r>
        <w:rPr>
          <w:rFonts w:hint="eastAsia" w:ascii="宋体" w:hAnsi="宋体"/>
          <w:snapToGrid/>
          <w:sz w:val="24"/>
          <w:u w:val="single"/>
          <w:lang w:val="en-US" w:eastAsia="zh-CN"/>
        </w:rPr>
        <w:t xml:space="preserve">小型客车（二）：燃油轿车      </w:t>
      </w:r>
      <w:r>
        <w:rPr>
          <w:rFonts w:hint="eastAsia" w:ascii="宋体" w:hAnsi="宋体"/>
          <w:snapToGrid/>
          <w:sz w:val="24"/>
          <w:u w:val="none"/>
          <w:lang w:val="en-US" w:eastAsia="zh-CN"/>
        </w:rPr>
        <w:t xml:space="preserve">                  </w:t>
      </w:r>
      <w:r>
        <w:rPr>
          <w:rFonts w:hint="eastAsia"/>
          <w:lang w:val="en-US" w:eastAsia="zh-CN"/>
        </w:rPr>
        <w:t>最高限价：18万元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4"/>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主要技术性能参数</w:t>
            </w:r>
          </w:p>
        </w:tc>
        <w:tc>
          <w:tcPr>
            <w:tcW w:w="5805" w:type="dxa"/>
          </w:tcPr>
          <w:p>
            <w:pPr>
              <w:spacing w:line="360" w:lineRule="exact"/>
              <w:jc w:val="center"/>
              <w:rPr>
                <w:rFonts w:hint="eastAsia" w:ascii="方正黑体_GBK" w:hAnsi="方正黑体_GBK" w:eastAsia="方正黑体_GBK" w:cs="方正黑体_GBK"/>
                <w:snapToGrid/>
                <w:sz w:val="32"/>
                <w:szCs w:val="32"/>
                <w:vertAlign w:val="baseline"/>
              </w:rPr>
            </w:pPr>
            <w:r>
              <w:rPr>
                <w:rFonts w:hint="eastAsia" w:ascii="方正黑体_GBK" w:hAnsi="方正黑体_GBK" w:eastAsia="方正黑体_GBK" w:cs="方正黑体_GBK"/>
                <w:snapToGrid/>
                <w:sz w:val="32"/>
                <w:szCs w:val="32"/>
                <w:vertAlign w:val="baseline"/>
              </w:rPr>
              <w:t>采购规格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 xml:space="preserve">车辆型号/结构 </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燃油轿车，三厢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lang w:val="en-US" w:eastAsia="zh-CN"/>
              </w:rPr>
              <w:t>排放标准</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发动机排量(L)</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8</w:t>
            </w:r>
            <w:r>
              <w:rPr>
                <w:rFonts w:hint="eastAsia" w:asciiTheme="minorEastAsia" w:hAnsiTheme="minorEastAsia" w:eastAsiaTheme="minorEastAsia" w:cstheme="minorEastAsia"/>
                <w:snapToGrid/>
                <w:sz w:val="24"/>
                <w:vertAlign w:val="baseline"/>
              </w:rPr>
              <w:t>L（含）以下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燃料形式</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WLTC 综合油耗（L/100km）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车身长度(mm)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≥4</w:t>
            </w:r>
            <w:r>
              <w:rPr>
                <w:rFonts w:hint="eastAsia" w:asciiTheme="minorEastAsia" w:hAnsiTheme="minorEastAsia" w:eastAsiaTheme="minorEastAsia" w:cstheme="minorEastAsia"/>
                <w:snapToGrid/>
                <w:sz w:val="24"/>
                <w:vertAlign w:val="baseline"/>
                <w:lang w:val="en-US" w:eastAsia="zh-CN"/>
              </w:rPr>
              <w:t>8</w:t>
            </w:r>
            <w:r>
              <w:rPr>
                <w:rFonts w:hint="eastAsia" w:asciiTheme="minorEastAsia" w:hAnsiTheme="minorEastAsia" w:eastAsiaTheme="minorEastAsia" w:cstheme="minorEastAsia"/>
                <w:snapToGrid/>
                <w:sz w:val="24"/>
                <w:vertAlign w:val="baseli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车身宽度（mm)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80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车身高度（mm)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≥14</w:t>
            </w:r>
            <w:r>
              <w:rPr>
                <w:rFonts w:hint="eastAsia" w:asciiTheme="minorEastAsia" w:hAnsiTheme="minorEastAsia" w:eastAsiaTheme="minorEastAsia" w:cstheme="minorEastAsia"/>
                <w:snapToGrid/>
                <w:sz w:val="24"/>
                <w:vertAlign w:val="baseline"/>
                <w:lang w:val="en-US" w:eastAsia="zh-CN"/>
              </w:rPr>
              <w:t>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轴距(mm)</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≥2</w:t>
            </w:r>
            <w:r>
              <w:rPr>
                <w:rFonts w:hint="eastAsia" w:asciiTheme="minorEastAsia" w:hAnsiTheme="minorEastAsia" w:eastAsiaTheme="minorEastAsia" w:cstheme="minorEastAsia"/>
                <w:snapToGrid/>
                <w:sz w:val="24"/>
                <w:vertAlign w:val="baseline"/>
                <w:lang w:val="en-US" w:eastAsia="zh-CN"/>
              </w:rPr>
              <w:t>80</w:t>
            </w:r>
            <w:r>
              <w:rPr>
                <w:rFonts w:hint="eastAsia" w:asciiTheme="minorEastAsia" w:hAnsiTheme="minorEastAsia" w:eastAsiaTheme="minorEastAsia" w:cstheme="minorEastAsia"/>
                <w:snapToGrid/>
                <w:sz w:val="24"/>
                <w:vertAlign w:val="baseli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座位数</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5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发动机最大功率（kW）</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≥1</w:t>
            </w:r>
            <w:r>
              <w:rPr>
                <w:rFonts w:hint="eastAsia" w:asciiTheme="minorEastAsia" w:hAnsiTheme="minorEastAsia" w:eastAsiaTheme="minorEastAsia" w:cstheme="minorEastAsia"/>
                <w:snapToGrid/>
                <w:sz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发动机最大扭矩（N）</w:t>
            </w:r>
          </w:p>
        </w:tc>
        <w:tc>
          <w:tcPr>
            <w:tcW w:w="5805" w:type="dxa"/>
          </w:tcPr>
          <w:p>
            <w:pPr>
              <w:spacing w:line="360" w:lineRule="exact"/>
              <w:rPr>
                <w:rFonts w:hint="default" w:asciiTheme="minorEastAsia" w:hAnsiTheme="minorEastAsia" w:eastAsiaTheme="minorEastAsia" w:cstheme="minorEastAsia"/>
                <w:snapToGrid/>
                <w:sz w:val="24"/>
                <w:vertAlign w:val="baseline"/>
                <w:lang w:val="en-US" w:eastAsia="zh-CN"/>
              </w:rPr>
            </w:pPr>
            <w:r>
              <w:rPr>
                <w:rFonts w:hint="eastAsia" w:asciiTheme="minorEastAsia" w:hAnsiTheme="minorEastAsia" w:eastAsiaTheme="minorEastAsia" w:cstheme="minorEastAsia"/>
                <w:snapToGrid/>
                <w:sz w:val="24"/>
                <w:vertAlign w:val="baseline"/>
              </w:rPr>
              <w:t>≥2</w:t>
            </w:r>
            <w:r>
              <w:rPr>
                <w:rFonts w:hint="eastAsia" w:asciiTheme="minorEastAsia" w:hAnsiTheme="minorEastAsia" w:eastAsiaTheme="minorEastAsia" w:cstheme="minorEastAsia"/>
                <w:snapToGrid/>
                <w:sz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车体结构</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承载式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制动器类别</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电动车窗</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主/被动安全配置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前排正面安全气囊，前排侧气囊，ABS 防抱死，制动力分配(EBD/CBC等)，刹车辅助(EBA/BAS/BA 等)，车身稳定控制(ESP/DSC/ESC等)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空调系统</w:t>
            </w:r>
          </w:p>
        </w:tc>
        <w:tc>
          <w:tcPr>
            <w:tcW w:w="5805"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灯光配置</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LED 近光灯光源，LED 远光灯光源，自动头灯，车前雾灯，大灯高度可调。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tcPr>
          <w:p>
            <w:pPr>
              <w:spacing w:line="360" w:lineRule="exact"/>
              <w:rPr>
                <w:rFonts w:hint="eastAsia" w:asciiTheme="minorEastAsia" w:hAnsiTheme="minorEastAsia" w:eastAsiaTheme="minorEastAsia" w:cstheme="minorEastAsia"/>
                <w:snapToGrid/>
                <w:sz w:val="24"/>
                <w:vertAlign w:val="baseline"/>
                <w:lang w:eastAsia="zh-CN"/>
              </w:rPr>
            </w:pPr>
            <w:r>
              <w:rPr>
                <w:rFonts w:hint="eastAsia" w:asciiTheme="minorEastAsia" w:hAnsiTheme="minorEastAsia" w:eastAsiaTheme="minorEastAsia" w:cstheme="minorEastAsia"/>
                <w:snapToGrid/>
                <w:sz w:val="24"/>
                <w:vertAlign w:val="baseline"/>
                <w:lang w:eastAsia="zh-CN"/>
              </w:rPr>
              <w:t>整车质保</w:t>
            </w:r>
          </w:p>
        </w:tc>
        <w:tc>
          <w:tcPr>
            <w:tcW w:w="5805" w:type="dxa"/>
          </w:tcPr>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车辆验收合格后≥</w:t>
            </w:r>
            <w:r>
              <w:rPr>
                <w:rFonts w:hint="eastAsia" w:asciiTheme="minorEastAsia" w:hAnsiTheme="minorEastAsia" w:eastAsiaTheme="minorEastAsia" w:cstheme="minorEastAsia"/>
                <w:snapToGrid/>
                <w:sz w:val="24"/>
                <w:vertAlign w:val="baseline"/>
                <w:lang w:val="en-US" w:eastAsia="zh-CN"/>
              </w:rPr>
              <w:t>3</w:t>
            </w:r>
            <w:r>
              <w:rPr>
                <w:rFonts w:hint="eastAsia" w:asciiTheme="minorEastAsia" w:hAnsiTheme="minorEastAsia" w:eastAsiaTheme="minorEastAsia" w:cstheme="minorEastAsia"/>
                <w:snapToGrid/>
                <w:sz w:val="24"/>
                <w:vertAlign w:val="baseline"/>
              </w:rPr>
              <w:t>年或行驶公里数≥</w:t>
            </w:r>
            <w:r>
              <w:rPr>
                <w:rFonts w:hint="eastAsia" w:asciiTheme="minorEastAsia" w:hAnsiTheme="minorEastAsia" w:eastAsiaTheme="minorEastAsia" w:cstheme="minorEastAsia"/>
                <w:snapToGrid/>
                <w:sz w:val="24"/>
                <w:vertAlign w:val="baseline"/>
                <w:lang w:val="en-US" w:eastAsia="zh-CN"/>
              </w:rPr>
              <w:t>6</w:t>
            </w:r>
            <w:r>
              <w:rPr>
                <w:rFonts w:hint="eastAsia" w:asciiTheme="minorEastAsia" w:hAnsiTheme="minorEastAsia" w:eastAsiaTheme="minorEastAsia" w:cstheme="minorEastAsia"/>
                <w:snapToGrid/>
                <w:sz w:val="24"/>
                <w:vertAlign w:val="baseline"/>
              </w:rPr>
              <w:t>万公</w:t>
            </w:r>
          </w:p>
          <w:p>
            <w:pPr>
              <w:spacing w:line="360" w:lineRule="exact"/>
              <w:rPr>
                <w:rFonts w:hint="eastAsia" w:asciiTheme="minorEastAsia" w:hAnsiTheme="minorEastAsia" w:eastAsiaTheme="minorEastAsia" w:cstheme="minorEastAsia"/>
                <w:snapToGrid/>
                <w:sz w:val="24"/>
                <w:vertAlign w:val="baseline"/>
              </w:rPr>
            </w:pPr>
            <w:r>
              <w:rPr>
                <w:rFonts w:hint="eastAsia" w:asciiTheme="minorEastAsia" w:hAnsiTheme="minorEastAsia" w:eastAsiaTheme="minorEastAsia" w:cstheme="minorEastAsia"/>
                <w:snapToGrid/>
                <w:sz w:val="24"/>
                <w:vertAlign w:val="baseline"/>
              </w:rPr>
              <w:t>里（先到为准），首保免费</w:t>
            </w:r>
          </w:p>
        </w:tc>
      </w:tr>
    </w:tbl>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21522"/>
      <w:bookmarkStart w:id="182" w:name="_Toc5573"/>
      <w:bookmarkStart w:id="183" w:name="_Toc3582"/>
      <w:bookmarkStart w:id="184" w:name="_Toc23722"/>
      <w:bookmarkStart w:id="185" w:name="_Toc9116"/>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7841"/>
      <w:bookmarkStart w:id="188" w:name="_Toc28864"/>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6582"/>
      <w:bookmarkStart w:id="190" w:name="_Toc22857"/>
      <w:bookmarkStart w:id="191" w:name="_Toc201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10310"/>
      <w:bookmarkStart w:id="193" w:name="_Toc21939"/>
      <w:bookmarkStart w:id="194" w:name="_Toc13572"/>
      <w:bookmarkStart w:id="195" w:name="_Toc29285"/>
      <w:bookmarkStart w:id="196" w:name="_Toc19126"/>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24784"/>
      <w:bookmarkStart w:id="198" w:name="_Toc30648"/>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23644"/>
      <w:bookmarkStart w:id="200" w:name="_Toc6254"/>
      <w:bookmarkStart w:id="201" w:name="_Toc6526"/>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3151"/>
      <w:bookmarkStart w:id="203" w:name="_Toc3468"/>
      <w:bookmarkStart w:id="204" w:name="_Toc23705"/>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30990"/>
      <w:bookmarkStart w:id="206" w:name="_Toc4295"/>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22341"/>
      <w:bookmarkStart w:id="208" w:name="_Toc9223"/>
      <w:bookmarkStart w:id="209" w:name="_Toc705"/>
      <w:bookmarkStart w:id="210" w:name="_Toc1275"/>
      <w:bookmarkStart w:id="211" w:name="_Toc20328"/>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投标人在项目实施地设有自营的售后服务站设有维修场地、配件仓库、服务车或投标人委托维修服务机构（7分），未提供者得0分。</w:t>
            </w:r>
          </w:p>
          <w:p>
            <w:pPr>
              <w:pStyle w:val="9"/>
              <w:ind w:left="0" w:leftChars="0" w:firstLine="0" w:firstLineChars="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ascii="Times New Roman" w:hAnsi="Times New Roman" w:eastAsia="宋体" w:cs="Times New Roman"/>
                <w:kern w:val="2"/>
                <w:sz w:val="24"/>
                <w:szCs w:val="24"/>
                <w:lang w:val="en-US" w:eastAsia="zh-CN" w:bidi="ar-SA"/>
              </w:rPr>
              <w:t>2、被委托维修服务机构所具有的汽车维修行业管理部门核发的《道路运输经营许可证》的汽车维修资质（彩色扫描件）、被委托维修服务机构的营业执照（彩色扫描件、委托协议书或委托合同（彩色扫描件）。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新车交货时油箱内燃油可维持正常行驶不少于50公里，得1分。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8355"/>
      <w:bookmarkStart w:id="213" w:name="_Toc21656"/>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5095"/>
      <w:bookmarkStart w:id="215" w:name="_Toc23437"/>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23856"/>
      <w:bookmarkStart w:id="217" w:name="_Toc405"/>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327949263"/>
      <w:bookmarkStart w:id="222" w:name="_Toc6042181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spacing w:line="240" w:lineRule="exact"/>
        <w:jc w:val="center"/>
        <w:rPr>
          <w:rFonts w:hint="eastAsia" w:asciiTheme="minorEastAsia" w:hAnsiTheme="minorEastAsia" w:eastAsiaTheme="minorEastAsia" w:cstheme="minorEastAsia"/>
          <w:b/>
          <w:color w:val="auto"/>
          <w:sz w:val="36"/>
          <w:szCs w:val="36"/>
        </w:rPr>
      </w:pPr>
    </w:p>
    <w:p>
      <w:pPr>
        <w:pStyle w:val="32"/>
        <w:rPr>
          <w:rFonts w:hint="eastAsia" w:asciiTheme="minorEastAsia" w:hAnsiTheme="minorEastAsia" w:eastAsiaTheme="minorEastAsia" w:cstheme="minorEastAsia"/>
          <w:b/>
          <w:bCs w:val="0"/>
          <w:color w:val="auto"/>
          <w:kern w:val="2"/>
          <w:sz w:val="32"/>
          <w:szCs w:val="32"/>
          <w:lang w:val="en-US" w:eastAsia="zh-CN" w:bidi="ar-SA"/>
        </w:rPr>
      </w:pPr>
    </w:p>
    <w:p>
      <w:pPr>
        <w:jc w:val="center"/>
        <w:rPr>
          <w:rFonts w:hint="eastAsia" w:asciiTheme="minorEastAsia" w:hAnsiTheme="minorEastAsia" w:eastAsiaTheme="minorEastAsia" w:cstheme="minorEastAsia"/>
          <w:b/>
          <w:bCs w:val="0"/>
          <w:color w:val="auto"/>
          <w:kern w:val="2"/>
          <w:sz w:val="32"/>
          <w:szCs w:val="32"/>
          <w:lang w:val="en-US" w:eastAsia="zh-CN" w:bidi="ar-SA"/>
        </w:rPr>
      </w:pPr>
      <w:r>
        <w:rPr>
          <w:rFonts w:hint="eastAsia" w:asciiTheme="minorEastAsia" w:hAnsiTheme="minorEastAsia" w:eastAsiaTheme="minorEastAsia" w:cstheme="minorEastAsia"/>
          <w:b/>
          <w:bCs w:val="0"/>
          <w:color w:val="auto"/>
          <w:kern w:val="2"/>
          <w:sz w:val="32"/>
          <w:szCs w:val="32"/>
          <w:lang w:val="en-US" w:eastAsia="zh-CN" w:bidi="ar-SA"/>
        </w:rPr>
        <w:t>（第二包）</w:t>
      </w: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60421818"/>
      <w:bookmarkStart w:id="226" w:name="_Toc327949264"/>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第二</w:t>
      </w:r>
      <w:bookmarkStart w:id="272" w:name="_GoBack"/>
      <w:bookmarkEnd w:id="272"/>
      <w:r>
        <w:rPr>
          <w:rFonts w:hint="eastAsia" w:asciiTheme="minorEastAsia" w:hAnsiTheme="minorEastAsia" w:eastAsiaTheme="minorEastAsia" w:cstheme="minorEastAsia"/>
          <w:b w:val="0"/>
          <w:bCs/>
          <w:color w:val="auto"/>
          <w:sz w:val="24"/>
          <w:szCs w:val="24"/>
          <w:lang w:val="en-US" w:eastAsia="zh-CN"/>
        </w:rPr>
        <w:t>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包号：第二包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5954"/>
      <w:bookmarkStart w:id="228" w:name="_Toc6777"/>
      <w:bookmarkStart w:id="229" w:name="_Toc19416"/>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包号：第二包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top"/>
          </w:tcPr>
          <w:p>
            <w:pPr>
              <w:spacing w:line="360" w:lineRule="auto"/>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color w:val="auto"/>
                <w:sz w:val="24"/>
                <w:szCs w:val="24"/>
                <w:vertAlign w:val="baseline"/>
                <w:lang w:eastAsia="zh-CN"/>
              </w:rPr>
            </w:pPr>
            <w:r>
              <w:rPr>
                <w:rFonts w:hint="eastAsia" w:ascii="宋体" w:hAnsi="宋体"/>
                <w:color w:val="auto"/>
                <w:sz w:val="24"/>
                <w:szCs w:val="24"/>
                <w:vertAlign w:val="baseline"/>
                <w:lang w:eastAsia="zh-CN"/>
              </w:rPr>
              <w:t>小型</w:t>
            </w:r>
          </w:p>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eastAsia="zh-CN"/>
              </w:rPr>
              <w:t>轿车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w:t>
            </w:r>
            <w:r>
              <w:rPr>
                <w:rFonts w:hint="eastAsia" w:ascii="宋体" w:hAnsi="宋体"/>
                <w:snapToGrid/>
                <w:sz w:val="21"/>
                <w:szCs w:val="21"/>
                <w:lang w:val="en-US" w:eastAsia="zh-CN"/>
              </w:rPr>
              <w:t>8</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18万元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w:t>
            </w:r>
            <w:r>
              <w:rPr>
                <w:rFonts w:hint="eastAsia" w:ascii="宋体" w:hAnsi="宋体"/>
                <w:snapToGrid/>
                <w:sz w:val="21"/>
                <w:szCs w:val="21"/>
                <w:lang w:val="en-US" w:eastAsia="zh-CN"/>
              </w:rPr>
              <w:t>8</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18万元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w:t>
            </w:r>
            <w:r>
              <w:rPr>
                <w:rFonts w:hint="eastAsia" w:ascii="宋体" w:hAnsi="宋体"/>
                <w:snapToGrid/>
                <w:sz w:val="21"/>
                <w:szCs w:val="21"/>
                <w:lang w:val="en-US" w:eastAsia="zh-CN"/>
              </w:rPr>
              <w:t>8</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18万元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w:t>
            </w:r>
            <w:r>
              <w:rPr>
                <w:rFonts w:hint="eastAsia" w:ascii="宋体" w:hAnsi="宋体"/>
                <w:snapToGrid/>
                <w:sz w:val="21"/>
                <w:szCs w:val="21"/>
                <w:lang w:val="en-US" w:eastAsia="zh-CN"/>
              </w:rPr>
              <w:t>8</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18万元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w:t>
            </w:r>
            <w:r>
              <w:rPr>
                <w:rFonts w:hint="eastAsia" w:ascii="宋体" w:hAnsi="宋体"/>
                <w:snapToGrid/>
                <w:sz w:val="21"/>
                <w:szCs w:val="21"/>
                <w:lang w:val="en-US" w:eastAsia="zh-CN"/>
              </w:rPr>
              <w:t>8</w:t>
            </w:r>
            <w:r>
              <w:rPr>
                <w:rFonts w:hint="default" w:ascii="宋体" w:hAnsi="宋体"/>
                <w:snapToGrid/>
                <w:sz w:val="21"/>
                <w:szCs w:val="21"/>
              </w:rPr>
              <w:t xml:space="preserve">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18万元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eastAsia" w:ascii="宋体" w:hAnsi="宋体"/>
                <w:b/>
                <w:bCs/>
                <w:snapToGrid/>
                <w:sz w:val="21"/>
                <w:szCs w:val="21"/>
                <w:lang w:val="en-US" w:eastAsia="zh-CN"/>
              </w:rPr>
              <w:t>1</w:t>
            </w:r>
            <w:r>
              <w:rPr>
                <w:rFonts w:hint="default" w:ascii="宋体" w:hAnsi="宋体"/>
                <w:b/>
                <w:bCs/>
                <w:snapToGrid/>
                <w:sz w:val="21"/>
                <w:szCs w:val="21"/>
              </w:rPr>
              <w:t>、投标报价=厂家指导价×（1-优惠率）</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3"/>
      <w:bookmarkStart w:id="231" w:name="OLE_LINK14"/>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7392_WPSOffice_Level1"/>
      <w:bookmarkStart w:id="234" w:name="_Toc14441_WPSOffice_Level1"/>
      <w:bookmarkStart w:id="235" w:name="_Toc8270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22673_WPSOffice_Level1"/>
      <w:bookmarkStart w:id="241" w:name="_Toc1003_WPSOffice_Level1"/>
      <w:bookmarkStart w:id="242" w:name="_Toc31176_WPSOffice_Level1"/>
      <w:bookmarkStart w:id="243" w:name="_Toc9433_WPSOffice_Level1"/>
      <w:bookmarkStart w:id="244" w:name="_Toc1205"/>
      <w:bookmarkStart w:id="245" w:name="_Toc24186"/>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1704_WPSOffice_Level1"/>
      <w:bookmarkStart w:id="247" w:name="_Toc28349_WPSOffice_Level1"/>
      <w:bookmarkStart w:id="248" w:name="_Toc22599_WPSOffice_Level1"/>
      <w:bookmarkStart w:id="249" w:name="_Toc30647_WPSOffice_Level1"/>
      <w:bookmarkStart w:id="250" w:name="_Toc4517"/>
      <w:bookmarkStart w:id="251" w:name="_Toc9162"/>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12647_WPSOffice_Level1"/>
      <w:bookmarkStart w:id="253" w:name="_Toc3481_WPSOffice_Level1"/>
      <w:bookmarkStart w:id="254" w:name="_Toc9792_WPSOffice_Level1"/>
      <w:bookmarkStart w:id="255" w:name="_Toc2425"/>
      <w:bookmarkStart w:id="256" w:name="_Toc10263_WPSOffice_Level1"/>
      <w:bookmarkStart w:id="257" w:name="_Toc14926"/>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2962"/>
      <w:bookmarkStart w:id="259" w:name="_Toc1799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14345"/>
      <w:bookmarkStart w:id="261" w:name="_Toc2742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30162"/>
      <w:bookmarkStart w:id="263" w:name="_Toc21026"/>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9628"/>
      <w:bookmarkStart w:id="265" w:name="_Toc1095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1978"/>
      <w:bookmarkStart w:id="267" w:name="_Toc32240"/>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14641"/>
      <w:bookmarkStart w:id="269" w:name="_Toc2785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7714"/>
      <w:bookmarkStart w:id="271" w:name="_Toc16073"/>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29463B"/>
    <w:rsid w:val="02630CDE"/>
    <w:rsid w:val="02822343"/>
    <w:rsid w:val="02B3341F"/>
    <w:rsid w:val="02E23BC8"/>
    <w:rsid w:val="03000EC5"/>
    <w:rsid w:val="030C4F43"/>
    <w:rsid w:val="0354262D"/>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4F50A41"/>
    <w:rsid w:val="050C6C6D"/>
    <w:rsid w:val="0529077D"/>
    <w:rsid w:val="05421F8F"/>
    <w:rsid w:val="05502003"/>
    <w:rsid w:val="05531171"/>
    <w:rsid w:val="056F1DEE"/>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909A7"/>
    <w:rsid w:val="11A6155A"/>
    <w:rsid w:val="11B063D2"/>
    <w:rsid w:val="11E13E3B"/>
    <w:rsid w:val="11EA508F"/>
    <w:rsid w:val="11F77BC3"/>
    <w:rsid w:val="120159AB"/>
    <w:rsid w:val="12160F3D"/>
    <w:rsid w:val="122E536C"/>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8C77D81"/>
    <w:rsid w:val="190F47FA"/>
    <w:rsid w:val="190F735C"/>
    <w:rsid w:val="19263F6D"/>
    <w:rsid w:val="192C6416"/>
    <w:rsid w:val="193109EF"/>
    <w:rsid w:val="194C13CB"/>
    <w:rsid w:val="1953335C"/>
    <w:rsid w:val="19657B9D"/>
    <w:rsid w:val="197D4F41"/>
    <w:rsid w:val="197F5415"/>
    <w:rsid w:val="19A927B2"/>
    <w:rsid w:val="19DC5426"/>
    <w:rsid w:val="1A0673EB"/>
    <w:rsid w:val="1A127E72"/>
    <w:rsid w:val="1A5D3FE9"/>
    <w:rsid w:val="1A7D39F8"/>
    <w:rsid w:val="1AAA30D3"/>
    <w:rsid w:val="1AE11AE9"/>
    <w:rsid w:val="1AF92915"/>
    <w:rsid w:val="1AFA1BD0"/>
    <w:rsid w:val="1B2F2270"/>
    <w:rsid w:val="1B47424D"/>
    <w:rsid w:val="1B7D054C"/>
    <w:rsid w:val="1BC35C92"/>
    <w:rsid w:val="1BC6422D"/>
    <w:rsid w:val="1BD403F9"/>
    <w:rsid w:val="1C021363"/>
    <w:rsid w:val="1C09223B"/>
    <w:rsid w:val="1C1A5A7F"/>
    <w:rsid w:val="1C335AE4"/>
    <w:rsid w:val="1C572C61"/>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5F1531"/>
    <w:rsid w:val="309349BA"/>
    <w:rsid w:val="30BB5E87"/>
    <w:rsid w:val="30BD45A0"/>
    <w:rsid w:val="30EB20A0"/>
    <w:rsid w:val="313308E4"/>
    <w:rsid w:val="31877B20"/>
    <w:rsid w:val="31934A64"/>
    <w:rsid w:val="31A440C4"/>
    <w:rsid w:val="31A60996"/>
    <w:rsid w:val="31D03AFA"/>
    <w:rsid w:val="31DE6C81"/>
    <w:rsid w:val="32602AE7"/>
    <w:rsid w:val="326817B1"/>
    <w:rsid w:val="32794C7B"/>
    <w:rsid w:val="328D59C7"/>
    <w:rsid w:val="328F5F13"/>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DE34AE"/>
    <w:rsid w:val="39123DC4"/>
    <w:rsid w:val="39204943"/>
    <w:rsid w:val="394805AA"/>
    <w:rsid w:val="395B4168"/>
    <w:rsid w:val="395E064D"/>
    <w:rsid w:val="396A3878"/>
    <w:rsid w:val="39730340"/>
    <w:rsid w:val="39F9217D"/>
    <w:rsid w:val="39FE2EB9"/>
    <w:rsid w:val="3A1A496A"/>
    <w:rsid w:val="3A265E2B"/>
    <w:rsid w:val="3A5A173C"/>
    <w:rsid w:val="3A616B00"/>
    <w:rsid w:val="3A79619C"/>
    <w:rsid w:val="3A854797"/>
    <w:rsid w:val="3A89704B"/>
    <w:rsid w:val="3AA339E4"/>
    <w:rsid w:val="3ABA78E3"/>
    <w:rsid w:val="3ACE50DE"/>
    <w:rsid w:val="3AEA7227"/>
    <w:rsid w:val="3AF960D0"/>
    <w:rsid w:val="3B124BE4"/>
    <w:rsid w:val="3B290F75"/>
    <w:rsid w:val="3B436ABE"/>
    <w:rsid w:val="3B500081"/>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45163B"/>
    <w:rsid w:val="3E5619B1"/>
    <w:rsid w:val="3E7F3BF5"/>
    <w:rsid w:val="3E93358C"/>
    <w:rsid w:val="3E9363BD"/>
    <w:rsid w:val="3EA365C7"/>
    <w:rsid w:val="3EB93C8F"/>
    <w:rsid w:val="3EF8614A"/>
    <w:rsid w:val="3F0A07EF"/>
    <w:rsid w:val="3F2A3D37"/>
    <w:rsid w:val="3F327AAA"/>
    <w:rsid w:val="3F786C1A"/>
    <w:rsid w:val="3FC47576"/>
    <w:rsid w:val="40647516"/>
    <w:rsid w:val="40711049"/>
    <w:rsid w:val="40907A7F"/>
    <w:rsid w:val="40B165B8"/>
    <w:rsid w:val="40CA5983"/>
    <w:rsid w:val="40F458B2"/>
    <w:rsid w:val="4187365B"/>
    <w:rsid w:val="41B525D9"/>
    <w:rsid w:val="41E14722"/>
    <w:rsid w:val="41ED2267"/>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BA38FA"/>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265C1"/>
    <w:rsid w:val="4F2F1E5B"/>
    <w:rsid w:val="4F3E1F4F"/>
    <w:rsid w:val="4F5C2495"/>
    <w:rsid w:val="4F7D3E51"/>
    <w:rsid w:val="4F9F1839"/>
    <w:rsid w:val="4FA32177"/>
    <w:rsid w:val="4FB27E15"/>
    <w:rsid w:val="4FD652CE"/>
    <w:rsid w:val="4FF43893"/>
    <w:rsid w:val="500B732D"/>
    <w:rsid w:val="502129E2"/>
    <w:rsid w:val="50223154"/>
    <w:rsid w:val="504F196C"/>
    <w:rsid w:val="50596376"/>
    <w:rsid w:val="50695275"/>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2FB4203"/>
    <w:rsid w:val="531063B5"/>
    <w:rsid w:val="532C07E1"/>
    <w:rsid w:val="53302AF6"/>
    <w:rsid w:val="535D572A"/>
    <w:rsid w:val="53745C19"/>
    <w:rsid w:val="539E755C"/>
    <w:rsid w:val="53BA2E6A"/>
    <w:rsid w:val="53D02E0F"/>
    <w:rsid w:val="53DA347D"/>
    <w:rsid w:val="54C700CA"/>
    <w:rsid w:val="54D04E35"/>
    <w:rsid w:val="54FD3D83"/>
    <w:rsid w:val="552365FF"/>
    <w:rsid w:val="5534209F"/>
    <w:rsid w:val="55E31F00"/>
    <w:rsid w:val="55F62113"/>
    <w:rsid w:val="560631C4"/>
    <w:rsid w:val="568A7075"/>
    <w:rsid w:val="56C65CB6"/>
    <w:rsid w:val="57225D4B"/>
    <w:rsid w:val="573452B1"/>
    <w:rsid w:val="574958D0"/>
    <w:rsid w:val="57922F81"/>
    <w:rsid w:val="57995E54"/>
    <w:rsid w:val="579B4280"/>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54153"/>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6479EA"/>
    <w:rsid w:val="71724850"/>
    <w:rsid w:val="71BB5C01"/>
    <w:rsid w:val="726A4157"/>
    <w:rsid w:val="729C536F"/>
    <w:rsid w:val="72C866AD"/>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46261"/>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12</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2023-10-25T03:02:50Z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